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FB123" w14:textId="0ABC325F" w:rsidR="00F03359" w:rsidRDefault="000F3A09" w:rsidP="00E56024">
      <w:pPr>
        <w:rPr>
          <w:b/>
          <w:bCs/>
          <w:i/>
          <w:iCs/>
        </w:rPr>
      </w:pPr>
      <w:r>
        <w:rPr>
          <w:b/>
          <w:bCs/>
          <w:i/>
          <w:iCs/>
        </w:rPr>
        <w:t>Objective</w:t>
      </w:r>
    </w:p>
    <w:p w14:paraId="20B849DC" w14:textId="1DC3CACB" w:rsidR="000F3A09" w:rsidRPr="000F3A09" w:rsidRDefault="003F3CC2" w:rsidP="009C7626">
      <w:r>
        <w:t>The aim of the analys</w:t>
      </w:r>
      <w:r w:rsidR="004B47EB">
        <w:t>e</w:t>
      </w:r>
      <w:r>
        <w:t xml:space="preserve">s </w:t>
      </w:r>
      <w:r w:rsidR="00016182">
        <w:t>which were conducted using this dataset</w:t>
      </w:r>
      <w:r>
        <w:t xml:space="preserve"> was to</w:t>
      </w:r>
      <w:r w:rsidR="002B74CD">
        <w:t xml:space="preserve"> examine the psychometric properties of the</w:t>
      </w:r>
      <w:r>
        <w:t xml:space="preserve"> </w:t>
      </w:r>
      <w:r w:rsidR="00D0134E" w:rsidRPr="00D0134E">
        <w:t>Social Response Biases in Loneliness for Young Adults scale (SRBL-YA)</w:t>
      </w:r>
      <w:r w:rsidR="00891DBD">
        <w:t>. The SRBL-YA is</w:t>
      </w:r>
      <w:r w:rsidR="002B74CD">
        <w:t xml:space="preserve"> a new questionnaire we have developed </w:t>
      </w:r>
      <w:r w:rsidR="00857176">
        <w:t xml:space="preserve">as an age-appropriate assessment tool for measuring </w:t>
      </w:r>
      <w:r w:rsidR="00AD7580">
        <w:t xml:space="preserve">one’s </w:t>
      </w:r>
      <w:r w:rsidR="00AD7580" w:rsidRPr="00F81BFC">
        <w:t xml:space="preserve">tendency to select threatening over benign interpretations of social situations, </w:t>
      </w:r>
      <w:r w:rsidR="00AD7580">
        <w:t>and</w:t>
      </w:r>
      <w:r w:rsidR="00AD7580" w:rsidRPr="00F81BFC">
        <w:t xml:space="preserve"> social withdrawal over social approach</w:t>
      </w:r>
      <w:r w:rsidR="00AD7580">
        <w:t xml:space="preserve"> behaviours</w:t>
      </w:r>
      <w:r w:rsidR="001113B0">
        <w:t>. These cognitive and behavioural biases</w:t>
      </w:r>
      <w:r w:rsidR="00AD7580">
        <w:t xml:space="preserve"> are </w:t>
      </w:r>
      <w:r w:rsidR="000B027E">
        <w:t>proposed to be maintaining factors in chronic loneliness</w:t>
      </w:r>
      <w:r w:rsidR="00924127">
        <w:t xml:space="preserve"> </w:t>
      </w:r>
      <w:hyperlink r:id="rId4" w:history="1">
        <w:r w:rsidR="00E80185" w:rsidRPr="00E80185">
          <w:rPr>
            <w:rStyle w:val="Hyperlink"/>
          </w:rPr>
          <w:t>(Qualter</w:t>
        </w:r>
        <w:r w:rsidR="00E80185" w:rsidRPr="00E80185">
          <w:rPr>
            <w:rStyle w:val="Hyperlink"/>
            <w:rFonts w:ascii="Arial" w:hAnsi="Arial" w:cs="Arial"/>
          </w:rPr>
          <w:t> </w:t>
        </w:r>
        <w:r w:rsidR="00E80185" w:rsidRPr="00E80185">
          <w:rPr>
            <w:rStyle w:val="Hyperlink"/>
          </w:rPr>
          <w:t>et</w:t>
        </w:r>
        <w:r w:rsidR="00E80185" w:rsidRPr="00E80185">
          <w:rPr>
            <w:rStyle w:val="Hyperlink"/>
            <w:rFonts w:ascii="Arial" w:hAnsi="Arial" w:cs="Arial"/>
          </w:rPr>
          <w:t> </w:t>
        </w:r>
        <w:r w:rsidR="00E80185" w:rsidRPr="00E80185">
          <w:rPr>
            <w:rStyle w:val="Hyperlink"/>
          </w:rPr>
          <w:t>al.,</w:t>
        </w:r>
        <w:r w:rsidR="00E80185" w:rsidRPr="00E80185">
          <w:rPr>
            <w:rStyle w:val="Hyperlink"/>
            <w:rFonts w:ascii="Arial" w:hAnsi="Arial" w:cs="Arial"/>
          </w:rPr>
          <w:t> </w:t>
        </w:r>
        <w:r w:rsidR="00E80185" w:rsidRPr="00E80185">
          <w:rPr>
            <w:rStyle w:val="Hyperlink"/>
          </w:rPr>
          <w:t>2015;</w:t>
        </w:r>
        <w:r w:rsidR="00E80185" w:rsidRPr="00E80185">
          <w:rPr>
            <w:rStyle w:val="Hyperlink"/>
            <w:rFonts w:ascii="Arial" w:hAnsi="Arial" w:cs="Arial"/>
          </w:rPr>
          <w:t> </w:t>
        </w:r>
        <w:proofErr w:type="spellStart"/>
        <w:r w:rsidR="00E80185" w:rsidRPr="00E80185">
          <w:rPr>
            <w:rStyle w:val="Hyperlink"/>
          </w:rPr>
          <w:t>Spithoven</w:t>
        </w:r>
        <w:proofErr w:type="spellEnd"/>
        <w:r w:rsidR="00E80185" w:rsidRPr="00E80185">
          <w:rPr>
            <w:rStyle w:val="Hyperlink"/>
            <w:rFonts w:ascii="Arial" w:hAnsi="Arial" w:cs="Arial"/>
          </w:rPr>
          <w:t> </w:t>
        </w:r>
        <w:r w:rsidR="00E80185" w:rsidRPr="00E80185">
          <w:rPr>
            <w:rStyle w:val="Hyperlink"/>
          </w:rPr>
          <w:t>et</w:t>
        </w:r>
        <w:r w:rsidR="00E80185" w:rsidRPr="00E80185">
          <w:rPr>
            <w:rStyle w:val="Hyperlink"/>
            <w:rFonts w:ascii="Arial" w:hAnsi="Arial" w:cs="Arial"/>
          </w:rPr>
          <w:t> </w:t>
        </w:r>
        <w:r w:rsidR="00E80185" w:rsidRPr="00E80185">
          <w:rPr>
            <w:rStyle w:val="Hyperlink"/>
          </w:rPr>
          <w:t>al.,</w:t>
        </w:r>
        <w:r w:rsidR="00E80185" w:rsidRPr="00E80185">
          <w:rPr>
            <w:rStyle w:val="Hyperlink"/>
            <w:rFonts w:ascii="Arial" w:hAnsi="Arial" w:cs="Arial"/>
          </w:rPr>
          <w:t> </w:t>
        </w:r>
        <w:r w:rsidR="00E80185" w:rsidRPr="00E80185">
          <w:rPr>
            <w:rStyle w:val="Hyperlink"/>
          </w:rPr>
          <w:t>2017)</w:t>
        </w:r>
      </w:hyperlink>
      <w:r w:rsidR="00E80185" w:rsidRPr="00E80185">
        <w:t>.</w:t>
      </w:r>
      <w:r w:rsidR="009C7626">
        <w:t xml:space="preserve"> Specifically, the analyses aimed to </w:t>
      </w:r>
      <w:r w:rsidR="000F3A09" w:rsidRPr="000F3A09">
        <w:t>examine the factor structure of the SRBL-YA, and its association with measures of loneliness, depression, anxiety, and social anxiety.</w:t>
      </w:r>
    </w:p>
    <w:p w14:paraId="558985BC" w14:textId="7782956D" w:rsidR="00E56024" w:rsidRPr="00E56024" w:rsidRDefault="00E56024" w:rsidP="00E56024">
      <w:pPr>
        <w:rPr>
          <w:b/>
          <w:bCs/>
          <w:i/>
          <w:iCs/>
        </w:rPr>
      </w:pPr>
      <w:r w:rsidRPr="00E56024">
        <w:rPr>
          <w:b/>
          <w:bCs/>
          <w:i/>
          <w:iCs/>
        </w:rPr>
        <w:t>Sample</w:t>
      </w:r>
    </w:p>
    <w:p w14:paraId="3558C67C" w14:textId="4B9389B2" w:rsidR="00FD4146" w:rsidRDefault="00C92A20" w:rsidP="00E56024">
      <w:r>
        <w:t xml:space="preserve">The dataset </w:t>
      </w:r>
      <w:r w:rsidR="006105E8">
        <w:t>comprises two samples of participants:</w:t>
      </w:r>
      <w:r w:rsidR="00E34CBD">
        <w:t xml:space="preserve"> 288</w:t>
      </w:r>
      <w:r w:rsidR="00E56024" w:rsidRPr="00E56024">
        <w:t xml:space="preserve"> participants </w:t>
      </w:r>
      <w:r w:rsidR="00D47806">
        <w:t>took</w:t>
      </w:r>
      <w:r w:rsidR="00E34CBD">
        <w:t xml:space="preserve"> p</w:t>
      </w:r>
      <w:r w:rsidR="00E56024" w:rsidRPr="00E56024">
        <w:t xml:space="preserve">art in a study specifically aiming to verify the factor structure of the </w:t>
      </w:r>
      <w:r w:rsidR="003F3CC2">
        <w:t xml:space="preserve">SRBL-YA </w:t>
      </w:r>
      <w:r w:rsidR="00E56024" w:rsidRPr="00E56024">
        <w:t>and examine its associations with other related constructs</w:t>
      </w:r>
      <w:r w:rsidR="006516BD">
        <w:t xml:space="preserve"> (named </w:t>
      </w:r>
      <w:r w:rsidR="006516BD" w:rsidRPr="002D1EB6">
        <w:rPr>
          <w:b/>
          <w:bCs/>
        </w:rPr>
        <w:t>Sample 1</w:t>
      </w:r>
      <w:r w:rsidR="006516BD">
        <w:t xml:space="preserve"> in accompanying documents)</w:t>
      </w:r>
      <w:r w:rsidR="00E56024" w:rsidRPr="00E56024">
        <w:t xml:space="preserve">. This sample was supplemented with 128 participants who completed the study measures during a screening exercise for another study on the feasibility and acceptability of Cognitive Bias Modification Training for reducing youth loneliness </w:t>
      </w:r>
      <w:hyperlink r:id="rId5">
        <w:r w:rsidR="00E56024" w:rsidRPr="00E56024">
          <w:rPr>
            <w:rStyle w:val="Hyperlink"/>
          </w:rPr>
          <w:t>(Riddleston</w:t>
        </w:r>
        <w:r w:rsidR="00E56024" w:rsidRPr="00E56024">
          <w:rPr>
            <w:rStyle w:val="Hyperlink"/>
            <w:rFonts w:ascii="Arial" w:hAnsi="Arial" w:cs="Arial"/>
          </w:rPr>
          <w:t> </w:t>
        </w:r>
        <w:r w:rsidR="00E56024" w:rsidRPr="00E56024">
          <w:rPr>
            <w:rStyle w:val="Hyperlink"/>
          </w:rPr>
          <w:t>et</w:t>
        </w:r>
        <w:r w:rsidR="00E56024" w:rsidRPr="00E56024">
          <w:rPr>
            <w:rStyle w:val="Hyperlink"/>
            <w:rFonts w:ascii="Arial" w:hAnsi="Arial" w:cs="Arial"/>
          </w:rPr>
          <w:t> </w:t>
        </w:r>
        <w:r w:rsidR="00E56024" w:rsidRPr="00E56024">
          <w:rPr>
            <w:rStyle w:val="Hyperlink"/>
          </w:rPr>
          <w:t>al.,</w:t>
        </w:r>
        <w:r w:rsidR="00E56024" w:rsidRPr="00E56024">
          <w:rPr>
            <w:rStyle w:val="Hyperlink"/>
            <w:rFonts w:ascii="Arial" w:hAnsi="Arial" w:cs="Arial"/>
          </w:rPr>
          <w:t> </w:t>
        </w:r>
        <w:r w:rsidR="00E56024" w:rsidRPr="00E56024">
          <w:rPr>
            <w:rStyle w:val="Hyperlink"/>
          </w:rPr>
          <w:t>2023)</w:t>
        </w:r>
      </w:hyperlink>
      <w:r w:rsidR="006516BD">
        <w:t xml:space="preserve"> (named </w:t>
      </w:r>
      <w:r w:rsidR="006516BD" w:rsidRPr="002D1EB6">
        <w:rPr>
          <w:b/>
          <w:bCs/>
        </w:rPr>
        <w:t>Sample 2</w:t>
      </w:r>
      <w:r w:rsidR="006516BD">
        <w:t xml:space="preserve"> in accompanying documents)</w:t>
      </w:r>
      <w:r w:rsidR="00E56024" w:rsidRPr="00E56024">
        <w:t xml:space="preserve">. </w:t>
      </w:r>
    </w:p>
    <w:p w14:paraId="09C90393" w14:textId="05654F14" w:rsidR="00AA6A26" w:rsidRPr="00E56024" w:rsidRDefault="00AA6A26" w:rsidP="00E56024">
      <w:r>
        <w:t xml:space="preserve">Participants were </w:t>
      </w:r>
      <w:r w:rsidRPr="00AA6A26">
        <w:t>recruited through research recruitment emails at UK-based Universities and via social media platforms. Inclusion criteria were (1) being aged 18-24 years,</w:t>
      </w:r>
      <w:r w:rsidR="00386CAA">
        <w:t xml:space="preserve"> and</w:t>
      </w:r>
      <w:r w:rsidRPr="00AA6A26">
        <w:t xml:space="preserve"> (2) currently registered as a student at a university. Exclusion criteria were as follows: (1) inability to provide informed consent, (2) a diagnosed learning disability, significant head injury, neurological disorder, or epilepsy, and (3) struggling with communication in spoken or written English. </w:t>
      </w:r>
      <w:r w:rsidR="0076155F">
        <w:t>H</w:t>
      </w:r>
      <w:r w:rsidR="0076155F" w:rsidRPr="0076155F">
        <w:t xml:space="preserve">aving a current or past diagnosis of a severe mental health disorder was an additional exclusion criterion for </w:t>
      </w:r>
      <w:r w:rsidR="0076155F">
        <w:t xml:space="preserve">participants in Sample 2. </w:t>
      </w:r>
    </w:p>
    <w:p w14:paraId="7A66B2A0" w14:textId="77777777" w:rsidR="00E56024" w:rsidRPr="00E56024" w:rsidRDefault="00E56024" w:rsidP="00E56024">
      <w:pPr>
        <w:rPr>
          <w:b/>
          <w:bCs/>
          <w:i/>
          <w:iCs/>
        </w:rPr>
      </w:pPr>
      <w:r w:rsidRPr="00E56024">
        <w:rPr>
          <w:b/>
          <w:bCs/>
          <w:i/>
          <w:iCs/>
        </w:rPr>
        <w:t xml:space="preserve">Procedure </w:t>
      </w:r>
    </w:p>
    <w:p w14:paraId="50DFA47A" w14:textId="23B434D9" w:rsidR="00E56024" w:rsidRPr="00E56024" w:rsidRDefault="00E56024" w:rsidP="00E56024">
      <w:r w:rsidRPr="00E56024">
        <w:t xml:space="preserve">Data were collected using online surveys, via Qualtrics. The survey completed by </w:t>
      </w:r>
      <w:r w:rsidR="00AB0C6D">
        <w:t>Sample 1</w:t>
      </w:r>
      <w:r w:rsidRPr="00E56024">
        <w:t xml:space="preserve"> included reCAPTCHA verification. Participants completed a demographics form. All participants also completed the SRBL-YA and the UCLA-20 </w:t>
      </w:r>
      <w:hyperlink r:id="rId6">
        <w:r w:rsidRPr="00E56024">
          <w:rPr>
            <w:rStyle w:val="Hyperlink"/>
          </w:rPr>
          <w:t>(Russell,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1996)</w:t>
        </w:r>
      </w:hyperlink>
      <w:r w:rsidRPr="00E56024">
        <w:t xml:space="preserve">. </w:t>
      </w:r>
      <w:r w:rsidR="00AB0C6D" w:rsidRPr="00AB0C6D">
        <w:t>P</w:t>
      </w:r>
      <w:r w:rsidRPr="00E56024">
        <w:t xml:space="preserve">articipants </w:t>
      </w:r>
      <w:r w:rsidR="00AB0C6D">
        <w:t>in Sample 1</w:t>
      </w:r>
      <w:r w:rsidRPr="00E56024">
        <w:t xml:space="preserve"> also reported on their depression symptoms using the eight-item Patient Health Questionnaire (PHQ-8) </w:t>
      </w:r>
      <w:hyperlink r:id="rId7">
        <w:r w:rsidRPr="00E56024">
          <w:rPr>
            <w:rStyle w:val="Hyperlink"/>
          </w:rPr>
          <w:t>(Kroenke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et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al.,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2009)</w:t>
        </w:r>
      </w:hyperlink>
      <w:r w:rsidRPr="00E56024">
        <w:t xml:space="preserve">; anxiety symptoms using the Generalised Anxiety Disorder-7 (GAD-7) </w:t>
      </w:r>
      <w:hyperlink r:id="rId8">
        <w:r w:rsidRPr="00E56024">
          <w:rPr>
            <w:rStyle w:val="Hyperlink"/>
          </w:rPr>
          <w:t>(Spitzer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et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al.,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2006)</w:t>
        </w:r>
      </w:hyperlink>
      <w:r w:rsidRPr="00E56024">
        <w:t xml:space="preserve">; and social anxiety symptoms using the Straightforward Brief Fear of Negative Evaluation scale (BFNE-S) </w:t>
      </w:r>
      <w:hyperlink r:id="rId9">
        <w:r w:rsidRPr="00E56024">
          <w:rPr>
            <w:rStyle w:val="Hyperlink"/>
          </w:rPr>
          <w:t>(Rodebaugh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et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al.,</w:t>
        </w:r>
        <w:r w:rsidRPr="00E56024">
          <w:rPr>
            <w:rStyle w:val="Hyperlink"/>
            <w:rFonts w:ascii="Arial" w:hAnsi="Arial" w:cs="Arial"/>
          </w:rPr>
          <w:t> </w:t>
        </w:r>
        <w:r w:rsidRPr="00E56024">
          <w:rPr>
            <w:rStyle w:val="Hyperlink"/>
          </w:rPr>
          <w:t>2004)</w:t>
        </w:r>
      </w:hyperlink>
      <w:r w:rsidRPr="00E56024">
        <w:t>.</w:t>
      </w:r>
    </w:p>
    <w:p w14:paraId="67A677C3" w14:textId="2C4C432D" w:rsidR="00E25147" w:rsidRPr="00401818" w:rsidRDefault="00EB766A">
      <w:pPr>
        <w:rPr>
          <w:b/>
          <w:bCs/>
          <w:i/>
          <w:iCs/>
        </w:rPr>
      </w:pPr>
      <w:r>
        <w:rPr>
          <w:b/>
          <w:bCs/>
          <w:i/>
          <w:iCs/>
        </w:rPr>
        <w:t>Data processing</w:t>
      </w:r>
    </w:p>
    <w:p w14:paraId="4030E8B3" w14:textId="3BBB8ED3" w:rsidR="00195824" w:rsidRDefault="00EB766A">
      <w:r>
        <w:t>D</w:t>
      </w:r>
      <w:r w:rsidR="00195824" w:rsidRPr="00195824">
        <w:t>ata cleaning</w:t>
      </w:r>
      <w:r>
        <w:t xml:space="preserve"> </w:t>
      </w:r>
      <w:r w:rsidR="00195824" w:rsidRPr="00195824">
        <w:t>involved removal of duplicate responses (n = 21), responses with no (n = 184) or incomplete (n = 5) SRBL-YA data, responses with short survey completion times (under approximately half the median survey duration, n = 25)</w:t>
      </w:r>
      <w:r>
        <w:t>. This</w:t>
      </w:r>
      <w:r w:rsidR="00195824" w:rsidRPr="00195824">
        <w:t xml:space="preserve"> left </w:t>
      </w:r>
      <w:r>
        <w:t>a total sample of</w:t>
      </w:r>
      <w:r w:rsidR="00195824" w:rsidRPr="00195824">
        <w:t xml:space="preserve"> 416 participants (288 from </w:t>
      </w:r>
      <w:r>
        <w:t>Sample 1</w:t>
      </w:r>
      <w:r w:rsidR="00195824" w:rsidRPr="00195824">
        <w:t xml:space="preserve">, 188 from </w:t>
      </w:r>
      <w:r>
        <w:t>Sample 2</w:t>
      </w:r>
      <w:r w:rsidR="00195824" w:rsidRPr="00195824">
        <w:t xml:space="preserve">). </w:t>
      </w:r>
    </w:p>
    <w:p w14:paraId="16EB67DE" w14:textId="77777777" w:rsidR="006C727B" w:rsidRDefault="006C727B"/>
    <w:p w14:paraId="5EC726A1" w14:textId="77777777" w:rsidR="00367A46" w:rsidRPr="00367A46" w:rsidRDefault="00367A46" w:rsidP="00367A46">
      <w:hyperlink r:id="rId10" w:history="1">
        <w:r w:rsidRPr="00367A46">
          <w:rPr>
            <w:rStyle w:val="Hyperlink"/>
          </w:rPr>
          <w:t xml:space="preserve">Kroenke, K., Strine, T. W., Spitzer, R. L., Williams, J. B. W., Berry, J. T., &amp; Mokdad, A. H. (2009). The PHQ-8 as a measure of current depression in the general population. </w:t>
        </w:r>
        <w:r w:rsidRPr="00367A46">
          <w:rPr>
            <w:rStyle w:val="Hyperlink"/>
            <w:i/>
            <w:iCs/>
          </w:rPr>
          <w:t>Journal of Affective Disorders</w:t>
        </w:r>
        <w:r w:rsidRPr="00367A46">
          <w:rPr>
            <w:rStyle w:val="Hyperlink"/>
          </w:rPr>
          <w:t xml:space="preserve">, </w:t>
        </w:r>
        <w:r w:rsidRPr="00367A46">
          <w:rPr>
            <w:rStyle w:val="Hyperlink"/>
            <w:i/>
            <w:iCs/>
          </w:rPr>
          <w:t>114</w:t>
        </w:r>
        <w:r w:rsidRPr="00367A46">
          <w:rPr>
            <w:rStyle w:val="Hyperlink"/>
          </w:rPr>
          <w:t>(1–3), 163–173. https://doi.org/10.1016/j.jad.2008.06.026</w:t>
        </w:r>
      </w:hyperlink>
    </w:p>
    <w:p w14:paraId="3AE93004" w14:textId="77777777" w:rsidR="00E72EE5" w:rsidRPr="00E72EE5" w:rsidRDefault="00E72EE5" w:rsidP="00E72EE5">
      <w:hyperlink r:id="rId11" w:history="1">
        <w:r w:rsidRPr="00E72EE5">
          <w:rPr>
            <w:rStyle w:val="Hyperlink"/>
          </w:rPr>
          <w:t xml:space="preserve">Qualter, P., Vanhalst, J., Harris, R., Van Roekel, E., Lodder, G., Bangee, M., Maes, M., &amp; Verhagen, M. (2015). Loneliness across the life span. </w:t>
        </w:r>
        <w:r w:rsidRPr="00E72EE5">
          <w:rPr>
            <w:rStyle w:val="Hyperlink"/>
            <w:i/>
            <w:iCs/>
          </w:rPr>
          <w:t>Perspectives on Psychological Science</w:t>
        </w:r>
        <w:r w:rsidRPr="00E72EE5">
          <w:rPr>
            <w:rStyle w:val="Hyperlink"/>
          </w:rPr>
          <w:t xml:space="preserve">, </w:t>
        </w:r>
        <w:r w:rsidRPr="00E72EE5">
          <w:rPr>
            <w:rStyle w:val="Hyperlink"/>
            <w:i/>
            <w:iCs/>
          </w:rPr>
          <w:t>10</w:t>
        </w:r>
        <w:r w:rsidRPr="00E72EE5">
          <w:rPr>
            <w:rStyle w:val="Hyperlink"/>
          </w:rPr>
          <w:t>(2), 250–264. https://doi.org/10.1177/1745691615568999</w:t>
        </w:r>
      </w:hyperlink>
    </w:p>
    <w:p w14:paraId="6E4BD7FB" w14:textId="77777777" w:rsidR="00557C36" w:rsidRPr="00557C36" w:rsidRDefault="00557C36" w:rsidP="00557C36">
      <w:hyperlink r:id="rId12" w:history="1">
        <w:r w:rsidRPr="00557C36">
          <w:rPr>
            <w:rStyle w:val="Hyperlink"/>
          </w:rPr>
          <w:t xml:space="preserve">Riddleston, L., Bangura, E., Gibson, O., Qualter, P., &amp; Lau, J. Y. F. (2023). Developing an interpretation bias modification training task for alleviating loneliness in young people. </w:t>
        </w:r>
        <w:r w:rsidRPr="00557C36">
          <w:rPr>
            <w:rStyle w:val="Hyperlink"/>
            <w:i/>
            <w:iCs/>
          </w:rPr>
          <w:t>Behaviour Research and Therapy</w:t>
        </w:r>
        <w:r w:rsidRPr="00557C36">
          <w:rPr>
            <w:rStyle w:val="Hyperlink"/>
          </w:rPr>
          <w:t xml:space="preserve">, </w:t>
        </w:r>
        <w:r w:rsidRPr="00557C36">
          <w:rPr>
            <w:rStyle w:val="Hyperlink"/>
            <w:i/>
            <w:iCs/>
          </w:rPr>
          <w:t>168</w:t>
        </w:r>
        <w:r w:rsidRPr="00557C36">
          <w:rPr>
            <w:rStyle w:val="Hyperlink"/>
          </w:rPr>
          <w:t>, 104380. https://doi.org/10.1016/j.brat.2023.104380</w:t>
        </w:r>
      </w:hyperlink>
    </w:p>
    <w:p w14:paraId="41464489" w14:textId="77777777" w:rsidR="002A6BA1" w:rsidRPr="002A6BA1" w:rsidRDefault="002A6BA1" w:rsidP="002A6BA1">
      <w:hyperlink r:id="rId13" w:history="1">
        <w:r w:rsidRPr="002A6BA1">
          <w:rPr>
            <w:rStyle w:val="Hyperlink"/>
          </w:rPr>
          <w:t xml:space="preserve">Rodebaugh, T. L., Woods, C. M., Thissen, D. M., Heimberg, R. G., Chambless, D. L., &amp; Rapee, R. M. (2004). More information from fewer questions: the factor structure and item properties of the original and brief fear of negative evaluation scale. </w:t>
        </w:r>
        <w:r w:rsidRPr="002A6BA1">
          <w:rPr>
            <w:rStyle w:val="Hyperlink"/>
            <w:i/>
            <w:iCs/>
          </w:rPr>
          <w:t>Psychological Assessment</w:t>
        </w:r>
        <w:r w:rsidRPr="002A6BA1">
          <w:rPr>
            <w:rStyle w:val="Hyperlink"/>
          </w:rPr>
          <w:t xml:space="preserve">, </w:t>
        </w:r>
        <w:r w:rsidRPr="002A6BA1">
          <w:rPr>
            <w:rStyle w:val="Hyperlink"/>
            <w:i/>
            <w:iCs/>
          </w:rPr>
          <w:t>16</w:t>
        </w:r>
        <w:r w:rsidRPr="002A6BA1">
          <w:rPr>
            <w:rStyle w:val="Hyperlink"/>
          </w:rPr>
          <w:t>(2), 169–181. https://doi.org/10.1037/1040-3590.16.2.169</w:t>
        </w:r>
      </w:hyperlink>
    </w:p>
    <w:p w14:paraId="737311C4" w14:textId="77DD8A72" w:rsidR="006C727B" w:rsidRDefault="00677F7B">
      <w:hyperlink r:id="rId14" w:history="1">
        <w:r w:rsidRPr="00677F7B">
          <w:rPr>
            <w:rStyle w:val="Hyperlink"/>
          </w:rPr>
          <w:t xml:space="preserve">Russell, D. W. (1996). UCLA Loneliness Scale (Version 3): reliability, validity, and factor structure. </w:t>
        </w:r>
        <w:r w:rsidRPr="00677F7B">
          <w:rPr>
            <w:rStyle w:val="Hyperlink"/>
            <w:i/>
            <w:iCs/>
          </w:rPr>
          <w:t>Journal of Personality Assessment</w:t>
        </w:r>
        <w:r w:rsidRPr="00677F7B">
          <w:rPr>
            <w:rStyle w:val="Hyperlink"/>
          </w:rPr>
          <w:t xml:space="preserve">, </w:t>
        </w:r>
        <w:r w:rsidRPr="00677F7B">
          <w:rPr>
            <w:rStyle w:val="Hyperlink"/>
            <w:i/>
            <w:iCs/>
          </w:rPr>
          <w:t>66</w:t>
        </w:r>
        <w:r w:rsidRPr="00677F7B">
          <w:rPr>
            <w:rStyle w:val="Hyperlink"/>
          </w:rPr>
          <w:t>(1), 20–40. https://doi.org/10.1207/s15327752jpa6601_2</w:t>
        </w:r>
      </w:hyperlink>
    </w:p>
    <w:p w14:paraId="37CC56F6" w14:textId="77777777" w:rsidR="00FB422F" w:rsidRPr="00FB422F" w:rsidRDefault="00FB422F" w:rsidP="00FB422F">
      <w:hyperlink r:id="rId15" w:history="1">
        <w:r w:rsidRPr="00FB422F">
          <w:rPr>
            <w:rStyle w:val="Hyperlink"/>
          </w:rPr>
          <w:t xml:space="preserve">Spithoven, A. W. M., Bijttebier, P., &amp; Goossens, L. (2017). It is all in their mind: A review on information processing bias in lonely individuals. </w:t>
        </w:r>
        <w:r w:rsidRPr="00FB422F">
          <w:rPr>
            <w:rStyle w:val="Hyperlink"/>
            <w:i/>
            <w:iCs/>
          </w:rPr>
          <w:t>Clinical Psychology Review</w:t>
        </w:r>
        <w:r w:rsidRPr="00FB422F">
          <w:rPr>
            <w:rStyle w:val="Hyperlink"/>
          </w:rPr>
          <w:t xml:space="preserve">, </w:t>
        </w:r>
        <w:r w:rsidRPr="00FB422F">
          <w:rPr>
            <w:rStyle w:val="Hyperlink"/>
            <w:i/>
            <w:iCs/>
          </w:rPr>
          <w:t>58</w:t>
        </w:r>
        <w:r w:rsidRPr="00FB422F">
          <w:rPr>
            <w:rStyle w:val="Hyperlink"/>
          </w:rPr>
          <w:t>, 97–114. https://doi.org/10.1016/j.cpr.2017.10.003</w:t>
        </w:r>
      </w:hyperlink>
    </w:p>
    <w:p w14:paraId="3530FEB9" w14:textId="77777777" w:rsidR="00FB422F" w:rsidRPr="00FB422F" w:rsidRDefault="00FB422F" w:rsidP="00FB422F">
      <w:hyperlink r:id="rId16" w:history="1">
        <w:r w:rsidRPr="00FB422F">
          <w:rPr>
            <w:rStyle w:val="Hyperlink"/>
          </w:rPr>
          <w:t xml:space="preserve">Spitzer, R. L., Kroenke, K., Williams, J. B. W., &amp; Löwe, B. (2006). A brief measure for assessing generalized anxiety disorder: The GAD-7. </w:t>
        </w:r>
        <w:r w:rsidRPr="00FB422F">
          <w:rPr>
            <w:rStyle w:val="Hyperlink"/>
            <w:i/>
            <w:iCs/>
          </w:rPr>
          <w:t>Archives of Internal Medicine</w:t>
        </w:r>
        <w:r w:rsidRPr="00FB422F">
          <w:rPr>
            <w:rStyle w:val="Hyperlink"/>
          </w:rPr>
          <w:t xml:space="preserve">, </w:t>
        </w:r>
        <w:r w:rsidRPr="00FB422F">
          <w:rPr>
            <w:rStyle w:val="Hyperlink"/>
            <w:i/>
            <w:iCs/>
          </w:rPr>
          <w:t>166</w:t>
        </w:r>
        <w:r w:rsidRPr="00FB422F">
          <w:rPr>
            <w:rStyle w:val="Hyperlink"/>
          </w:rPr>
          <w:t>(10), 1092–1097. https://doi.org/10.1001/archinte.166.10.1092</w:t>
        </w:r>
      </w:hyperlink>
    </w:p>
    <w:p w14:paraId="33F63920" w14:textId="77777777" w:rsidR="00401818" w:rsidRDefault="00401818"/>
    <w:sectPr w:rsidR="004018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47"/>
    <w:rsid w:val="00016182"/>
    <w:rsid w:val="000422F9"/>
    <w:rsid w:val="00056DD8"/>
    <w:rsid w:val="000B027E"/>
    <w:rsid w:val="000F3A09"/>
    <w:rsid w:val="00106407"/>
    <w:rsid w:val="001113B0"/>
    <w:rsid w:val="00176321"/>
    <w:rsid w:val="001932E8"/>
    <w:rsid w:val="00195824"/>
    <w:rsid w:val="002A6BA1"/>
    <w:rsid w:val="002B74CD"/>
    <w:rsid w:val="002D1EB6"/>
    <w:rsid w:val="00367A46"/>
    <w:rsid w:val="00386CAA"/>
    <w:rsid w:val="003B748A"/>
    <w:rsid w:val="003F3CC2"/>
    <w:rsid w:val="00401818"/>
    <w:rsid w:val="004B47EB"/>
    <w:rsid w:val="00557C36"/>
    <w:rsid w:val="006105E8"/>
    <w:rsid w:val="006516BD"/>
    <w:rsid w:val="00677F7B"/>
    <w:rsid w:val="006C727B"/>
    <w:rsid w:val="0076155F"/>
    <w:rsid w:val="00843E1F"/>
    <w:rsid w:val="00857176"/>
    <w:rsid w:val="00891DBD"/>
    <w:rsid w:val="00924127"/>
    <w:rsid w:val="009A4C63"/>
    <w:rsid w:val="009C6431"/>
    <w:rsid w:val="009C7626"/>
    <w:rsid w:val="00AA6A26"/>
    <w:rsid w:val="00AB0C6D"/>
    <w:rsid w:val="00AD7580"/>
    <w:rsid w:val="00B01D45"/>
    <w:rsid w:val="00C92A20"/>
    <w:rsid w:val="00D0134E"/>
    <w:rsid w:val="00D47806"/>
    <w:rsid w:val="00E12FB3"/>
    <w:rsid w:val="00E25147"/>
    <w:rsid w:val="00E34CBD"/>
    <w:rsid w:val="00E56024"/>
    <w:rsid w:val="00E72EE5"/>
    <w:rsid w:val="00E80185"/>
    <w:rsid w:val="00EB766A"/>
    <w:rsid w:val="00F03359"/>
    <w:rsid w:val="00F171A5"/>
    <w:rsid w:val="00F81BFC"/>
    <w:rsid w:val="00FB422F"/>
    <w:rsid w:val="00FD4146"/>
    <w:rsid w:val="00FE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C0B36"/>
  <w15:chartTrackingRefBased/>
  <w15:docId w15:val="{EFF231DA-07AA-4C28-A554-3B5EF3D3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51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51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51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51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51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51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51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51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51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51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51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51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51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51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51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51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51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51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51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5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51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5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51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51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51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51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51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51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51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514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5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wheel.com/work/citation?ids=771330&amp;pre=&amp;suf=&amp;sa=0&amp;dbf=0" TargetMode="External"/><Relationship Id="rId13" Type="http://schemas.openxmlformats.org/officeDocument/2006/relationships/hyperlink" Target="https://sciwheel.com/work/bibliography/89178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iwheel.com/work/citation?ids=743193&amp;pre=&amp;suf=&amp;sa=0&amp;dbf=0" TargetMode="External"/><Relationship Id="rId12" Type="http://schemas.openxmlformats.org/officeDocument/2006/relationships/hyperlink" Target="https://sciwheel.com/work/bibliography/1525712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sciwheel.com/work/bibliography/771330" TargetMode="External"/><Relationship Id="rId1" Type="http://schemas.openxmlformats.org/officeDocument/2006/relationships/styles" Target="styles.xml"/><Relationship Id="rId6" Type="http://schemas.openxmlformats.org/officeDocument/2006/relationships/hyperlink" Target="https://sciwheel.com/work/citation?ids=4931387&amp;pre=&amp;suf=&amp;sa=0&amp;dbf=0" TargetMode="External"/><Relationship Id="rId11" Type="http://schemas.openxmlformats.org/officeDocument/2006/relationships/hyperlink" Target="https://sciwheel.com/work/bibliography/7511059" TargetMode="External"/><Relationship Id="rId5" Type="http://schemas.openxmlformats.org/officeDocument/2006/relationships/hyperlink" Target="https://sciwheel.com/work/citation?ids=15257120&amp;pre=&amp;suf=&amp;sa=0&amp;dbf=0" TargetMode="External"/><Relationship Id="rId15" Type="http://schemas.openxmlformats.org/officeDocument/2006/relationships/hyperlink" Target="https://sciwheel.com/work/bibliography/5670108" TargetMode="External"/><Relationship Id="rId10" Type="http://schemas.openxmlformats.org/officeDocument/2006/relationships/hyperlink" Target="https://sciwheel.com/work/bibliography/743193" TargetMode="External"/><Relationship Id="rId4" Type="http://schemas.openxmlformats.org/officeDocument/2006/relationships/hyperlink" Target="https://sciwheel.com/work/citation?ids=7511059,5670108&amp;pre=&amp;pre=&amp;suf=&amp;suf=&amp;sa=0,0&amp;dbf=0&amp;dbf=0" TargetMode="External"/><Relationship Id="rId9" Type="http://schemas.openxmlformats.org/officeDocument/2006/relationships/hyperlink" Target="https://sciwheel.com/work/citation?ids=891784&amp;pre=&amp;suf=&amp;sa=0&amp;dbf=0" TargetMode="External"/><Relationship Id="rId14" Type="http://schemas.openxmlformats.org/officeDocument/2006/relationships/hyperlink" Target="https://sciwheel.com/work/bibliography/49313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B7D7122-A8D5-479C-8AA5-0757CDCFA1C2}">
  <we:reference id="wa200002534" version="6.0.0.0" store="en-001" storeType="OMEX"/>
  <we:alternateReferences>
    <we:reference id="wa200002534" version="6.0.0.0" store="wa200002534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Riddleston</dc:creator>
  <cp:keywords/>
  <dc:description/>
  <cp:lastModifiedBy>Laura Riddleston</cp:lastModifiedBy>
  <cp:revision>47</cp:revision>
  <dcterms:created xsi:type="dcterms:W3CDTF">2025-01-13T11:40:00Z</dcterms:created>
  <dcterms:modified xsi:type="dcterms:W3CDTF">2025-01-23T12:08:00Z</dcterms:modified>
</cp:coreProperties>
</file>