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Trade unions, grass roots activism and solidarity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857608_ReadMe.docx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description of each of the files included as part of this submission in Microsoft Word Document </w:t>
            </w:r>
            <w:r>
              <w:t>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857608_ConsentFormTemplate.rtf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857608_DataList.xlsx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857608_InformationSheet.rtf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857608_InterviewSchedule.rtf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copy of the </w:t>
            </w:r>
            <w:r>
              <w:t>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CS2WP34W0001_redacted.rtf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r>
              <w:t>CS2WP34W0002_Round1_redacted.rtf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CS2WP34W0002_Round2_redacted.rtf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lastRenderedPageBreak/>
              <w:t>CS2WP34W0003_redacted.rtf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Text </w:t>
            </w:r>
            <w:r>
              <w:t>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CS2WP34W0004_redacted.rtf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CS2WP34W0005_redacted.rtf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CS2WP34W0006_redacted.rtf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CS2WP34W0007_Round1_redacted.rtf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CS2WP34W0007_Round2_redacted.rtf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CS2WP34W0008_redacted.rtf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CS2WP34W0009_redacted.rtf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CS2WP34W0010_redacted.rtf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Text Format </w:t>
            </w:r>
            <w:r>
              <w:t>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CS2WP34W0011_redacted.rtf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CS2WP34W0012_redacted.rtf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CS2WP34W0013_redacted.rtf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CS2WP34W0014_redacted.rtf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CS2WP34W0015_redacted.rtf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CS2WP34W0016_redacted.rtf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CS2WP34W0017_redacted.rtf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CS2WP34W0018_redacted.rtf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CS2WP34W0019_redacted.rtf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BE270F" w:rsidTr="00BE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E270F" w:rsidRDefault="002F0F78">
            <w:r>
              <w:t>CS2WP34W0020_redacted.rtf</w:t>
            </w:r>
          </w:p>
        </w:tc>
        <w:tc>
          <w:tcPr>
            <w:tcW w:w="4818" w:type="dxa"/>
          </w:tcPr>
          <w:p w:rsidR="00BE270F" w:rsidRDefault="002F0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None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0F78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0156B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270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BAC92-99A8-48B2-8513-162E368753D4}"/>
</file>

<file path=customXml/itemProps3.xml><?xml version="1.0" encoding="utf-8"?>
<ds:datastoreItem xmlns:ds="http://schemas.openxmlformats.org/officeDocument/2006/customXml" ds:itemID="{B2DAC3AA-18C7-42F2-8A95-5A315240AB91}"/>
</file>

<file path=customXml/itemProps4.xml><?xml version="1.0" encoding="utf-8"?>
<ds:datastoreItem xmlns:ds="http://schemas.openxmlformats.org/officeDocument/2006/customXml" ds:itemID="{9C60B3D0-E4A5-43B3-9D1F-3C072EFF3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2024-12-17T15:15:00Z</dcterms:created>
  <dcterms:modified xsi:type="dcterms:W3CDTF">2024-12-17T15:15:00Z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