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DA776" w14:textId="6331BA52" w:rsidR="00B31808" w:rsidRPr="003C1664" w:rsidRDefault="00107602" w:rsidP="00AF46AC">
      <w:pPr>
        <w:jc w:val="both"/>
        <w:rPr>
          <w:rFonts w:ascii="Palatino Linotype" w:hAnsi="Palatino Linotype"/>
          <w:b/>
          <w:bCs/>
          <w:u w:val="single"/>
        </w:rPr>
      </w:pPr>
      <w:r w:rsidRPr="003C1664">
        <w:rPr>
          <w:rFonts w:ascii="Palatino Linotype" w:hAnsi="Palatino Linotype"/>
          <w:b/>
          <w:bCs/>
          <w:u w:val="single"/>
        </w:rPr>
        <w:t>Methods description</w:t>
      </w:r>
    </w:p>
    <w:p w14:paraId="521D0375" w14:textId="77777777" w:rsidR="00737EB1" w:rsidRPr="003C1664" w:rsidRDefault="00737EB1" w:rsidP="00AF46AC">
      <w:pPr>
        <w:jc w:val="both"/>
        <w:rPr>
          <w:rFonts w:ascii="Palatino Linotype" w:hAnsi="Palatino Linotype"/>
        </w:rPr>
      </w:pPr>
    </w:p>
    <w:p w14:paraId="72F95058" w14:textId="77777777" w:rsidR="00D443FE" w:rsidRDefault="0026394D" w:rsidP="00AF46AC">
      <w:pPr>
        <w:jc w:val="both"/>
        <w:rPr>
          <w:rFonts w:ascii="Palatino Linotype" w:hAnsi="Palatino Linotype"/>
        </w:rPr>
      </w:pPr>
      <w:r w:rsidRPr="003C1664">
        <w:rPr>
          <w:rFonts w:ascii="Palatino Linotype" w:hAnsi="Palatino Linotype"/>
        </w:rPr>
        <w:t xml:space="preserve">The </w:t>
      </w:r>
      <w:r w:rsidR="00D443FE">
        <w:rPr>
          <w:rFonts w:ascii="Palatino Linotype" w:hAnsi="Palatino Linotype"/>
        </w:rPr>
        <w:t>project involved two main tranches of data collection: (</w:t>
      </w:r>
      <w:proofErr w:type="spellStart"/>
      <w:r w:rsidR="00D443FE">
        <w:rPr>
          <w:rFonts w:ascii="Palatino Linotype" w:hAnsi="Palatino Linotype"/>
        </w:rPr>
        <w:t>i</w:t>
      </w:r>
      <w:proofErr w:type="spellEnd"/>
      <w:r w:rsidR="00D443FE">
        <w:rPr>
          <w:rFonts w:ascii="Palatino Linotype" w:hAnsi="Palatino Linotype"/>
        </w:rPr>
        <w:t xml:space="preserve">) setting up a specialist advice clinic to undertake </w:t>
      </w:r>
      <w:r w:rsidRPr="003C1664">
        <w:rPr>
          <w:rFonts w:ascii="Palatino Linotype" w:hAnsi="Palatino Linotype"/>
        </w:rPr>
        <w:t>advice-led ethnography</w:t>
      </w:r>
      <w:r w:rsidR="00D443FE">
        <w:rPr>
          <w:rFonts w:ascii="Palatino Linotype" w:hAnsi="Palatino Linotype"/>
        </w:rPr>
        <w:t xml:space="preserve"> and (ii) conducting </w:t>
      </w:r>
      <w:r w:rsidR="00D443FE" w:rsidRPr="00D443FE">
        <w:rPr>
          <w:rFonts w:ascii="Palatino Linotype" w:hAnsi="Palatino Linotype"/>
        </w:rPr>
        <w:t>semi-structured interviews with key stakeholders in the delivery of the EU Settlement Scheme</w:t>
      </w:r>
      <w:r w:rsidRPr="003C1664">
        <w:rPr>
          <w:rFonts w:ascii="Palatino Linotype" w:hAnsi="Palatino Linotype"/>
        </w:rPr>
        <w:t xml:space="preserve">. </w:t>
      </w:r>
    </w:p>
    <w:p w14:paraId="59FD06F5" w14:textId="77777777" w:rsidR="00D443FE" w:rsidRDefault="00D443FE" w:rsidP="00AF46AC">
      <w:pPr>
        <w:jc w:val="both"/>
        <w:rPr>
          <w:rFonts w:ascii="Palatino Linotype" w:hAnsi="Palatino Linotype"/>
        </w:rPr>
      </w:pPr>
    </w:p>
    <w:p w14:paraId="3B525635" w14:textId="77777777" w:rsidR="00D443FE" w:rsidRDefault="00D443FE" w:rsidP="00D443FE">
      <w:pPr>
        <w:pStyle w:val="ListParagraph"/>
        <w:numPr>
          <w:ilvl w:val="0"/>
          <w:numId w:val="1"/>
        </w:numPr>
        <w:jc w:val="both"/>
        <w:rPr>
          <w:rFonts w:ascii="Palatino Linotype" w:hAnsi="Palatino Linotype"/>
        </w:rPr>
      </w:pPr>
      <w:r>
        <w:rPr>
          <w:rFonts w:ascii="Palatino Linotype" w:hAnsi="Palatino Linotype"/>
        </w:rPr>
        <w:t xml:space="preserve">Advice led </w:t>
      </w:r>
      <w:proofErr w:type="gramStart"/>
      <w:r>
        <w:rPr>
          <w:rFonts w:ascii="Palatino Linotype" w:hAnsi="Palatino Linotype"/>
        </w:rPr>
        <w:t>ethnography</w:t>
      </w:r>
      <w:proofErr w:type="gramEnd"/>
    </w:p>
    <w:p w14:paraId="52BFC880" w14:textId="77777777" w:rsidR="00D443FE" w:rsidRDefault="00D443FE" w:rsidP="00D443FE">
      <w:pPr>
        <w:jc w:val="both"/>
        <w:rPr>
          <w:rFonts w:ascii="Palatino Linotype" w:hAnsi="Palatino Linotype"/>
        </w:rPr>
      </w:pPr>
    </w:p>
    <w:p w14:paraId="16397EDD" w14:textId="3A4CDF5E" w:rsidR="00B8661C" w:rsidRPr="00D443FE" w:rsidRDefault="00D443FE" w:rsidP="00D443FE">
      <w:pPr>
        <w:jc w:val="both"/>
        <w:rPr>
          <w:rFonts w:ascii="Palatino Linotype" w:hAnsi="Palatino Linotype"/>
        </w:rPr>
      </w:pPr>
      <w:r>
        <w:rPr>
          <w:rFonts w:ascii="Palatino Linotype" w:hAnsi="Palatino Linotype"/>
        </w:rPr>
        <w:t>This</w:t>
      </w:r>
      <w:r w:rsidR="0026394D" w:rsidRPr="00D443FE">
        <w:rPr>
          <w:rFonts w:ascii="Palatino Linotype" w:hAnsi="Palatino Linotype"/>
        </w:rPr>
        <w:t xml:space="preserve"> is the giving of advice, and the documenting of legal and administrative issues encountered in a parallel ethnography. By using academic expertise </w:t>
      </w:r>
      <w:proofErr w:type="gramStart"/>
      <w:r w:rsidR="0026394D" w:rsidRPr="00D443FE">
        <w:rPr>
          <w:rFonts w:ascii="Palatino Linotype" w:hAnsi="Palatino Linotype"/>
        </w:rPr>
        <w:t>in the course of</w:t>
      </w:r>
      <w:proofErr w:type="gramEnd"/>
      <w:r w:rsidR="0026394D" w:rsidRPr="00D443FE">
        <w:rPr>
          <w:rFonts w:ascii="Palatino Linotype" w:hAnsi="Palatino Linotype"/>
        </w:rPr>
        <w:t xml:space="preserve"> giving advice we learn the distance between theory and practice and discover obstacles that would otherwise remain hidden (O’Brien, 2017). It is a particularly important methodology when dealing with new legal changes</w:t>
      </w:r>
      <w:r w:rsidR="00B8661C" w:rsidRPr="00D443FE">
        <w:rPr>
          <w:rFonts w:ascii="Palatino Linotype" w:hAnsi="Palatino Linotype"/>
        </w:rPr>
        <w:t xml:space="preserve">, where there are no clear legal precedents to follow. </w:t>
      </w:r>
    </w:p>
    <w:p w14:paraId="09E56AC7" w14:textId="77777777" w:rsidR="00B8661C" w:rsidRPr="003C1664" w:rsidRDefault="00B8661C" w:rsidP="00AF46AC">
      <w:pPr>
        <w:jc w:val="both"/>
        <w:rPr>
          <w:rFonts w:ascii="Palatino Linotype" w:hAnsi="Palatino Linotype"/>
        </w:rPr>
      </w:pPr>
    </w:p>
    <w:p w14:paraId="437E33B0" w14:textId="43625C35" w:rsidR="001E0B2F" w:rsidRPr="003C1664" w:rsidRDefault="001E0B2F" w:rsidP="00AF46AC">
      <w:pPr>
        <w:jc w:val="both"/>
        <w:rPr>
          <w:rFonts w:ascii="Palatino Linotype" w:hAnsi="Palatino Linotype"/>
        </w:rPr>
      </w:pPr>
      <w:r w:rsidRPr="003C1664">
        <w:rPr>
          <w:rFonts w:ascii="Palatino Linotype" w:hAnsi="Palatino Linotype"/>
        </w:rPr>
        <w:t xml:space="preserve">We set up a dedicated advice service – the EU Rights &amp; Brexit Hub – under the auspices of the Baroness Hale Legal Clinic at the University of York. It had a specific email address. We spread news about the service and the research objectives to advice organisations around the UK through membership of the EUSS Alliance, the EU Delegation to the UK’s Monitoring Network on Citizens’ Rights, and through </w:t>
      </w:r>
      <w:proofErr w:type="spellStart"/>
      <w:r w:rsidRPr="003C1664">
        <w:rPr>
          <w:rFonts w:ascii="Palatino Linotype" w:hAnsi="Palatino Linotype"/>
        </w:rPr>
        <w:t>Rightsnet</w:t>
      </w:r>
      <w:proofErr w:type="spellEnd"/>
      <w:r w:rsidRPr="003C1664">
        <w:rPr>
          <w:rFonts w:ascii="Palatino Linotype" w:hAnsi="Palatino Linotype"/>
        </w:rPr>
        <w:t xml:space="preserve">. </w:t>
      </w:r>
    </w:p>
    <w:p w14:paraId="7EF4229D" w14:textId="77777777" w:rsidR="001E0B2F" w:rsidRPr="003C1664" w:rsidRDefault="001E0B2F" w:rsidP="00AF46AC">
      <w:pPr>
        <w:jc w:val="both"/>
        <w:rPr>
          <w:rFonts w:ascii="Palatino Linotype" w:hAnsi="Palatino Linotype"/>
        </w:rPr>
      </w:pPr>
    </w:p>
    <w:p w14:paraId="2900376F" w14:textId="6709CDF4" w:rsidR="001E0B2F" w:rsidRPr="003C1664" w:rsidRDefault="00283B19" w:rsidP="00AF46AC">
      <w:pPr>
        <w:jc w:val="both"/>
        <w:rPr>
          <w:rFonts w:ascii="Palatino Linotype" w:hAnsi="Palatino Linotype"/>
        </w:rPr>
      </w:pPr>
      <w:r w:rsidRPr="003C1664">
        <w:rPr>
          <w:rFonts w:ascii="Palatino Linotype" w:hAnsi="Palatino Linotype"/>
        </w:rPr>
        <w:t xml:space="preserve">Advisers were invited to email us and to complete a consultation form – but they could provide the necessary information just in text in an email if they preferred. </w:t>
      </w:r>
      <w:r w:rsidR="00B23858" w:rsidRPr="003C1664">
        <w:rPr>
          <w:rFonts w:ascii="Palatino Linotype" w:hAnsi="Palatino Linotype"/>
        </w:rPr>
        <w:t xml:space="preserve">We received queries from all around the UK – England, Wales, </w:t>
      </w:r>
      <w:proofErr w:type="gramStart"/>
      <w:r w:rsidR="00B23858" w:rsidRPr="003C1664">
        <w:rPr>
          <w:rFonts w:ascii="Palatino Linotype" w:hAnsi="Palatino Linotype"/>
        </w:rPr>
        <w:t>Scotland</w:t>
      </w:r>
      <w:proofErr w:type="gramEnd"/>
      <w:r w:rsidR="00B23858" w:rsidRPr="003C1664">
        <w:rPr>
          <w:rFonts w:ascii="Palatino Linotype" w:hAnsi="Palatino Linotype"/>
        </w:rPr>
        <w:t xml:space="preserve"> and Northern Ireland. We provided advice and support remotely</w:t>
      </w:r>
      <w:r w:rsidR="003F4E76" w:rsidRPr="003C1664">
        <w:rPr>
          <w:rFonts w:ascii="Palatino Linotype" w:hAnsi="Palatino Linotype"/>
        </w:rPr>
        <w:t xml:space="preserve">. </w:t>
      </w:r>
    </w:p>
    <w:p w14:paraId="20846EF9" w14:textId="77777777" w:rsidR="00371892" w:rsidRPr="003C1664" w:rsidRDefault="00371892" w:rsidP="00AF46AC">
      <w:pPr>
        <w:jc w:val="both"/>
        <w:rPr>
          <w:rFonts w:ascii="Palatino Linotype" w:hAnsi="Palatino Linotype"/>
        </w:rPr>
      </w:pPr>
    </w:p>
    <w:p w14:paraId="23D709CA" w14:textId="7FE01187" w:rsidR="005D6B63" w:rsidRPr="003C1664" w:rsidRDefault="00771F1F" w:rsidP="00AF46AC">
      <w:pPr>
        <w:jc w:val="both"/>
        <w:rPr>
          <w:rFonts w:ascii="Palatino Linotype" w:hAnsi="Palatino Linotype"/>
        </w:rPr>
      </w:pPr>
      <w:r w:rsidRPr="003C1664">
        <w:rPr>
          <w:rFonts w:ascii="Palatino Linotype" w:hAnsi="Palatino Linotype"/>
        </w:rPr>
        <w:t xml:space="preserve">Advisers </w:t>
      </w:r>
      <w:r w:rsidR="00371892" w:rsidRPr="003C1664">
        <w:rPr>
          <w:rFonts w:ascii="Palatino Linotype" w:hAnsi="Palatino Linotype"/>
        </w:rPr>
        <w:t xml:space="preserve">identified possible cases and sent </w:t>
      </w:r>
      <w:r w:rsidRPr="003C1664">
        <w:rPr>
          <w:rFonts w:ascii="Palatino Linotype" w:hAnsi="Palatino Linotype"/>
        </w:rPr>
        <w:t xml:space="preserve">enquiries and case summaries to our email address. </w:t>
      </w:r>
      <w:r w:rsidR="00371892" w:rsidRPr="003C1664">
        <w:rPr>
          <w:rFonts w:ascii="Palatino Linotype" w:hAnsi="Palatino Linotype"/>
        </w:rPr>
        <w:t xml:space="preserve">If the summary provided was sufficient for </w:t>
      </w:r>
      <w:r w:rsidR="005D6B63" w:rsidRPr="003C1664">
        <w:rPr>
          <w:rFonts w:ascii="Palatino Linotype" w:hAnsi="Palatino Linotype"/>
        </w:rPr>
        <w:t>us</w:t>
      </w:r>
      <w:r w:rsidR="00371892" w:rsidRPr="003C1664">
        <w:rPr>
          <w:rFonts w:ascii="Palatino Linotype" w:hAnsi="Palatino Linotype"/>
        </w:rPr>
        <w:t xml:space="preserve"> to </w:t>
      </w:r>
      <w:proofErr w:type="gramStart"/>
      <w:r w:rsidR="00371892" w:rsidRPr="003C1664">
        <w:rPr>
          <w:rFonts w:ascii="Palatino Linotype" w:hAnsi="Palatino Linotype"/>
        </w:rPr>
        <w:t>make a decision</w:t>
      </w:r>
      <w:proofErr w:type="gramEnd"/>
      <w:r w:rsidR="00371892" w:rsidRPr="003C1664">
        <w:rPr>
          <w:rFonts w:ascii="Palatino Linotype" w:hAnsi="Palatino Linotype"/>
        </w:rPr>
        <w:t xml:space="preserve"> as to whether </w:t>
      </w:r>
      <w:r w:rsidR="005D6B63" w:rsidRPr="003C1664">
        <w:rPr>
          <w:rFonts w:ascii="Palatino Linotype" w:hAnsi="Palatino Linotype"/>
        </w:rPr>
        <w:t xml:space="preserve">we </w:t>
      </w:r>
      <w:r w:rsidR="00371892" w:rsidRPr="003C1664">
        <w:rPr>
          <w:rFonts w:ascii="Palatino Linotype" w:hAnsi="Palatino Linotype"/>
        </w:rPr>
        <w:t xml:space="preserve">could help, (asking: did the case meet the main criteria for the project? Was there likely useful input to be made for the client? Did the summary indicate a contribution to the research questions? Did </w:t>
      </w:r>
      <w:r w:rsidR="002D7C36" w:rsidRPr="003C1664">
        <w:rPr>
          <w:rFonts w:ascii="Palatino Linotype" w:hAnsi="Palatino Linotype"/>
        </w:rPr>
        <w:t xml:space="preserve">we </w:t>
      </w:r>
      <w:r w:rsidR="00371892" w:rsidRPr="003C1664">
        <w:rPr>
          <w:rFonts w:ascii="Palatino Linotype" w:hAnsi="Palatino Linotype"/>
        </w:rPr>
        <w:t xml:space="preserve">have capacity?) </w:t>
      </w:r>
      <w:r w:rsidR="005D6B63" w:rsidRPr="003C1664">
        <w:rPr>
          <w:rFonts w:ascii="Palatino Linotype" w:hAnsi="Palatino Linotype"/>
        </w:rPr>
        <w:t>we provided advisers with a description of the project and the nature of cases on which we could advise, and an information sheet for them to provide to their clients. They were asked to complete a consent form, in which they were asked to confirm that they had secured their clients’ consent to consult us.</w:t>
      </w:r>
    </w:p>
    <w:p w14:paraId="7C3F371A" w14:textId="77777777" w:rsidR="005D6B63" w:rsidRPr="003C1664" w:rsidRDefault="005D6B63" w:rsidP="00AF46AC">
      <w:pPr>
        <w:jc w:val="both"/>
        <w:rPr>
          <w:rFonts w:ascii="Palatino Linotype" w:hAnsi="Palatino Linotype"/>
        </w:rPr>
      </w:pPr>
    </w:p>
    <w:p w14:paraId="48B04F7A" w14:textId="0C99B381" w:rsidR="00371892" w:rsidRPr="003C1664" w:rsidRDefault="005D6B63" w:rsidP="00AF46AC">
      <w:pPr>
        <w:jc w:val="both"/>
        <w:rPr>
          <w:rFonts w:ascii="Palatino Linotype" w:hAnsi="Palatino Linotype"/>
        </w:rPr>
      </w:pPr>
      <w:r w:rsidRPr="003C1664">
        <w:rPr>
          <w:rFonts w:ascii="Palatino Linotype" w:hAnsi="Palatino Linotype"/>
        </w:rPr>
        <w:t xml:space="preserve">All data sent to us was anonymised </w:t>
      </w:r>
      <w:proofErr w:type="gramStart"/>
      <w:r w:rsidRPr="003C1664">
        <w:rPr>
          <w:rFonts w:ascii="Palatino Linotype" w:hAnsi="Palatino Linotype"/>
        </w:rPr>
        <w:t>with regard to</w:t>
      </w:r>
      <w:proofErr w:type="gramEnd"/>
      <w:r w:rsidRPr="003C1664">
        <w:rPr>
          <w:rFonts w:ascii="Palatino Linotype" w:hAnsi="Palatino Linotype"/>
        </w:rPr>
        <w:t xml:space="preserve"> </w:t>
      </w:r>
      <w:r w:rsidR="00397CD1" w:rsidRPr="003C1664">
        <w:rPr>
          <w:rFonts w:ascii="Palatino Linotype" w:hAnsi="Palatino Linotype"/>
        </w:rPr>
        <w:t xml:space="preserve">original </w:t>
      </w:r>
      <w:r w:rsidRPr="003C1664">
        <w:rPr>
          <w:rFonts w:ascii="Palatino Linotype" w:hAnsi="Palatino Linotype"/>
        </w:rPr>
        <w:t>client data before being recorded</w:t>
      </w:r>
      <w:r w:rsidR="00371892" w:rsidRPr="003C1664">
        <w:rPr>
          <w:rFonts w:ascii="Palatino Linotype" w:hAnsi="Palatino Linotype"/>
        </w:rPr>
        <w:t>. The main constraint on sample size was capacity. The studied population was EU nationals based in the UK, or who had been recently based in the UK, and UK nationals returning from the EU, and who had sought help from</w:t>
      </w:r>
      <w:r w:rsidRPr="003C1664">
        <w:rPr>
          <w:rFonts w:ascii="Palatino Linotype" w:hAnsi="Palatino Linotype"/>
        </w:rPr>
        <w:t xml:space="preserve"> an advice organisation</w:t>
      </w:r>
      <w:r w:rsidR="002D7C36" w:rsidRPr="003C1664">
        <w:rPr>
          <w:rFonts w:ascii="Palatino Linotype" w:hAnsi="Palatino Linotype"/>
        </w:rPr>
        <w:t xml:space="preserve"> (or in some cases, a local authority)</w:t>
      </w:r>
      <w:r w:rsidR="00371892" w:rsidRPr="003C1664">
        <w:rPr>
          <w:rFonts w:ascii="Palatino Linotype" w:hAnsi="Palatino Linotype"/>
        </w:rPr>
        <w:t xml:space="preserve">. This was a limiting factor, since it </w:t>
      </w:r>
      <w:r w:rsidR="00371892" w:rsidRPr="003C1664">
        <w:rPr>
          <w:rFonts w:ascii="Palatino Linotype" w:hAnsi="Palatino Linotype"/>
        </w:rPr>
        <w:lastRenderedPageBreak/>
        <w:t xml:space="preserve">meant </w:t>
      </w:r>
      <w:r w:rsidR="002D7C36" w:rsidRPr="003C1664">
        <w:rPr>
          <w:rFonts w:ascii="Palatino Linotype" w:hAnsi="Palatino Linotype"/>
        </w:rPr>
        <w:t>we</w:t>
      </w:r>
      <w:r w:rsidR="00371892" w:rsidRPr="003C1664">
        <w:rPr>
          <w:rFonts w:ascii="Palatino Linotype" w:hAnsi="Palatino Linotype"/>
        </w:rPr>
        <w:t xml:space="preserve"> only saw clients who had themselves already recognised a problem with </w:t>
      </w:r>
      <w:r w:rsidR="002D7C36" w:rsidRPr="003C1664">
        <w:rPr>
          <w:rFonts w:ascii="Palatino Linotype" w:hAnsi="Palatino Linotype"/>
        </w:rPr>
        <w:t>accessing public services</w:t>
      </w:r>
      <w:r w:rsidR="00371892" w:rsidRPr="003C1664">
        <w:rPr>
          <w:rFonts w:ascii="Palatino Linotype" w:hAnsi="Palatino Linotype"/>
        </w:rPr>
        <w:t xml:space="preserve">, for which they had sought support.  </w:t>
      </w:r>
    </w:p>
    <w:p w14:paraId="4FE5BE54" w14:textId="77777777" w:rsidR="00283B19" w:rsidRPr="003C1664" w:rsidRDefault="00283B19" w:rsidP="00AF46AC">
      <w:pPr>
        <w:jc w:val="both"/>
        <w:rPr>
          <w:rFonts w:ascii="Palatino Linotype" w:hAnsi="Palatino Linotype"/>
        </w:rPr>
      </w:pPr>
    </w:p>
    <w:p w14:paraId="03D9A0F3" w14:textId="154BA43B" w:rsidR="00B8661C" w:rsidRPr="003C1664" w:rsidRDefault="00B8661C" w:rsidP="00AF46AC">
      <w:pPr>
        <w:jc w:val="both"/>
        <w:rPr>
          <w:rFonts w:ascii="Palatino Linotype" w:hAnsi="Palatino Linotype"/>
        </w:rPr>
      </w:pPr>
      <w:r w:rsidRPr="003C1664">
        <w:rPr>
          <w:rFonts w:ascii="Palatino Linotype" w:hAnsi="Palatino Linotype"/>
        </w:rPr>
        <w:t>We compile</w:t>
      </w:r>
      <w:r w:rsidR="00B167CE" w:rsidRPr="003C1664">
        <w:rPr>
          <w:rFonts w:ascii="Palatino Linotype" w:hAnsi="Palatino Linotype"/>
        </w:rPr>
        <w:t xml:space="preserve">d case notes including all communications between organisations and the project as redacted field notes, and analysed documents submitted to us, summarising them for the purpose of the field notes. We not only gave advice but prepared advice letters and draft submissions in some cases; these have also been redacted and included in our data. </w:t>
      </w:r>
    </w:p>
    <w:p w14:paraId="20E55AD7" w14:textId="65832BEE" w:rsidR="0026394D" w:rsidRPr="003C1664" w:rsidRDefault="0026394D" w:rsidP="00AF46AC">
      <w:pPr>
        <w:jc w:val="both"/>
        <w:rPr>
          <w:rFonts w:ascii="Palatino Linotype" w:hAnsi="Palatino Linotype"/>
        </w:rPr>
      </w:pPr>
    </w:p>
    <w:p w14:paraId="1AC77E76" w14:textId="340F16EB" w:rsidR="00737EB1" w:rsidRDefault="0026394D" w:rsidP="00AF46AC">
      <w:pPr>
        <w:jc w:val="both"/>
        <w:rPr>
          <w:rFonts w:ascii="Palatino Linotype" w:hAnsi="Palatino Linotype"/>
        </w:rPr>
      </w:pPr>
      <w:r w:rsidRPr="003C1664">
        <w:rPr>
          <w:rFonts w:ascii="Palatino Linotype" w:hAnsi="Palatino Linotype"/>
        </w:rPr>
        <w:t xml:space="preserve">Some of the most significant obstacles to justice are only visible when analysing decisions in practice (CPAG, 2011). Unofficial barriers to justice are frequently unnoticed, and concerns subdued (Lens et al 2013), while the quality of decision-making </w:t>
      </w:r>
      <w:proofErr w:type="gramStart"/>
      <w:r w:rsidRPr="003C1664">
        <w:rPr>
          <w:rFonts w:ascii="Palatino Linotype" w:hAnsi="Palatino Linotype"/>
        </w:rPr>
        <w:t>with regard to</w:t>
      </w:r>
      <w:proofErr w:type="gramEnd"/>
      <w:r w:rsidRPr="003C1664">
        <w:rPr>
          <w:rFonts w:ascii="Palatino Linotype" w:hAnsi="Palatino Linotype"/>
        </w:rPr>
        <w:t xml:space="preserve"> EEA+ nationals’ rights is often questionable (Shaw, 2015). In legal research, some studies are based on case observation (e.g. McDermott &amp; Kirk, 2017), while use of evidence from practice is frequently ad hoc and covert (Miller, 2000); advice-led ethnography instead makes the research objectives clear from the start, and adopts the rigorous approach to practitioner research used in other disciplines (Davies, 2002; Farrer, 2007; Barton, 2008; Fox, Martin &amp; Green, 2007; Harvey &amp; Myers, 1995). We </w:t>
      </w:r>
      <w:r w:rsidR="00B8661C" w:rsidRPr="003C1664">
        <w:rPr>
          <w:rFonts w:ascii="Palatino Linotype" w:hAnsi="Palatino Linotype"/>
        </w:rPr>
        <w:t>identified</w:t>
      </w:r>
      <w:r w:rsidRPr="003C1664">
        <w:rPr>
          <w:rFonts w:ascii="Palatino Linotype" w:hAnsi="Palatino Linotype"/>
        </w:rPr>
        <w:t xml:space="preserve"> key problems, e.g.: decision maker error; technological problems; communication failures; or inaccurate guidance. </w:t>
      </w:r>
      <w:r w:rsidR="00B8661C" w:rsidRPr="003C1664">
        <w:rPr>
          <w:rFonts w:ascii="Palatino Linotype" w:hAnsi="Palatino Linotype"/>
        </w:rPr>
        <w:t>In the process</w:t>
      </w:r>
      <w:r w:rsidRPr="003C1664">
        <w:rPr>
          <w:rFonts w:ascii="Palatino Linotype" w:hAnsi="Palatino Linotype"/>
        </w:rPr>
        <w:t xml:space="preserve"> </w:t>
      </w:r>
      <w:r w:rsidR="00B8661C" w:rsidRPr="003C1664">
        <w:rPr>
          <w:rFonts w:ascii="Palatino Linotype" w:hAnsi="Palatino Linotype"/>
        </w:rPr>
        <w:t xml:space="preserve">we gave advice and drafting support that </w:t>
      </w:r>
      <w:r w:rsidRPr="003C1664">
        <w:rPr>
          <w:rFonts w:ascii="Palatino Linotype" w:hAnsi="Palatino Linotype"/>
        </w:rPr>
        <w:t>help</w:t>
      </w:r>
      <w:r w:rsidR="00B8661C" w:rsidRPr="003C1664">
        <w:rPr>
          <w:rFonts w:ascii="Palatino Linotype" w:hAnsi="Palatino Linotype"/>
        </w:rPr>
        <w:t>ed</w:t>
      </w:r>
      <w:r w:rsidRPr="003C1664">
        <w:rPr>
          <w:rFonts w:ascii="Palatino Linotype" w:hAnsi="Palatino Linotype"/>
        </w:rPr>
        <w:t xml:space="preserve"> organisations and their clients </w:t>
      </w:r>
      <w:r w:rsidR="00B8661C" w:rsidRPr="003C1664">
        <w:rPr>
          <w:rFonts w:ascii="Palatino Linotype" w:hAnsi="Palatino Linotype"/>
        </w:rPr>
        <w:t>secure</w:t>
      </w:r>
      <w:r w:rsidRPr="003C1664">
        <w:rPr>
          <w:rFonts w:ascii="Palatino Linotype" w:hAnsi="Palatino Linotype"/>
        </w:rPr>
        <w:t xml:space="preserve"> access to benefits, housing, shelter accommodation, </w:t>
      </w:r>
      <w:proofErr w:type="gramStart"/>
      <w:r w:rsidRPr="003C1664">
        <w:rPr>
          <w:rFonts w:ascii="Palatino Linotype" w:hAnsi="Palatino Linotype"/>
        </w:rPr>
        <w:t>healthcare</w:t>
      </w:r>
      <w:proofErr w:type="gramEnd"/>
      <w:r w:rsidRPr="003C1664">
        <w:rPr>
          <w:rFonts w:ascii="Palatino Linotype" w:hAnsi="Palatino Linotype"/>
        </w:rPr>
        <w:t xml:space="preserve"> and secure immigration rights. Advisers have noted that the work has ‘helped people at the same time as studying them; that’s what’s really unique about it’ (REF 2021).</w:t>
      </w:r>
    </w:p>
    <w:p w14:paraId="57F5ADCD" w14:textId="77777777" w:rsidR="00D443FE" w:rsidRDefault="00D443FE" w:rsidP="00AF46AC">
      <w:pPr>
        <w:jc w:val="both"/>
        <w:rPr>
          <w:rFonts w:ascii="Palatino Linotype" w:hAnsi="Palatino Linotype"/>
        </w:rPr>
      </w:pPr>
    </w:p>
    <w:p w14:paraId="777E337A" w14:textId="049221C9" w:rsidR="00D443FE" w:rsidRDefault="00D443FE" w:rsidP="00D443FE">
      <w:pPr>
        <w:pStyle w:val="ListParagraph"/>
        <w:numPr>
          <w:ilvl w:val="0"/>
          <w:numId w:val="1"/>
        </w:numPr>
        <w:jc w:val="both"/>
        <w:rPr>
          <w:rFonts w:ascii="Palatino Linotype" w:hAnsi="Palatino Linotype"/>
        </w:rPr>
      </w:pPr>
      <w:r>
        <w:rPr>
          <w:rFonts w:ascii="Palatino Linotype" w:hAnsi="Palatino Linotype"/>
        </w:rPr>
        <w:t>Semi-structured interviews</w:t>
      </w:r>
    </w:p>
    <w:p w14:paraId="495F8B63" w14:textId="1DE61BBC" w:rsidR="00D443FE" w:rsidRDefault="00D443FE" w:rsidP="00D443FE">
      <w:pPr>
        <w:jc w:val="both"/>
        <w:rPr>
          <w:rFonts w:ascii="Palatino Linotype" w:hAnsi="Palatino Linotype"/>
        </w:rPr>
      </w:pPr>
      <w:r>
        <w:rPr>
          <w:rFonts w:ascii="Palatino Linotype" w:hAnsi="Palatino Linotype"/>
        </w:rPr>
        <w:t>There were two sets of stakeholder</w:t>
      </w:r>
      <w:r w:rsidR="00193AD8">
        <w:rPr>
          <w:rFonts w:ascii="Palatino Linotype" w:hAnsi="Palatino Linotype"/>
        </w:rPr>
        <w:t xml:space="preserve"> interviews:</w:t>
      </w:r>
    </w:p>
    <w:p w14:paraId="0AC612F5" w14:textId="77777777" w:rsidR="00193AD8" w:rsidRDefault="00193AD8" w:rsidP="00D443FE">
      <w:pPr>
        <w:jc w:val="both"/>
        <w:rPr>
          <w:rFonts w:ascii="Palatino Linotype" w:hAnsi="Palatino Linotype"/>
        </w:rPr>
      </w:pPr>
    </w:p>
    <w:p w14:paraId="54C33C70" w14:textId="5AFD7ADE" w:rsidR="00D443FE" w:rsidRPr="00D443FE" w:rsidRDefault="00D443FE" w:rsidP="00D443FE">
      <w:pPr>
        <w:jc w:val="both"/>
        <w:rPr>
          <w:rFonts w:ascii="Palatino Linotype" w:hAnsi="Palatino Linotype"/>
        </w:rPr>
      </w:pPr>
      <w:r w:rsidRPr="00D443FE">
        <w:rPr>
          <w:rFonts w:ascii="Palatino Linotype" w:hAnsi="Palatino Linotype"/>
        </w:rPr>
        <w:t>1.</w:t>
      </w:r>
      <w:r w:rsidRPr="00D443FE">
        <w:rPr>
          <w:rFonts w:ascii="Palatino Linotype" w:hAnsi="Palatino Linotype"/>
        </w:rPr>
        <w:tab/>
        <w:t>Parliamentary Study</w:t>
      </w:r>
    </w:p>
    <w:p w14:paraId="60F2714C" w14:textId="77777777" w:rsidR="00D443FE" w:rsidRPr="00D443FE" w:rsidRDefault="00D443FE" w:rsidP="00D443FE">
      <w:pPr>
        <w:jc w:val="both"/>
        <w:rPr>
          <w:rFonts w:ascii="Palatino Linotype" w:hAnsi="Palatino Linotype"/>
        </w:rPr>
      </w:pPr>
      <w:r w:rsidRPr="00D443FE">
        <w:rPr>
          <w:rFonts w:ascii="Palatino Linotype" w:hAnsi="Palatino Linotype"/>
        </w:rPr>
        <w:t>2.</w:t>
      </w:r>
      <w:r w:rsidRPr="00D443FE">
        <w:rPr>
          <w:rFonts w:ascii="Palatino Linotype" w:hAnsi="Palatino Linotype"/>
        </w:rPr>
        <w:tab/>
        <w:t>Voluntary Organisation Study</w:t>
      </w:r>
    </w:p>
    <w:p w14:paraId="4FF16B91" w14:textId="77777777" w:rsidR="00D443FE" w:rsidRPr="00D443FE" w:rsidRDefault="00D443FE" w:rsidP="00D443FE">
      <w:pPr>
        <w:jc w:val="both"/>
        <w:rPr>
          <w:rFonts w:ascii="Palatino Linotype" w:hAnsi="Palatino Linotype"/>
        </w:rPr>
      </w:pPr>
    </w:p>
    <w:p w14:paraId="7BB87649" w14:textId="77777777" w:rsidR="00D443FE" w:rsidRPr="00D443FE" w:rsidRDefault="00D443FE" w:rsidP="00D443FE">
      <w:pPr>
        <w:jc w:val="both"/>
        <w:rPr>
          <w:rFonts w:ascii="Palatino Linotype" w:hAnsi="Palatino Linotype"/>
        </w:rPr>
      </w:pPr>
      <w:r w:rsidRPr="00D443FE">
        <w:rPr>
          <w:rFonts w:ascii="Palatino Linotype" w:hAnsi="Palatino Linotype"/>
        </w:rPr>
        <w:t>The following provides a short summary of the selection criteria for each study.</w:t>
      </w:r>
    </w:p>
    <w:p w14:paraId="6E9EBBD6" w14:textId="77777777" w:rsidR="00D443FE" w:rsidRPr="00D443FE" w:rsidRDefault="00D443FE" w:rsidP="00D443FE">
      <w:pPr>
        <w:jc w:val="both"/>
        <w:rPr>
          <w:rFonts w:ascii="Palatino Linotype" w:hAnsi="Palatino Linotype"/>
        </w:rPr>
      </w:pPr>
    </w:p>
    <w:p w14:paraId="5A99018B" w14:textId="77777777" w:rsidR="00D443FE" w:rsidRPr="00D443FE" w:rsidRDefault="00D443FE" w:rsidP="00D443FE">
      <w:pPr>
        <w:jc w:val="both"/>
        <w:rPr>
          <w:rFonts w:ascii="Palatino Linotype" w:hAnsi="Palatino Linotype"/>
        </w:rPr>
      </w:pPr>
      <w:r w:rsidRPr="00D443FE">
        <w:rPr>
          <w:rFonts w:ascii="Palatino Linotype" w:hAnsi="Palatino Linotype"/>
        </w:rPr>
        <w:t xml:space="preserve">It is worth noting that as the interviews carried the risk of identification, even from redacted transcripts, all participants were required to provide additional consent </w:t>
      </w:r>
      <w:proofErr w:type="gramStart"/>
      <w:r w:rsidRPr="00D443FE">
        <w:rPr>
          <w:rFonts w:ascii="Palatino Linotype" w:hAnsi="Palatino Linotype"/>
        </w:rPr>
        <w:t>in order for</w:t>
      </w:r>
      <w:proofErr w:type="gramEnd"/>
      <w:r w:rsidRPr="00D443FE">
        <w:rPr>
          <w:rFonts w:ascii="Palatino Linotype" w:hAnsi="Palatino Linotype"/>
        </w:rPr>
        <w:t xml:space="preserve"> their transcripts to be included in the UKDS. Not all gave this </w:t>
      </w:r>
      <w:proofErr w:type="gramStart"/>
      <w:r w:rsidRPr="00D443FE">
        <w:rPr>
          <w:rFonts w:ascii="Palatino Linotype" w:hAnsi="Palatino Linotype"/>
        </w:rPr>
        <w:t>consent</w:t>
      </w:r>
      <w:proofErr w:type="gramEnd"/>
      <w:r w:rsidRPr="00D443FE">
        <w:rPr>
          <w:rFonts w:ascii="Palatino Linotype" w:hAnsi="Palatino Linotype"/>
        </w:rPr>
        <w:t xml:space="preserve"> so the following also includes a ratio of interviews included in the submission. </w:t>
      </w:r>
    </w:p>
    <w:p w14:paraId="3ADD14A0" w14:textId="77777777" w:rsidR="00D443FE" w:rsidRPr="00D443FE" w:rsidRDefault="00D443FE" w:rsidP="00D443FE">
      <w:pPr>
        <w:jc w:val="both"/>
        <w:rPr>
          <w:rFonts w:ascii="Palatino Linotype" w:hAnsi="Palatino Linotype"/>
        </w:rPr>
      </w:pPr>
    </w:p>
    <w:p w14:paraId="4E6D23E1" w14:textId="77777777" w:rsidR="00D443FE" w:rsidRPr="00193AD8" w:rsidRDefault="00D443FE" w:rsidP="00D443FE">
      <w:pPr>
        <w:jc w:val="both"/>
        <w:rPr>
          <w:rFonts w:ascii="Palatino Linotype" w:hAnsi="Palatino Linotype"/>
          <w:b/>
          <w:bCs/>
        </w:rPr>
      </w:pPr>
      <w:r w:rsidRPr="00193AD8">
        <w:rPr>
          <w:rFonts w:ascii="Palatino Linotype" w:hAnsi="Palatino Linotype"/>
          <w:b/>
          <w:bCs/>
        </w:rPr>
        <w:t>Parliamentary Study.</w:t>
      </w:r>
    </w:p>
    <w:p w14:paraId="779486C3" w14:textId="77777777" w:rsidR="00193AD8" w:rsidRDefault="00193AD8" w:rsidP="00D443FE">
      <w:pPr>
        <w:jc w:val="both"/>
        <w:rPr>
          <w:rFonts w:ascii="Palatino Linotype" w:hAnsi="Palatino Linotype"/>
        </w:rPr>
      </w:pPr>
    </w:p>
    <w:p w14:paraId="4C063BD7" w14:textId="3CBB46B6" w:rsidR="00D443FE" w:rsidRPr="00D443FE" w:rsidRDefault="00D443FE" w:rsidP="00D443FE">
      <w:pPr>
        <w:jc w:val="both"/>
        <w:rPr>
          <w:rFonts w:ascii="Palatino Linotype" w:hAnsi="Palatino Linotype"/>
        </w:rPr>
      </w:pPr>
      <w:r w:rsidRPr="00D443FE">
        <w:rPr>
          <w:rFonts w:ascii="Palatino Linotype" w:hAnsi="Palatino Linotype"/>
        </w:rPr>
        <w:t>Interviews Conducted: 35</w:t>
      </w:r>
    </w:p>
    <w:p w14:paraId="26327D6D" w14:textId="77777777" w:rsidR="00D443FE" w:rsidRPr="00D443FE" w:rsidRDefault="00D443FE" w:rsidP="00D443FE">
      <w:pPr>
        <w:jc w:val="both"/>
        <w:rPr>
          <w:rFonts w:ascii="Palatino Linotype" w:hAnsi="Palatino Linotype"/>
        </w:rPr>
      </w:pPr>
      <w:r w:rsidRPr="00D443FE">
        <w:rPr>
          <w:rFonts w:ascii="Palatino Linotype" w:hAnsi="Palatino Linotype"/>
        </w:rPr>
        <w:t xml:space="preserve">Transcripts included: </w:t>
      </w:r>
      <w:proofErr w:type="gramStart"/>
      <w:r w:rsidRPr="00D443FE">
        <w:rPr>
          <w:rFonts w:ascii="Palatino Linotype" w:hAnsi="Palatino Linotype"/>
        </w:rPr>
        <w:t>20</w:t>
      </w:r>
      <w:proofErr w:type="gramEnd"/>
    </w:p>
    <w:p w14:paraId="7A027BA9" w14:textId="77777777" w:rsidR="00D443FE" w:rsidRPr="00D443FE" w:rsidRDefault="00D443FE" w:rsidP="00D443FE">
      <w:pPr>
        <w:jc w:val="both"/>
        <w:rPr>
          <w:rFonts w:ascii="Palatino Linotype" w:hAnsi="Palatino Linotype"/>
        </w:rPr>
      </w:pPr>
    </w:p>
    <w:p w14:paraId="4C4F0405" w14:textId="77777777" w:rsidR="00D443FE" w:rsidRPr="00D443FE" w:rsidRDefault="00D443FE" w:rsidP="00D443FE">
      <w:pPr>
        <w:jc w:val="both"/>
        <w:rPr>
          <w:rFonts w:ascii="Palatino Linotype" w:hAnsi="Palatino Linotype"/>
        </w:rPr>
      </w:pPr>
      <w:r w:rsidRPr="00D443FE">
        <w:rPr>
          <w:rFonts w:ascii="Palatino Linotype" w:hAnsi="Palatino Linotype"/>
        </w:rPr>
        <w:lastRenderedPageBreak/>
        <w:t>MPs and Lords were selected according to two criteria.</w:t>
      </w:r>
    </w:p>
    <w:p w14:paraId="0E5A16F3" w14:textId="77777777" w:rsidR="00D443FE" w:rsidRPr="00D443FE" w:rsidRDefault="00D443FE" w:rsidP="00D443FE">
      <w:pPr>
        <w:jc w:val="both"/>
        <w:rPr>
          <w:rFonts w:ascii="Palatino Linotype" w:hAnsi="Palatino Linotype"/>
        </w:rPr>
      </w:pPr>
    </w:p>
    <w:p w14:paraId="312F27AB" w14:textId="77777777" w:rsidR="00D443FE" w:rsidRPr="00D443FE" w:rsidRDefault="00D443FE" w:rsidP="00D443FE">
      <w:pPr>
        <w:jc w:val="both"/>
        <w:rPr>
          <w:rFonts w:ascii="Palatino Linotype" w:hAnsi="Palatino Linotype"/>
        </w:rPr>
      </w:pPr>
      <w:r w:rsidRPr="00D443FE">
        <w:rPr>
          <w:rFonts w:ascii="Palatino Linotype" w:hAnsi="Palatino Linotype"/>
        </w:rPr>
        <w:t>1.</w:t>
      </w:r>
      <w:r w:rsidRPr="00D443FE">
        <w:rPr>
          <w:rFonts w:ascii="Palatino Linotype" w:hAnsi="Palatino Linotype"/>
        </w:rPr>
        <w:tab/>
        <w:t xml:space="preserve">Estimated EU nationals as constituents. Using experimental data from the Annual Population Survey provided to us by the Migration Observatory we selected MPs offices where we estimated that their constituency in the top two deciles of constituencies by resident EEA nationals. </w:t>
      </w:r>
    </w:p>
    <w:p w14:paraId="79119838" w14:textId="77777777" w:rsidR="00D443FE" w:rsidRPr="00D443FE" w:rsidRDefault="00D443FE" w:rsidP="00D443FE">
      <w:pPr>
        <w:jc w:val="both"/>
        <w:rPr>
          <w:rFonts w:ascii="Palatino Linotype" w:hAnsi="Palatino Linotype"/>
        </w:rPr>
      </w:pPr>
    </w:p>
    <w:p w14:paraId="33099907" w14:textId="77777777" w:rsidR="00D443FE" w:rsidRPr="00D443FE" w:rsidRDefault="00D443FE" w:rsidP="00D443FE">
      <w:pPr>
        <w:jc w:val="both"/>
        <w:rPr>
          <w:rFonts w:ascii="Palatino Linotype" w:hAnsi="Palatino Linotype"/>
        </w:rPr>
      </w:pPr>
      <w:r w:rsidRPr="00D443FE">
        <w:rPr>
          <w:rFonts w:ascii="Palatino Linotype" w:hAnsi="Palatino Linotype"/>
        </w:rPr>
        <w:t>2.</w:t>
      </w:r>
      <w:r w:rsidRPr="00D443FE">
        <w:rPr>
          <w:rFonts w:ascii="Palatino Linotype" w:hAnsi="Palatino Linotype"/>
        </w:rPr>
        <w:tab/>
        <w:t xml:space="preserve">Membership of relevant parliamentary policy networks. MPs and lords were also invited to interview if they </w:t>
      </w:r>
      <w:proofErr w:type="gramStart"/>
      <w:r w:rsidRPr="00D443FE">
        <w:rPr>
          <w:rFonts w:ascii="Palatino Linotype" w:hAnsi="Palatino Linotype"/>
        </w:rPr>
        <w:t>were considered to be</w:t>
      </w:r>
      <w:proofErr w:type="gramEnd"/>
      <w:r w:rsidRPr="00D443FE">
        <w:rPr>
          <w:rFonts w:ascii="Palatino Linotype" w:hAnsi="Palatino Linotype"/>
        </w:rPr>
        <w:t xml:space="preserve"> active members of relevant parliamentary policy networks on EEA+ nationals rights after Brexit. These were identified as </w:t>
      </w:r>
      <w:proofErr w:type="gramStart"/>
      <w:r w:rsidRPr="00D443FE">
        <w:rPr>
          <w:rFonts w:ascii="Palatino Linotype" w:hAnsi="Palatino Linotype"/>
        </w:rPr>
        <w:t>follows</w:t>
      </w:r>
      <w:proofErr w:type="gramEnd"/>
    </w:p>
    <w:p w14:paraId="12405E9D" w14:textId="77777777" w:rsidR="00D443FE" w:rsidRPr="00D443FE" w:rsidRDefault="00D443FE" w:rsidP="00D443FE">
      <w:pPr>
        <w:jc w:val="both"/>
        <w:rPr>
          <w:rFonts w:ascii="Palatino Linotype" w:hAnsi="Palatino Linotype"/>
        </w:rPr>
      </w:pPr>
    </w:p>
    <w:p w14:paraId="4A7A61EF" w14:textId="0AB8B85C" w:rsidR="00D443FE" w:rsidRPr="00D443FE" w:rsidRDefault="00D443FE" w:rsidP="00193AD8">
      <w:pPr>
        <w:ind w:left="720" w:hanging="720"/>
        <w:jc w:val="both"/>
        <w:rPr>
          <w:rFonts w:ascii="Palatino Linotype" w:hAnsi="Palatino Linotype"/>
        </w:rPr>
      </w:pPr>
      <w:r w:rsidRPr="00D443FE">
        <w:rPr>
          <w:rFonts w:ascii="Palatino Linotype" w:hAnsi="Palatino Linotype"/>
        </w:rPr>
        <w:t>•</w:t>
      </w:r>
      <w:r w:rsidRPr="00D443FE">
        <w:rPr>
          <w:rFonts w:ascii="Palatino Linotype" w:hAnsi="Palatino Linotype"/>
        </w:rPr>
        <w:tab/>
        <w:t xml:space="preserve">Membership of All Party Parliamentary Groups on Immigration Policy, EU </w:t>
      </w:r>
      <w:proofErr w:type="spellStart"/>
      <w:r w:rsidRPr="00D443FE">
        <w:rPr>
          <w:rFonts w:ascii="Palatino Linotype" w:hAnsi="Palatino Linotype"/>
        </w:rPr>
        <w:t>citizens</w:t>
      </w:r>
      <w:proofErr w:type="spellEnd"/>
      <w:r w:rsidRPr="00D443FE">
        <w:rPr>
          <w:rFonts w:ascii="Palatino Linotype" w:hAnsi="Palatino Linotype"/>
        </w:rPr>
        <w:t xml:space="preserve"> </w:t>
      </w:r>
      <w:r w:rsidR="00193AD8">
        <w:rPr>
          <w:rFonts w:ascii="Palatino Linotype" w:hAnsi="Palatino Linotype"/>
        </w:rPr>
        <w:t>r</w:t>
      </w:r>
      <w:r w:rsidRPr="00D443FE">
        <w:rPr>
          <w:rFonts w:ascii="Palatino Linotype" w:hAnsi="Palatino Linotype"/>
        </w:rPr>
        <w:t>ights or an affected country.</w:t>
      </w:r>
    </w:p>
    <w:p w14:paraId="540BF0CE" w14:textId="77777777" w:rsidR="00D443FE" w:rsidRPr="00D443FE" w:rsidRDefault="00D443FE" w:rsidP="00193AD8">
      <w:pPr>
        <w:ind w:left="720" w:hanging="720"/>
        <w:jc w:val="both"/>
        <w:rPr>
          <w:rFonts w:ascii="Palatino Linotype" w:hAnsi="Palatino Linotype"/>
        </w:rPr>
      </w:pPr>
      <w:r w:rsidRPr="00D443FE">
        <w:rPr>
          <w:rFonts w:ascii="Palatino Linotype" w:hAnsi="Palatino Linotype"/>
        </w:rPr>
        <w:t>•</w:t>
      </w:r>
      <w:r w:rsidRPr="00D443FE">
        <w:rPr>
          <w:rFonts w:ascii="Palatino Linotype" w:hAnsi="Palatino Linotype"/>
        </w:rPr>
        <w:tab/>
        <w:t xml:space="preserve">Membership of Commons or Lords Select Committees on EU relations or which had conducted an inquiry covering EU </w:t>
      </w:r>
      <w:proofErr w:type="spellStart"/>
      <w:r w:rsidRPr="00D443FE">
        <w:rPr>
          <w:rFonts w:ascii="Palatino Linotype" w:hAnsi="Palatino Linotype"/>
        </w:rPr>
        <w:t>citizens</w:t>
      </w:r>
      <w:proofErr w:type="spellEnd"/>
      <w:r w:rsidRPr="00D443FE">
        <w:rPr>
          <w:rFonts w:ascii="Palatino Linotype" w:hAnsi="Palatino Linotype"/>
        </w:rPr>
        <w:t xml:space="preserve"> rights. </w:t>
      </w:r>
    </w:p>
    <w:p w14:paraId="6921E6A6" w14:textId="77777777" w:rsidR="00D443FE" w:rsidRPr="00D443FE" w:rsidRDefault="00D443FE" w:rsidP="00193AD8">
      <w:pPr>
        <w:ind w:left="720" w:hanging="720"/>
        <w:jc w:val="both"/>
        <w:rPr>
          <w:rFonts w:ascii="Palatino Linotype" w:hAnsi="Palatino Linotype"/>
        </w:rPr>
      </w:pPr>
      <w:r w:rsidRPr="00D443FE">
        <w:rPr>
          <w:rFonts w:ascii="Palatino Linotype" w:hAnsi="Palatino Linotype"/>
        </w:rPr>
        <w:t>•</w:t>
      </w:r>
      <w:r w:rsidRPr="00D443FE">
        <w:rPr>
          <w:rFonts w:ascii="Palatino Linotype" w:hAnsi="Palatino Linotype"/>
        </w:rPr>
        <w:tab/>
        <w:t>Contributors to parliamentary debates or bill committees on the post Brexit rights of EEA+ nations</w:t>
      </w:r>
    </w:p>
    <w:p w14:paraId="549A6A03" w14:textId="77777777" w:rsidR="00D443FE" w:rsidRPr="00D443FE" w:rsidRDefault="00D443FE" w:rsidP="00D443FE">
      <w:pPr>
        <w:jc w:val="both"/>
        <w:rPr>
          <w:rFonts w:ascii="Palatino Linotype" w:hAnsi="Palatino Linotype"/>
        </w:rPr>
      </w:pPr>
    </w:p>
    <w:p w14:paraId="42E1CAA8" w14:textId="77777777" w:rsidR="00D443FE" w:rsidRPr="00D443FE" w:rsidRDefault="00D443FE" w:rsidP="00D443FE">
      <w:pPr>
        <w:jc w:val="both"/>
        <w:rPr>
          <w:rFonts w:ascii="Palatino Linotype" w:hAnsi="Palatino Linotype"/>
        </w:rPr>
      </w:pPr>
      <w:r w:rsidRPr="00D443FE">
        <w:rPr>
          <w:rFonts w:ascii="Palatino Linotype" w:hAnsi="Palatino Linotype"/>
        </w:rPr>
        <w:t>Participants were contacted by email inviting them to interview in three waves. Shortly before the formal exit from the European union (December 31</w:t>
      </w:r>
      <w:proofErr w:type="gramStart"/>
      <w:r w:rsidRPr="00D443FE">
        <w:rPr>
          <w:rFonts w:ascii="Palatino Linotype" w:hAnsi="Palatino Linotype"/>
        </w:rPr>
        <w:t>st  2020</w:t>
      </w:r>
      <w:proofErr w:type="gramEnd"/>
      <w:r w:rsidRPr="00D443FE">
        <w:rPr>
          <w:rFonts w:ascii="Palatino Linotype" w:hAnsi="Palatino Linotype"/>
        </w:rPr>
        <w:t xml:space="preserve">), between the formal exit and the end of the grace period for EEA/EU nationals (January 20221-June 2021) and the introductory period of the new immigration regime (June 2021-October 2021). MPs interviews in one wave were invited to take part in subsequent waves to develop narratives spanning multiple phases. However most participating MPs declined being interviewed more than once on the topic. </w:t>
      </w:r>
    </w:p>
    <w:p w14:paraId="6B287981" w14:textId="77777777" w:rsidR="00D443FE" w:rsidRPr="00D443FE" w:rsidRDefault="00D443FE" w:rsidP="00D443FE">
      <w:pPr>
        <w:jc w:val="both"/>
        <w:rPr>
          <w:rFonts w:ascii="Palatino Linotype" w:hAnsi="Palatino Linotype"/>
        </w:rPr>
      </w:pPr>
    </w:p>
    <w:p w14:paraId="0ACA27FA" w14:textId="77777777" w:rsidR="00D443FE" w:rsidRPr="00D443FE" w:rsidRDefault="00D443FE" w:rsidP="00D443FE">
      <w:pPr>
        <w:jc w:val="both"/>
        <w:rPr>
          <w:rFonts w:ascii="Palatino Linotype" w:hAnsi="Palatino Linotype"/>
        </w:rPr>
      </w:pPr>
    </w:p>
    <w:p w14:paraId="3FE00CF8" w14:textId="33DF10C7" w:rsidR="00D443FE" w:rsidRDefault="00D443FE" w:rsidP="00D443FE">
      <w:pPr>
        <w:jc w:val="both"/>
        <w:rPr>
          <w:rFonts w:ascii="Palatino Linotype" w:hAnsi="Palatino Linotype"/>
          <w:b/>
          <w:bCs/>
        </w:rPr>
      </w:pPr>
      <w:r w:rsidRPr="00193AD8">
        <w:rPr>
          <w:rFonts w:ascii="Palatino Linotype" w:hAnsi="Palatino Linotype"/>
          <w:b/>
          <w:bCs/>
        </w:rPr>
        <w:t>NGO Study</w:t>
      </w:r>
    </w:p>
    <w:p w14:paraId="25285764" w14:textId="77777777" w:rsidR="00193AD8" w:rsidRPr="00193AD8" w:rsidRDefault="00193AD8" w:rsidP="00D443FE">
      <w:pPr>
        <w:jc w:val="both"/>
        <w:rPr>
          <w:rFonts w:ascii="Palatino Linotype" w:hAnsi="Palatino Linotype"/>
          <w:b/>
          <w:bCs/>
        </w:rPr>
      </w:pPr>
    </w:p>
    <w:p w14:paraId="115E69AD" w14:textId="77777777" w:rsidR="00D443FE" w:rsidRPr="00D443FE" w:rsidRDefault="00D443FE" w:rsidP="00D443FE">
      <w:pPr>
        <w:jc w:val="both"/>
        <w:rPr>
          <w:rFonts w:ascii="Palatino Linotype" w:hAnsi="Palatino Linotype"/>
        </w:rPr>
      </w:pPr>
      <w:r w:rsidRPr="00D443FE">
        <w:rPr>
          <w:rFonts w:ascii="Palatino Linotype" w:hAnsi="Palatino Linotype"/>
        </w:rPr>
        <w:t>Interviews Conducted: 12</w:t>
      </w:r>
    </w:p>
    <w:p w14:paraId="6E08D4AE" w14:textId="0045D459" w:rsidR="00D443FE" w:rsidRPr="00D443FE" w:rsidRDefault="00D443FE" w:rsidP="00D443FE">
      <w:pPr>
        <w:jc w:val="both"/>
        <w:rPr>
          <w:rFonts w:ascii="Palatino Linotype" w:hAnsi="Palatino Linotype"/>
        </w:rPr>
      </w:pPr>
      <w:r w:rsidRPr="00D443FE">
        <w:rPr>
          <w:rFonts w:ascii="Palatino Linotype" w:hAnsi="Palatino Linotype"/>
        </w:rPr>
        <w:t xml:space="preserve">Interviews Included: </w:t>
      </w:r>
      <w:r w:rsidR="00F94A83">
        <w:rPr>
          <w:rFonts w:ascii="Palatino Linotype" w:hAnsi="Palatino Linotype"/>
        </w:rPr>
        <w:t>9</w:t>
      </w:r>
    </w:p>
    <w:p w14:paraId="63D4184F" w14:textId="77777777" w:rsidR="00D443FE" w:rsidRPr="00D443FE" w:rsidRDefault="00D443FE" w:rsidP="00D443FE">
      <w:pPr>
        <w:jc w:val="both"/>
        <w:rPr>
          <w:rFonts w:ascii="Palatino Linotype" w:hAnsi="Palatino Linotype"/>
        </w:rPr>
      </w:pPr>
    </w:p>
    <w:p w14:paraId="6D12AB62" w14:textId="5AB58DB4" w:rsidR="00D443FE" w:rsidRPr="00D443FE" w:rsidRDefault="00D443FE" w:rsidP="00D443FE">
      <w:pPr>
        <w:jc w:val="both"/>
        <w:rPr>
          <w:rFonts w:ascii="Palatino Linotype" w:hAnsi="Palatino Linotype"/>
        </w:rPr>
      </w:pPr>
      <w:r w:rsidRPr="00D443FE">
        <w:rPr>
          <w:rFonts w:ascii="Palatino Linotype" w:hAnsi="Palatino Linotype"/>
        </w:rPr>
        <w:t>We also conducted semi-structured interviews with 12 of the 72 third sector organisations funded by the Home Office to support applications to the EUSS. They were contacted by email between February and April 2021 and interviews were conducted between February and August 2021.</w:t>
      </w:r>
    </w:p>
    <w:p w14:paraId="1086875D" w14:textId="77777777" w:rsidR="00B167CE" w:rsidRPr="003C1664" w:rsidRDefault="00B167CE" w:rsidP="00AF46AC">
      <w:pPr>
        <w:jc w:val="both"/>
        <w:rPr>
          <w:rFonts w:ascii="Palatino Linotype" w:hAnsi="Palatino Linotype"/>
        </w:rPr>
      </w:pPr>
    </w:p>
    <w:p w14:paraId="722663F3" w14:textId="77777777" w:rsidR="00193AD8" w:rsidRDefault="00193AD8" w:rsidP="00AF46AC">
      <w:pPr>
        <w:jc w:val="both"/>
        <w:rPr>
          <w:rFonts w:ascii="Palatino Linotype" w:hAnsi="Palatino Linotype"/>
        </w:rPr>
      </w:pPr>
    </w:p>
    <w:p w14:paraId="221B6AB2" w14:textId="076C8767" w:rsidR="00193AD8" w:rsidRPr="00193AD8" w:rsidRDefault="00193AD8" w:rsidP="00AF46AC">
      <w:pPr>
        <w:jc w:val="both"/>
        <w:rPr>
          <w:rFonts w:ascii="Palatino Linotype" w:hAnsi="Palatino Linotype"/>
          <w:b/>
          <w:bCs/>
        </w:rPr>
      </w:pPr>
      <w:r w:rsidRPr="00193AD8">
        <w:rPr>
          <w:rFonts w:ascii="Palatino Linotype" w:hAnsi="Palatino Linotype"/>
          <w:b/>
          <w:bCs/>
        </w:rPr>
        <w:t>References</w:t>
      </w:r>
    </w:p>
    <w:p w14:paraId="4F62AFB5" w14:textId="77777777" w:rsidR="00193AD8" w:rsidRDefault="00193AD8" w:rsidP="00AF46AC">
      <w:pPr>
        <w:jc w:val="both"/>
        <w:rPr>
          <w:rFonts w:ascii="Palatino Linotype" w:hAnsi="Palatino Linotype"/>
        </w:rPr>
      </w:pPr>
    </w:p>
    <w:p w14:paraId="68115429" w14:textId="699334EF" w:rsidR="007E49A0" w:rsidRPr="003C1664" w:rsidRDefault="007E49A0" w:rsidP="00AF46AC">
      <w:pPr>
        <w:jc w:val="both"/>
        <w:rPr>
          <w:rFonts w:ascii="Palatino Linotype" w:hAnsi="Palatino Linotype"/>
        </w:rPr>
      </w:pPr>
      <w:r w:rsidRPr="003C1664">
        <w:rPr>
          <w:rFonts w:ascii="Palatino Linotype" w:hAnsi="Palatino Linotype"/>
        </w:rPr>
        <w:t>Barton, T. (2008) ‘Understanding Practitioner Ethnography’ 15 Nurse Researcher 2</w:t>
      </w:r>
    </w:p>
    <w:p w14:paraId="2CD33240" w14:textId="30026CB6" w:rsidR="007E49A0" w:rsidRPr="003C1664" w:rsidRDefault="007E49A0" w:rsidP="00AF46AC">
      <w:pPr>
        <w:jc w:val="both"/>
        <w:rPr>
          <w:rFonts w:ascii="Palatino Linotype" w:hAnsi="Palatino Linotype"/>
        </w:rPr>
      </w:pPr>
      <w:r w:rsidRPr="003C1664">
        <w:rPr>
          <w:rFonts w:ascii="Palatino Linotype" w:hAnsi="Palatino Linotype"/>
        </w:rPr>
        <w:lastRenderedPageBreak/>
        <w:t>Child Poverty Action Group (CPAG, 2011) ‘Migration, migrants and child poverty’ 138 Poverty 6</w:t>
      </w:r>
    </w:p>
    <w:p w14:paraId="6D46A63E" w14:textId="66B874B5" w:rsidR="00B167CE" w:rsidRPr="003C1664" w:rsidRDefault="007E49A0" w:rsidP="00AF46AC">
      <w:pPr>
        <w:jc w:val="both"/>
        <w:rPr>
          <w:rFonts w:ascii="Palatino Linotype" w:hAnsi="Palatino Linotype"/>
        </w:rPr>
      </w:pPr>
      <w:r w:rsidRPr="003C1664">
        <w:rPr>
          <w:rFonts w:ascii="Palatino Linotype" w:hAnsi="Palatino Linotype"/>
        </w:rPr>
        <w:t>Davies, M (2002) ‘Ethics and Methodology in Legal Theory A (personal) research anti- manifesto’ 6 Law</w:t>
      </w:r>
      <w:r w:rsidR="002E41FD" w:rsidRPr="003C1664">
        <w:rPr>
          <w:rFonts w:ascii="Palatino Linotype" w:hAnsi="Palatino Linotype"/>
        </w:rPr>
        <w:t xml:space="preserve"> </w:t>
      </w:r>
      <w:r w:rsidRPr="003C1664">
        <w:rPr>
          <w:rFonts w:ascii="Palatino Linotype" w:hAnsi="Palatino Linotype"/>
        </w:rPr>
        <w:t>Text Culture 7</w:t>
      </w:r>
    </w:p>
    <w:p w14:paraId="77A8A4EC" w14:textId="77777777" w:rsidR="007E49A0" w:rsidRPr="003C1664" w:rsidRDefault="007E49A0" w:rsidP="00AF46AC">
      <w:pPr>
        <w:jc w:val="both"/>
        <w:rPr>
          <w:rFonts w:ascii="Palatino Linotype" w:hAnsi="Palatino Linotype"/>
        </w:rPr>
      </w:pPr>
      <w:r w:rsidRPr="003C1664">
        <w:rPr>
          <w:rFonts w:ascii="Palatino Linotype" w:hAnsi="Palatino Linotype"/>
        </w:rPr>
        <w:t>Farrer, D. (2007) ‘The Perils and Pitfalls of Performance Ethnography’ 6 International Sociological Association E-Bulletin 17</w:t>
      </w:r>
    </w:p>
    <w:p w14:paraId="47C4F03C" w14:textId="1BCBECC5" w:rsidR="00737EB1" w:rsidRPr="003C1664" w:rsidRDefault="007E49A0" w:rsidP="00AF46AC">
      <w:pPr>
        <w:jc w:val="both"/>
        <w:rPr>
          <w:rFonts w:ascii="Palatino Linotype" w:hAnsi="Palatino Linotype"/>
        </w:rPr>
      </w:pPr>
      <w:r w:rsidRPr="003C1664">
        <w:rPr>
          <w:rFonts w:ascii="Palatino Linotype" w:hAnsi="Palatino Linotype"/>
        </w:rPr>
        <w:t>Fox, M., Martin, P., and Green, G., (2007) Doing Practitioner Research (London, Sage)</w:t>
      </w:r>
    </w:p>
    <w:p w14:paraId="33AEE799" w14:textId="4BB6B58A" w:rsidR="007E49A0" w:rsidRPr="003C1664" w:rsidRDefault="007E49A0" w:rsidP="00AF46AC">
      <w:pPr>
        <w:jc w:val="both"/>
        <w:rPr>
          <w:rFonts w:ascii="Palatino Linotype" w:hAnsi="Palatino Linotype"/>
        </w:rPr>
      </w:pPr>
      <w:r w:rsidRPr="003C1664">
        <w:rPr>
          <w:rFonts w:ascii="Palatino Linotype" w:hAnsi="Palatino Linotype"/>
        </w:rPr>
        <w:t>Harvey, L., and Myers, M. ‘Scholarship and Practice: The Contribution of Ethnographic Research Methods to Bridging the Gap’ (1995) 8 Information Technology and People 3</w:t>
      </w:r>
    </w:p>
    <w:p w14:paraId="4FD8BD24" w14:textId="7635645F" w:rsidR="007E49A0" w:rsidRPr="003C1664" w:rsidRDefault="007E49A0" w:rsidP="00AF46AC">
      <w:pPr>
        <w:jc w:val="both"/>
        <w:rPr>
          <w:rFonts w:ascii="Palatino Linotype" w:hAnsi="Palatino Linotype"/>
        </w:rPr>
      </w:pPr>
      <w:r w:rsidRPr="003C1664">
        <w:rPr>
          <w:rFonts w:ascii="Palatino Linotype" w:hAnsi="Palatino Linotype"/>
        </w:rPr>
        <w:t xml:space="preserve">McDermont, M., &amp; Kirk, E. (2017) ‘Working in Law’s Borderlands: Translation and the Work of an Advice Office’ 7(7), </w:t>
      </w:r>
      <w:proofErr w:type="spellStart"/>
      <w:r w:rsidRPr="003C1664">
        <w:rPr>
          <w:rFonts w:ascii="Palatino Linotype" w:hAnsi="Palatino Linotype"/>
        </w:rPr>
        <w:t>Oñati</w:t>
      </w:r>
      <w:proofErr w:type="spellEnd"/>
      <w:r w:rsidRPr="003C1664">
        <w:rPr>
          <w:rFonts w:ascii="Palatino Linotype" w:hAnsi="Palatino Linotype"/>
        </w:rPr>
        <w:t xml:space="preserve"> Socio-Legal Series, 1445</w:t>
      </w:r>
    </w:p>
    <w:p w14:paraId="5202D8D9" w14:textId="7013769F" w:rsidR="007E49A0" w:rsidRPr="003C1664" w:rsidRDefault="007E49A0" w:rsidP="00AF46AC">
      <w:pPr>
        <w:jc w:val="both"/>
        <w:rPr>
          <w:rFonts w:ascii="Palatino Linotype" w:hAnsi="Palatino Linotype"/>
        </w:rPr>
      </w:pPr>
      <w:r w:rsidRPr="003C1664">
        <w:rPr>
          <w:rFonts w:ascii="Palatino Linotype" w:hAnsi="Palatino Linotype"/>
        </w:rPr>
        <w:t>Miller, B (2000) ‘Telling Stories About Cases and Clients: The Ethics of Narrative’ 14 Georgetown Journal of Legal Ethics 1</w:t>
      </w:r>
    </w:p>
    <w:p w14:paraId="5EDD4DCE" w14:textId="77777777" w:rsidR="00D24225" w:rsidRPr="003C1664" w:rsidRDefault="00D24225" w:rsidP="00AF46AC">
      <w:pPr>
        <w:jc w:val="both"/>
        <w:rPr>
          <w:rFonts w:ascii="Palatino Linotype" w:hAnsi="Palatino Linotype"/>
        </w:rPr>
      </w:pPr>
      <w:r w:rsidRPr="003C1664">
        <w:rPr>
          <w:rFonts w:ascii="Palatino Linotype" w:hAnsi="Palatino Linotype"/>
        </w:rPr>
        <w:t xml:space="preserve">O’Brien, C (2017) Unity in Adversity: EU Citizenship, Social </w:t>
      </w:r>
      <w:proofErr w:type="gramStart"/>
      <w:r w:rsidRPr="003C1664">
        <w:rPr>
          <w:rFonts w:ascii="Palatino Linotype" w:hAnsi="Palatino Linotype"/>
        </w:rPr>
        <w:t>Justice</w:t>
      </w:r>
      <w:proofErr w:type="gramEnd"/>
      <w:r w:rsidRPr="003C1664">
        <w:rPr>
          <w:rFonts w:ascii="Palatino Linotype" w:hAnsi="Palatino Linotype"/>
        </w:rPr>
        <w:t xml:space="preserve"> and the Cautionary Tale of the UK (Oxford,</w:t>
      </w:r>
    </w:p>
    <w:p w14:paraId="47C2CCF5" w14:textId="6AFEBFAF" w:rsidR="00D24225" w:rsidRPr="003C1664" w:rsidRDefault="00D24225" w:rsidP="00AF46AC">
      <w:pPr>
        <w:jc w:val="both"/>
        <w:rPr>
          <w:rFonts w:ascii="Palatino Linotype" w:hAnsi="Palatino Linotype"/>
        </w:rPr>
      </w:pPr>
      <w:r w:rsidRPr="003C1664">
        <w:rPr>
          <w:rFonts w:ascii="Palatino Linotype" w:hAnsi="Palatino Linotype"/>
        </w:rPr>
        <w:t>Hart)</w:t>
      </w:r>
    </w:p>
    <w:p w14:paraId="5F7D2055" w14:textId="7399FA7A" w:rsidR="00D24225" w:rsidRPr="003C1664" w:rsidRDefault="00D24225" w:rsidP="00AF46AC">
      <w:pPr>
        <w:jc w:val="both"/>
        <w:rPr>
          <w:rFonts w:ascii="Palatino Linotype" w:hAnsi="Palatino Linotype"/>
        </w:rPr>
      </w:pPr>
      <w:r w:rsidRPr="003C1664">
        <w:rPr>
          <w:rFonts w:ascii="Palatino Linotype" w:hAnsi="Palatino Linotype"/>
        </w:rPr>
        <w:t xml:space="preserve">Shaw, J (2015) ‘Between Law and Political Truth? Member State Preferences, EU Free Movement </w:t>
      </w:r>
      <w:proofErr w:type="gramStart"/>
      <w:r w:rsidRPr="003C1664">
        <w:rPr>
          <w:rFonts w:ascii="Palatino Linotype" w:hAnsi="Palatino Linotype"/>
        </w:rPr>
        <w:t>Rules</w:t>
      </w:r>
      <w:proofErr w:type="gramEnd"/>
      <w:r w:rsidRPr="003C1664">
        <w:rPr>
          <w:rFonts w:ascii="Palatino Linotype" w:hAnsi="Palatino Linotype"/>
        </w:rPr>
        <w:t xml:space="preserve"> and National Immigration Law’ 17(1) Cambridge Yearbook of European Legal Studies 247</w:t>
      </w:r>
    </w:p>
    <w:p w14:paraId="0DD1249B" w14:textId="07BD4D75" w:rsidR="00D24225" w:rsidRPr="003C1664" w:rsidRDefault="00D24225" w:rsidP="00AF46AC">
      <w:pPr>
        <w:jc w:val="both"/>
        <w:rPr>
          <w:rFonts w:ascii="Palatino Linotype" w:hAnsi="Palatino Linotype"/>
        </w:rPr>
      </w:pPr>
      <w:r w:rsidRPr="003C1664">
        <w:rPr>
          <w:rFonts w:ascii="Palatino Linotype" w:hAnsi="Palatino Linotype"/>
        </w:rPr>
        <w:t>REF (2021): Research Excellence Framework, Impact case study, “The Rights of EU Nationals in the UK”</w:t>
      </w:r>
    </w:p>
    <w:p w14:paraId="7A4AF43D" w14:textId="1176296D" w:rsidR="00107602" w:rsidRPr="003C1664" w:rsidRDefault="00D24225" w:rsidP="00AF46AC">
      <w:pPr>
        <w:jc w:val="both"/>
        <w:rPr>
          <w:rFonts w:ascii="Palatino Linotype" w:hAnsi="Palatino Linotype"/>
        </w:rPr>
      </w:pPr>
      <w:r w:rsidRPr="003C1664">
        <w:rPr>
          <w:rFonts w:ascii="Palatino Linotype" w:hAnsi="Palatino Linotype"/>
        </w:rPr>
        <w:t xml:space="preserve"> </w:t>
      </w:r>
    </w:p>
    <w:p w14:paraId="6750132B" w14:textId="77777777" w:rsidR="00F54626" w:rsidRPr="003C1664" w:rsidRDefault="00F54626" w:rsidP="00AF46AC">
      <w:pPr>
        <w:jc w:val="both"/>
        <w:rPr>
          <w:rFonts w:ascii="Palatino Linotype" w:hAnsi="Palatino Linotype"/>
        </w:rPr>
      </w:pPr>
    </w:p>
    <w:p w14:paraId="3F92BFEE" w14:textId="77777777" w:rsidR="00E33294" w:rsidRPr="003C1664" w:rsidRDefault="00E33294" w:rsidP="00AF46AC">
      <w:pPr>
        <w:jc w:val="both"/>
        <w:rPr>
          <w:rFonts w:ascii="Palatino Linotype" w:hAnsi="Palatino Linotype"/>
        </w:rPr>
      </w:pPr>
    </w:p>
    <w:sectPr w:rsidR="00E33294" w:rsidRPr="003C1664" w:rsidSect="0094085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7C09BC"/>
    <w:multiLevelType w:val="hybridMultilevel"/>
    <w:tmpl w:val="9188A768"/>
    <w:lvl w:ilvl="0" w:tplc="14EE539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159505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602"/>
    <w:rsid w:val="00107602"/>
    <w:rsid w:val="00193AD8"/>
    <w:rsid w:val="001E0B2F"/>
    <w:rsid w:val="0026394D"/>
    <w:rsid w:val="00283B19"/>
    <w:rsid w:val="002A0422"/>
    <w:rsid w:val="002D7C36"/>
    <w:rsid w:val="002E41FD"/>
    <w:rsid w:val="00371892"/>
    <w:rsid w:val="00397CD1"/>
    <w:rsid w:val="003C1664"/>
    <w:rsid w:val="003F4E76"/>
    <w:rsid w:val="00572C4E"/>
    <w:rsid w:val="005D6B63"/>
    <w:rsid w:val="00737EB1"/>
    <w:rsid w:val="00771F1F"/>
    <w:rsid w:val="007E49A0"/>
    <w:rsid w:val="00921517"/>
    <w:rsid w:val="0094085E"/>
    <w:rsid w:val="00A371A7"/>
    <w:rsid w:val="00A943EF"/>
    <w:rsid w:val="00AF46AC"/>
    <w:rsid w:val="00B167CE"/>
    <w:rsid w:val="00B23858"/>
    <w:rsid w:val="00B31808"/>
    <w:rsid w:val="00B8661C"/>
    <w:rsid w:val="00D24225"/>
    <w:rsid w:val="00D443FE"/>
    <w:rsid w:val="00D7230B"/>
    <w:rsid w:val="00D73529"/>
    <w:rsid w:val="00DC465E"/>
    <w:rsid w:val="00E33294"/>
    <w:rsid w:val="00F54626"/>
    <w:rsid w:val="00F76521"/>
    <w:rsid w:val="00F94A83"/>
    <w:rsid w:val="00FF00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AD2D598"/>
  <w15:chartTrackingRefBased/>
  <w15:docId w15:val="{AC0BCEB1-74B1-7048-97CA-9C7DF06E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1213</Words>
  <Characters>6915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O'Brien</dc:creator>
  <cp:keywords/>
  <dc:description/>
  <cp:lastModifiedBy>Charlotte O'Brien</cp:lastModifiedBy>
  <cp:revision>3</cp:revision>
  <cp:lastPrinted>2024-09-16T13:28:00Z</cp:lastPrinted>
  <dcterms:created xsi:type="dcterms:W3CDTF">2024-10-04T14:08:00Z</dcterms:created>
  <dcterms:modified xsi:type="dcterms:W3CDTF">2024-10-04T14:28:00Z</dcterms:modified>
</cp:coreProperties>
</file>