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B87CE" w14:textId="156D24DF" w:rsidR="00F82813" w:rsidRPr="00170AE1" w:rsidRDefault="009A5EDD" w:rsidP="009A5EDD">
      <w:pPr>
        <w:jc w:val="center"/>
        <w:rPr>
          <w:rFonts w:ascii="Times New Roman" w:hAnsi="Times New Roman" w:cs="Times New Roman"/>
          <w:b/>
          <w:bCs/>
        </w:rPr>
      </w:pPr>
      <w:r w:rsidRPr="00170AE1">
        <w:rPr>
          <w:rFonts w:ascii="Times New Roman" w:hAnsi="Times New Roman" w:cs="Times New Roman"/>
          <w:b/>
          <w:bCs/>
        </w:rPr>
        <w:t>Methods</w:t>
      </w:r>
    </w:p>
    <w:p w14:paraId="26B3C829" w14:textId="77777777" w:rsidR="00F82813" w:rsidRPr="00170AE1" w:rsidRDefault="00F82813" w:rsidP="007368E9">
      <w:pPr>
        <w:rPr>
          <w:rFonts w:ascii="Times New Roman" w:hAnsi="Times New Roman" w:cs="Times New Roman"/>
          <w:b/>
          <w:bCs/>
        </w:rPr>
      </w:pPr>
    </w:p>
    <w:p w14:paraId="25E84B9F" w14:textId="0779DEED" w:rsidR="007368E9" w:rsidRPr="00170AE1" w:rsidRDefault="007368E9" w:rsidP="009A5EDD">
      <w:pPr>
        <w:spacing w:line="360" w:lineRule="auto"/>
        <w:rPr>
          <w:rFonts w:ascii="Times New Roman" w:hAnsi="Times New Roman" w:cs="Times New Roman"/>
        </w:rPr>
      </w:pPr>
      <w:r w:rsidRPr="00170AE1">
        <w:rPr>
          <w:rFonts w:ascii="Times New Roman" w:hAnsi="Times New Roman" w:cs="Times New Roman"/>
          <w:b/>
          <w:bCs/>
        </w:rPr>
        <w:t>Grant number</w:t>
      </w:r>
      <w:r w:rsidRPr="00170AE1">
        <w:rPr>
          <w:rFonts w:ascii="Times New Roman" w:hAnsi="Times New Roman" w:cs="Times New Roman"/>
        </w:rPr>
        <w:t xml:space="preserve">: </w:t>
      </w:r>
      <w:r w:rsidR="003C3433" w:rsidRPr="00170AE1">
        <w:rPr>
          <w:rFonts w:ascii="Times New Roman" w:hAnsi="Times New Roman" w:cs="Times New Roman"/>
        </w:rPr>
        <w:t>NE/P021093/1.</w:t>
      </w:r>
    </w:p>
    <w:p w14:paraId="5BA9EAA7" w14:textId="2404545C" w:rsidR="007368E9" w:rsidRPr="00170AE1" w:rsidRDefault="007368E9" w:rsidP="009A5EDD">
      <w:pPr>
        <w:spacing w:line="360" w:lineRule="auto"/>
        <w:rPr>
          <w:rFonts w:ascii="Times New Roman" w:hAnsi="Times New Roman" w:cs="Times New Roman"/>
          <w:b/>
          <w:bCs/>
        </w:rPr>
      </w:pPr>
      <w:r w:rsidRPr="00170AE1">
        <w:rPr>
          <w:rFonts w:ascii="Times New Roman" w:hAnsi="Times New Roman" w:cs="Times New Roman"/>
          <w:b/>
          <w:bCs/>
        </w:rPr>
        <w:t xml:space="preserve">Sponsor: </w:t>
      </w:r>
      <w:r w:rsidRPr="00170AE1">
        <w:rPr>
          <w:rFonts w:ascii="Times New Roman" w:hAnsi="Times New Roman" w:cs="Times New Roman"/>
        </w:rPr>
        <w:t>UKRI</w:t>
      </w:r>
      <w:r w:rsidR="00C16844" w:rsidRPr="00170AE1">
        <w:rPr>
          <w:rFonts w:ascii="Times New Roman" w:hAnsi="Times New Roman" w:cs="Times New Roman"/>
        </w:rPr>
        <w:t>- GCRF</w:t>
      </w:r>
    </w:p>
    <w:p w14:paraId="209BE4FB" w14:textId="324A1139" w:rsidR="007368E9" w:rsidRPr="00170AE1" w:rsidRDefault="007368E9" w:rsidP="009A5EDD">
      <w:pPr>
        <w:spacing w:line="360" w:lineRule="auto"/>
        <w:jc w:val="both"/>
        <w:rPr>
          <w:rFonts w:ascii="Times New Roman" w:hAnsi="Times New Roman" w:cs="Times New Roman"/>
        </w:rPr>
      </w:pPr>
      <w:r w:rsidRPr="00170AE1">
        <w:rPr>
          <w:rFonts w:ascii="Times New Roman" w:hAnsi="Times New Roman" w:cs="Times New Roman"/>
          <w:b/>
          <w:bCs/>
        </w:rPr>
        <w:t>Project title</w:t>
      </w:r>
      <w:r w:rsidRPr="00170AE1">
        <w:rPr>
          <w:rFonts w:ascii="Times New Roman" w:hAnsi="Times New Roman" w:cs="Times New Roman"/>
        </w:rPr>
        <w:t xml:space="preserve">: </w:t>
      </w:r>
      <w:r w:rsidR="00FD32CA" w:rsidRPr="00170AE1">
        <w:rPr>
          <w:rFonts w:ascii="Times New Roman" w:hAnsi="Times New Roman" w:cs="Times New Roman"/>
        </w:rPr>
        <w:t xml:space="preserve"> </w:t>
      </w:r>
      <w:r w:rsidR="00FD32CA" w:rsidRPr="00170AE1">
        <w:rPr>
          <w:rFonts w:ascii="Times New Roman" w:hAnsi="Times New Roman" w:cs="Times New Roman"/>
          <w:lang w:val="en-US"/>
        </w:rPr>
        <w:t>Building REsearch Capacity for sustainable water and food security In drylands of sub-saharan Africa’ (BRECcIA)</w:t>
      </w:r>
    </w:p>
    <w:p w14:paraId="4F01A87C" w14:textId="08CFADCE" w:rsidR="00290B58" w:rsidRPr="00170AE1" w:rsidRDefault="007368E9" w:rsidP="009A5EDD">
      <w:pPr>
        <w:spacing w:line="360" w:lineRule="auto"/>
        <w:jc w:val="both"/>
        <w:rPr>
          <w:rFonts w:ascii="Times New Roman" w:hAnsi="Times New Roman" w:cs="Times New Roman"/>
          <w:bCs/>
        </w:rPr>
      </w:pPr>
      <w:r w:rsidRPr="00170AE1">
        <w:rPr>
          <w:rFonts w:ascii="Times New Roman" w:hAnsi="Times New Roman" w:cs="Times New Roman"/>
          <w:b/>
          <w:bCs/>
        </w:rPr>
        <w:t>Dataset</w:t>
      </w:r>
      <w:r w:rsidRPr="00170AE1">
        <w:rPr>
          <w:rFonts w:ascii="Times New Roman" w:hAnsi="Times New Roman" w:cs="Times New Roman"/>
        </w:rPr>
        <w:t>:</w:t>
      </w:r>
      <w:r w:rsidRPr="00170AE1">
        <w:rPr>
          <w:rFonts w:ascii="Times New Roman" w:hAnsi="Times New Roman" w:cs="Times New Roman"/>
          <w:b/>
          <w:bCs/>
          <w:lang w:val="en-US"/>
        </w:rPr>
        <w:t xml:space="preserve"> </w:t>
      </w:r>
      <w:r w:rsidR="00EE1832" w:rsidRPr="00170AE1">
        <w:rPr>
          <w:rFonts w:ascii="Times New Roman" w:hAnsi="Times New Roman" w:cs="Times New Roman"/>
          <w:bCs/>
        </w:rPr>
        <w:t>A qualitative study of lived experience and life courses following dam release flooding in Northern Ghanaian communities</w:t>
      </w:r>
      <w:r w:rsidR="002C73AD" w:rsidRPr="00170AE1">
        <w:rPr>
          <w:rFonts w:ascii="Times New Roman" w:hAnsi="Times New Roman" w:cs="Times New Roman"/>
          <w:bCs/>
        </w:rPr>
        <w:t>.</w:t>
      </w:r>
    </w:p>
    <w:p w14:paraId="177401BF" w14:textId="77777777" w:rsidR="009A5EDD" w:rsidRPr="00170AE1" w:rsidRDefault="009A5EDD" w:rsidP="00EE1832">
      <w:pPr>
        <w:jc w:val="both"/>
        <w:rPr>
          <w:rFonts w:ascii="Times New Roman" w:hAnsi="Times New Roman" w:cs="Times New Roman"/>
        </w:rPr>
      </w:pPr>
    </w:p>
    <w:p w14:paraId="372F675A" w14:textId="578F62F4" w:rsidR="006829EE" w:rsidRPr="00170AE1" w:rsidRDefault="00D912D2">
      <w:pPr>
        <w:rPr>
          <w:rFonts w:ascii="Times New Roman" w:hAnsi="Times New Roman" w:cs="Times New Roman"/>
          <w:b/>
          <w:bCs/>
        </w:rPr>
      </w:pPr>
      <w:r w:rsidRPr="00170AE1">
        <w:rPr>
          <w:rFonts w:ascii="Times New Roman" w:hAnsi="Times New Roman" w:cs="Times New Roman"/>
          <w:b/>
          <w:bCs/>
        </w:rPr>
        <w:t xml:space="preserve">Objectives </w:t>
      </w:r>
    </w:p>
    <w:p w14:paraId="037792E2" w14:textId="77777777" w:rsidR="008F32D9" w:rsidRPr="00170AE1" w:rsidRDefault="008F32D9" w:rsidP="00CC4E20">
      <w:pPr>
        <w:spacing w:line="480" w:lineRule="auto"/>
        <w:jc w:val="both"/>
        <w:rPr>
          <w:rFonts w:ascii="Times New Roman" w:eastAsia="SimSun" w:hAnsi="Times New Roman" w:cs="Times New Roman"/>
        </w:rPr>
      </w:pPr>
      <w:r w:rsidRPr="00170AE1">
        <w:rPr>
          <w:rFonts w:ascii="Times New Roman" w:eastAsia="SimSun" w:hAnsi="Times New Roman" w:cs="Times New Roman"/>
        </w:rPr>
        <w:t>T</w:t>
      </w:r>
      <w:r w:rsidR="00CC4E20" w:rsidRPr="00170AE1">
        <w:rPr>
          <w:rFonts w:ascii="Times New Roman" w:eastAsia="SimSun" w:hAnsi="Times New Roman" w:cs="Times New Roman"/>
        </w:rPr>
        <w:t xml:space="preserve">his study aims to </w:t>
      </w:r>
    </w:p>
    <w:p w14:paraId="3374B88E" w14:textId="713C9ACE" w:rsidR="00244824" w:rsidRPr="00170AE1" w:rsidRDefault="008F32D9" w:rsidP="00AF6569">
      <w:pPr>
        <w:pStyle w:val="ListParagraph"/>
        <w:numPr>
          <w:ilvl w:val="0"/>
          <w:numId w:val="2"/>
        </w:numPr>
        <w:spacing w:line="360" w:lineRule="auto"/>
        <w:jc w:val="both"/>
        <w:rPr>
          <w:rFonts w:ascii="Times New Roman" w:eastAsia="SimSun" w:hAnsi="Times New Roman" w:cs="Times New Roman"/>
        </w:rPr>
      </w:pPr>
      <w:r w:rsidRPr="00170AE1">
        <w:rPr>
          <w:rFonts w:ascii="Times New Roman" w:eastAsia="SimSun" w:hAnsi="Times New Roman" w:cs="Times New Roman"/>
        </w:rPr>
        <w:t>U</w:t>
      </w:r>
      <w:r w:rsidR="00CC4E20" w:rsidRPr="00170AE1">
        <w:rPr>
          <w:rFonts w:ascii="Times New Roman" w:eastAsia="SimSun" w:hAnsi="Times New Roman" w:cs="Times New Roman"/>
        </w:rPr>
        <w:t xml:space="preserve">nderstand the scope of dam release flooding impacts reported by </w:t>
      </w:r>
      <w:r w:rsidR="000C39C3" w:rsidRPr="00170AE1">
        <w:rPr>
          <w:rFonts w:ascii="Times New Roman" w:eastAsia="SimSun" w:hAnsi="Times New Roman" w:cs="Times New Roman"/>
        </w:rPr>
        <w:t xml:space="preserve">affected </w:t>
      </w:r>
      <w:r w:rsidR="00CC4E20" w:rsidRPr="00170AE1">
        <w:rPr>
          <w:rFonts w:ascii="Times New Roman" w:eastAsia="SimSun" w:hAnsi="Times New Roman" w:cs="Times New Roman"/>
        </w:rPr>
        <w:t xml:space="preserve">downstream </w:t>
      </w:r>
      <w:r w:rsidR="00DB6392" w:rsidRPr="00170AE1">
        <w:rPr>
          <w:rFonts w:ascii="Times New Roman" w:eastAsia="SimSun" w:hAnsi="Times New Roman" w:cs="Times New Roman"/>
        </w:rPr>
        <w:t>communities.</w:t>
      </w:r>
      <w:r w:rsidR="00CC4E20" w:rsidRPr="00170AE1">
        <w:rPr>
          <w:rFonts w:ascii="Times New Roman" w:eastAsia="SimSun" w:hAnsi="Times New Roman" w:cs="Times New Roman"/>
        </w:rPr>
        <w:t xml:space="preserve"> </w:t>
      </w:r>
    </w:p>
    <w:p w14:paraId="6706D34F" w14:textId="20CD8028" w:rsidR="00CC4E20" w:rsidRPr="00170AE1" w:rsidRDefault="0055425E" w:rsidP="00AF6569">
      <w:pPr>
        <w:pStyle w:val="ListParagraph"/>
        <w:numPr>
          <w:ilvl w:val="0"/>
          <w:numId w:val="2"/>
        </w:numPr>
        <w:spacing w:line="360" w:lineRule="auto"/>
        <w:jc w:val="both"/>
        <w:rPr>
          <w:rFonts w:ascii="Times New Roman" w:eastAsia="SimSun" w:hAnsi="Times New Roman" w:cs="Times New Roman"/>
        </w:rPr>
      </w:pPr>
      <w:r w:rsidRPr="00170AE1">
        <w:rPr>
          <w:rFonts w:ascii="Times New Roman" w:eastAsia="SimSun" w:hAnsi="Times New Roman" w:cs="Times New Roman"/>
        </w:rPr>
        <w:t>Assess</w:t>
      </w:r>
      <w:r w:rsidR="00CC4E20" w:rsidRPr="00170AE1">
        <w:rPr>
          <w:rFonts w:ascii="Times New Roman" w:eastAsia="SimSun" w:hAnsi="Times New Roman" w:cs="Times New Roman"/>
        </w:rPr>
        <w:t xml:space="preserve"> impacts </w:t>
      </w:r>
      <w:r w:rsidR="00EE2353" w:rsidRPr="00170AE1">
        <w:rPr>
          <w:rFonts w:ascii="Times New Roman" w:eastAsia="SimSun" w:hAnsi="Times New Roman" w:cs="Times New Roman"/>
        </w:rPr>
        <w:t>of dam release flooding on</w:t>
      </w:r>
      <w:r w:rsidR="00CC4E20" w:rsidRPr="00170AE1">
        <w:rPr>
          <w:rFonts w:ascii="Times New Roman" w:eastAsia="SimSun" w:hAnsi="Times New Roman" w:cs="Times New Roman"/>
        </w:rPr>
        <w:t xml:space="preserve"> the li</w:t>
      </w:r>
      <w:r w:rsidR="00732933" w:rsidRPr="00170AE1">
        <w:rPr>
          <w:rFonts w:ascii="Times New Roman" w:eastAsia="SimSun" w:hAnsi="Times New Roman" w:cs="Times New Roman"/>
        </w:rPr>
        <w:t>ved</w:t>
      </w:r>
      <w:r w:rsidR="00CC4E20" w:rsidRPr="00170AE1">
        <w:rPr>
          <w:rFonts w:ascii="Times New Roman" w:eastAsia="SimSun" w:hAnsi="Times New Roman" w:cs="Times New Roman"/>
        </w:rPr>
        <w:t xml:space="preserve"> </w:t>
      </w:r>
      <w:r w:rsidR="00732933" w:rsidRPr="00170AE1">
        <w:rPr>
          <w:rFonts w:ascii="Times New Roman" w:eastAsia="SimSun" w:hAnsi="Times New Roman" w:cs="Times New Roman"/>
        </w:rPr>
        <w:t xml:space="preserve">experience and life </w:t>
      </w:r>
      <w:r w:rsidR="00CC4E20" w:rsidRPr="00170AE1">
        <w:rPr>
          <w:rFonts w:ascii="Times New Roman" w:eastAsia="SimSun" w:hAnsi="Times New Roman" w:cs="Times New Roman"/>
        </w:rPr>
        <w:t>course of affected communities.</w:t>
      </w:r>
    </w:p>
    <w:p w14:paraId="5B87E52C" w14:textId="5FCE3E6F" w:rsidR="00EE2353" w:rsidRPr="00170AE1" w:rsidRDefault="004B4FD7" w:rsidP="00AF6569">
      <w:pPr>
        <w:pStyle w:val="ListParagraph"/>
        <w:numPr>
          <w:ilvl w:val="0"/>
          <w:numId w:val="2"/>
        </w:numPr>
        <w:spacing w:line="360" w:lineRule="auto"/>
        <w:jc w:val="both"/>
        <w:rPr>
          <w:rFonts w:ascii="Times New Roman" w:eastAsia="SimSun" w:hAnsi="Times New Roman" w:cs="Times New Roman"/>
        </w:rPr>
      </w:pPr>
      <w:r w:rsidRPr="00170AE1">
        <w:rPr>
          <w:rFonts w:ascii="Times New Roman" w:eastAsia="SimSun" w:hAnsi="Times New Roman" w:cs="Times New Roman"/>
        </w:rPr>
        <w:t>Iden</w:t>
      </w:r>
      <w:r w:rsidR="0055425E" w:rsidRPr="00170AE1">
        <w:rPr>
          <w:rFonts w:ascii="Times New Roman" w:eastAsia="SimSun" w:hAnsi="Times New Roman" w:cs="Times New Roman"/>
        </w:rPr>
        <w:t>tify</w:t>
      </w:r>
      <w:r w:rsidRPr="00170AE1">
        <w:rPr>
          <w:rFonts w:ascii="Times New Roman" w:eastAsia="SimSun" w:hAnsi="Times New Roman" w:cs="Times New Roman"/>
        </w:rPr>
        <w:t xml:space="preserve"> </w:t>
      </w:r>
      <w:r w:rsidR="007F375B" w:rsidRPr="00170AE1">
        <w:rPr>
          <w:rFonts w:ascii="Times New Roman" w:eastAsia="SimSun" w:hAnsi="Times New Roman" w:cs="Times New Roman"/>
        </w:rPr>
        <w:t>adaptive behaviours to flooding impact and gender related issues among affected dam release flooding downstream communities.</w:t>
      </w:r>
    </w:p>
    <w:p w14:paraId="0383EAEA" w14:textId="2C8D5750" w:rsidR="009670C3" w:rsidRPr="00170AE1" w:rsidRDefault="009670C3" w:rsidP="00AF6569">
      <w:pPr>
        <w:pStyle w:val="ListParagraph"/>
        <w:numPr>
          <w:ilvl w:val="0"/>
          <w:numId w:val="2"/>
        </w:numPr>
        <w:spacing w:line="360" w:lineRule="auto"/>
        <w:jc w:val="both"/>
        <w:rPr>
          <w:rFonts w:ascii="Times New Roman" w:eastAsia="SimSun" w:hAnsi="Times New Roman" w:cs="Times New Roman"/>
        </w:rPr>
      </w:pPr>
      <w:r w:rsidRPr="00170AE1">
        <w:rPr>
          <w:rFonts w:ascii="Times New Roman" w:eastAsia="SimSun" w:hAnsi="Times New Roman" w:cs="Times New Roman"/>
        </w:rPr>
        <w:t xml:space="preserve">Understand response </w:t>
      </w:r>
      <w:r w:rsidR="007C21F1" w:rsidRPr="00170AE1">
        <w:rPr>
          <w:rFonts w:ascii="Times New Roman" w:eastAsia="SimSun" w:hAnsi="Times New Roman" w:cs="Times New Roman"/>
        </w:rPr>
        <w:t>to flood sensitisation and flood effects.</w:t>
      </w:r>
    </w:p>
    <w:p w14:paraId="0ED7A3BA" w14:textId="1A9F67C6" w:rsidR="00CC4E20" w:rsidRPr="00170AE1" w:rsidRDefault="00393F2B">
      <w:pPr>
        <w:rPr>
          <w:rFonts w:ascii="Times New Roman" w:hAnsi="Times New Roman" w:cs="Times New Roman"/>
        </w:rPr>
      </w:pPr>
      <w:r w:rsidRPr="00170AE1">
        <w:rPr>
          <w:rFonts w:ascii="Times New Roman" w:hAnsi="Times New Roman" w:cs="Times New Roman"/>
        </w:rPr>
        <w:t>S</w:t>
      </w:r>
      <w:r w:rsidR="004E088B" w:rsidRPr="00170AE1">
        <w:rPr>
          <w:rFonts w:ascii="Times New Roman" w:hAnsi="Times New Roman" w:cs="Times New Roman"/>
        </w:rPr>
        <w:t>t</w:t>
      </w:r>
      <w:r w:rsidRPr="00170AE1">
        <w:rPr>
          <w:rFonts w:ascii="Times New Roman" w:hAnsi="Times New Roman" w:cs="Times New Roman"/>
        </w:rPr>
        <w:t>udy site.</w:t>
      </w:r>
    </w:p>
    <w:p w14:paraId="339C4405" w14:textId="1B429710" w:rsidR="009843D8" w:rsidRPr="00170AE1" w:rsidRDefault="0004488B" w:rsidP="008C36C9">
      <w:pPr>
        <w:spacing w:line="360" w:lineRule="auto"/>
        <w:rPr>
          <w:rFonts w:ascii="Times New Roman" w:hAnsi="Times New Roman" w:cs="Times New Roman"/>
        </w:rPr>
      </w:pPr>
      <w:r w:rsidRPr="00170AE1">
        <w:rPr>
          <w:rFonts w:ascii="Times New Roman" w:hAnsi="Times New Roman" w:cs="Times New Roman"/>
        </w:rPr>
        <w:t xml:space="preserve">Fieldwork took place in the </w:t>
      </w:r>
      <w:r w:rsidR="002E5A2E" w:rsidRPr="00170AE1">
        <w:rPr>
          <w:rFonts w:ascii="Times New Roman" w:hAnsi="Times New Roman" w:cs="Times New Roman"/>
        </w:rPr>
        <w:t xml:space="preserve">Talensi District </w:t>
      </w:r>
      <w:r w:rsidR="00D00530" w:rsidRPr="00170AE1">
        <w:rPr>
          <w:rFonts w:ascii="Times New Roman" w:eastAsia="SimSun" w:hAnsi="Times New Roman" w:cs="Times New Roman"/>
          <w:sz w:val="20"/>
          <w:szCs w:val="20"/>
        </w:rPr>
        <w:t xml:space="preserve">with </w:t>
      </w:r>
      <w:r w:rsidR="00D00530" w:rsidRPr="00170AE1">
        <w:rPr>
          <w:rFonts w:ascii="Times New Roman" w:hAnsi="Times New Roman" w:cs="Times New Roman"/>
        </w:rPr>
        <w:t xml:space="preserve">a total population of 87,021 in 2021 of which 88.2 per cent </w:t>
      </w:r>
      <w:r w:rsidR="00A94D98" w:rsidRPr="00170AE1">
        <w:rPr>
          <w:rFonts w:ascii="Times New Roman" w:hAnsi="Times New Roman" w:cs="Times New Roman"/>
        </w:rPr>
        <w:t>were</w:t>
      </w:r>
      <w:r w:rsidR="00D00530" w:rsidRPr="00170AE1">
        <w:rPr>
          <w:rFonts w:ascii="Times New Roman" w:hAnsi="Times New Roman" w:cs="Times New Roman"/>
        </w:rPr>
        <w:t xml:space="preserve"> rural </w:t>
      </w:r>
      <w:r w:rsidR="002E5A2E" w:rsidRPr="00170AE1">
        <w:rPr>
          <w:rFonts w:ascii="Times New Roman" w:hAnsi="Times New Roman" w:cs="Times New Roman"/>
        </w:rPr>
        <w:t>in Upper East Region</w:t>
      </w:r>
      <w:r w:rsidR="007D6193" w:rsidRPr="00170AE1">
        <w:rPr>
          <w:rFonts w:ascii="Times New Roman" w:eastAsia="SimSun" w:hAnsi="Times New Roman" w:cs="Times New Roman"/>
          <w:sz w:val="20"/>
          <w:szCs w:val="20"/>
        </w:rPr>
        <w:t xml:space="preserve"> </w:t>
      </w:r>
      <w:r w:rsidR="002E5A2E" w:rsidRPr="00170AE1">
        <w:rPr>
          <w:rFonts w:ascii="Times New Roman" w:hAnsi="Times New Roman" w:cs="Times New Roman"/>
        </w:rPr>
        <w:t xml:space="preserve">and </w:t>
      </w:r>
      <w:r w:rsidR="00FE08A3" w:rsidRPr="00170AE1">
        <w:rPr>
          <w:rFonts w:ascii="Times New Roman" w:hAnsi="Times New Roman" w:cs="Times New Roman"/>
        </w:rPr>
        <w:t xml:space="preserve">Savelugu </w:t>
      </w:r>
      <w:r w:rsidR="00972BEE" w:rsidRPr="00170AE1">
        <w:rPr>
          <w:rFonts w:ascii="Times New Roman" w:hAnsi="Times New Roman" w:cs="Times New Roman"/>
        </w:rPr>
        <w:t xml:space="preserve">Municipality </w:t>
      </w:r>
      <w:r w:rsidR="00D00530" w:rsidRPr="00170AE1">
        <w:rPr>
          <w:rFonts w:ascii="Times New Roman" w:hAnsi="Times New Roman" w:cs="Times New Roman"/>
        </w:rPr>
        <w:t xml:space="preserve">a population of 122,888 in 2021, of which 37.1% were rural </w:t>
      </w:r>
      <w:r w:rsidR="00972BEE" w:rsidRPr="00170AE1">
        <w:rPr>
          <w:rFonts w:ascii="Times New Roman" w:hAnsi="Times New Roman" w:cs="Times New Roman"/>
        </w:rPr>
        <w:t>in</w:t>
      </w:r>
      <w:r w:rsidR="00FE08A3" w:rsidRPr="00170AE1">
        <w:rPr>
          <w:rFonts w:ascii="Times New Roman" w:hAnsi="Times New Roman" w:cs="Times New Roman"/>
        </w:rPr>
        <w:t xml:space="preserve"> Northern Region</w:t>
      </w:r>
      <w:r w:rsidR="008C36C9" w:rsidRPr="00170AE1">
        <w:rPr>
          <w:rFonts w:ascii="Times New Roman" w:hAnsi="Times New Roman" w:cs="Times New Roman"/>
        </w:rPr>
        <w:t xml:space="preserve"> of Ghana</w:t>
      </w:r>
      <w:r w:rsidR="00A94D98" w:rsidRPr="00170AE1">
        <w:rPr>
          <w:rFonts w:ascii="Times New Roman" w:hAnsi="Times New Roman" w:cs="Times New Roman"/>
        </w:rPr>
        <w:t xml:space="preserve"> (</w:t>
      </w:r>
      <w:r w:rsidR="00AC30C8" w:rsidRPr="00170AE1">
        <w:rPr>
          <w:rFonts w:ascii="Times New Roman" w:hAnsi="Times New Roman" w:cs="Times New Roman"/>
        </w:rPr>
        <w:t>Ghana Statistical Service, 2021)</w:t>
      </w:r>
      <w:r w:rsidR="00FE08A3" w:rsidRPr="00170AE1">
        <w:rPr>
          <w:rFonts w:ascii="Times New Roman" w:hAnsi="Times New Roman" w:cs="Times New Roman"/>
        </w:rPr>
        <w:t xml:space="preserve">. </w:t>
      </w:r>
      <w:r w:rsidR="009843D8" w:rsidRPr="00170AE1">
        <w:rPr>
          <w:rFonts w:ascii="Times New Roman" w:hAnsi="Times New Roman" w:cs="Times New Roman"/>
        </w:rPr>
        <w:t>Both areas experience a unimodal rainfall regime annually mostly from late April – mid-October with annual precipitation of 1000-1200mm on average while the dry season commences late October –March annually. The white volta serves as the water source for most of the communities in these districts. These communities also suffer most during dam release related flooding.</w:t>
      </w:r>
      <w:r w:rsidR="00972BEE" w:rsidRPr="00170AE1">
        <w:rPr>
          <w:rFonts w:ascii="Times New Roman" w:hAnsi="Times New Roman" w:cs="Times New Roman"/>
          <w:color w:val="000000"/>
          <w14:ligatures w14:val="standardContextual"/>
        </w:rPr>
        <w:t xml:space="preserve"> </w:t>
      </w:r>
      <w:r w:rsidR="00972BEE" w:rsidRPr="00170AE1">
        <w:rPr>
          <w:rFonts w:ascii="Times New Roman" w:hAnsi="Times New Roman" w:cs="Times New Roman"/>
        </w:rPr>
        <w:t>Communities along the White Volta in the Northern part of Ghana experience perennial flooding as a result of the spillage of excess water from the Bagre Dam in neighbouring Burkina Faso.</w:t>
      </w:r>
      <w:r w:rsidR="00BA5C17" w:rsidRPr="00170AE1">
        <w:rPr>
          <w:rFonts w:ascii="Times New Roman" w:eastAsia="SimSun" w:hAnsi="Times New Roman" w:cs="Times New Roman"/>
          <w:sz w:val="20"/>
          <w:szCs w:val="20"/>
        </w:rPr>
        <w:t xml:space="preserve"> </w:t>
      </w:r>
      <w:r w:rsidR="00BA5C17" w:rsidRPr="00170AE1">
        <w:rPr>
          <w:rFonts w:ascii="Times New Roman" w:hAnsi="Times New Roman" w:cs="Times New Roman"/>
        </w:rPr>
        <w:t>The Bagre dam is operated by a Burkinabe power company, Société Nationale Burkinabe d’Electricité (SONABEL) and has two turbines with a total installed capacity of 16MW. It meets 10% of the country's energy supplies. The dam flows into the White Volta and enters Ghana from the village of Sapielga in the Upper East Region, about 60 kilometres from the dam</w:t>
      </w:r>
      <w:r w:rsidR="00CA254F" w:rsidRPr="00170AE1">
        <w:rPr>
          <w:rFonts w:ascii="Times New Roman" w:hAnsi="Times New Roman" w:cs="Times New Roman"/>
        </w:rPr>
        <w:t xml:space="preserve"> (Manu, 2019)</w:t>
      </w:r>
      <w:r w:rsidR="004B7527" w:rsidRPr="00170AE1">
        <w:rPr>
          <w:rFonts w:ascii="Times New Roman" w:hAnsi="Times New Roman" w:cs="Times New Roman"/>
        </w:rPr>
        <w:t>.</w:t>
      </w:r>
      <w:r w:rsidR="00BA5C17" w:rsidRPr="00170AE1">
        <w:rPr>
          <w:rFonts w:ascii="Times New Roman" w:hAnsi="Times New Roman" w:cs="Times New Roman"/>
        </w:rPr>
        <w:t xml:space="preserve"> </w:t>
      </w:r>
      <w:r w:rsidR="00D00530" w:rsidRPr="00170AE1">
        <w:rPr>
          <w:rFonts w:ascii="Times New Roman" w:hAnsi="Times New Roman" w:cs="Times New Roman"/>
        </w:rPr>
        <w:t xml:space="preserve"> </w:t>
      </w:r>
    </w:p>
    <w:p w14:paraId="3C48FC28" w14:textId="77777777" w:rsidR="00D07FFC" w:rsidRPr="00170AE1" w:rsidRDefault="00D07FFC" w:rsidP="008C36C9">
      <w:pPr>
        <w:spacing w:line="360" w:lineRule="auto"/>
        <w:rPr>
          <w:rFonts w:ascii="Times New Roman" w:hAnsi="Times New Roman" w:cs="Times New Roman"/>
        </w:rPr>
      </w:pPr>
    </w:p>
    <w:p w14:paraId="69551609" w14:textId="77777777" w:rsidR="00FD75D1" w:rsidRPr="00170AE1" w:rsidRDefault="00FD75D1" w:rsidP="00FD75D1">
      <w:pPr>
        <w:rPr>
          <w:rFonts w:ascii="Times New Roman" w:hAnsi="Times New Roman" w:cs="Times New Roman"/>
        </w:rPr>
      </w:pPr>
      <w:r w:rsidRPr="00170AE1">
        <w:rPr>
          <w:rFonts w:ascii="Times New Roman" w:hAnsi="Times New Roman" w:cs="Times New Roman"/>
          <w:b/>
          <w:bCs/>
        </w:rPr>
        <w:t>Study design</w:t>
      </w:r>
      <w:r w:rsidRPr="00170AE1">
        <w:rPr>
          <w:rFonts w:ascii="Times New Roman" w:hAnsi="Times New Roman" w:cs="Times New Roman"/>
        </w:rPr>
        <w:t xml:space="preserve">: </w:t>
      </w:r>
    </w:p>
    <w:p w14:paraId="1181176A" w14:textId="2DB1C6D0" w:rsidR="00FD75D1" w:rsidRPr="00170AE1" w:rsidRDefault="00FD75D1" w:rsidP="00FD75D1">
      <w:pPr>
        <w:spacing w:line="360" w:lineRule="auto"/>
        <w:rPr>
          <w:rFonts w:ascii="Times New Roman" w:hAnsi="Times New Roman" w:cs="Times New Roman"/>
        </w:rPr>
      </w:pPr>
      <w:r w:rsidRPr="00170AE1">
        <w:rPr>
          <w:rFonts w:ascii="Times New Roman" w:hAnsi="Times New Roman" w:cs="Times New Roman"/>
        </w:rPr>
        <w:t>This study is the qualitative part of the whole project which employed a sequential exploratory approach through a mixed-methods study design (Creswell &amp; Clark, 2017). The study employed a phenomenological approach to understanding from the perspectives of dam release flood victims, the occurrence, severity,</w:t>
      </w:r>
      <w:r w:rsidR="00D07FFC" w:rsidRPr="00170AE1">
        <w:rPr>
          <w:rFonts w:ascii="Times New Roman" w:hAnsi="Times New Roman" w:cs="Times New Roman"/>
        </w:rPr>
        <w:t xml:space="preserve"> adaptation</w:t>
      </w:r>
      <w:r w:rsidRPr="00170AE1">
        <w:rPr>
          <w:rFonts w:ascii="Times New Roman" w:hAnsi="Times New Roman" w:cs="Times New Roman"/>
        </w:rPr>
        <w:t xml:space="preserve"> and its implications on life course as well as livelihoods (Mapp, 2008).</w:t>
      </w:r>
    </w:p>
    <w:p w14:paraId="5E040F39" w14:textId="77777777" w:rsidR="00F471EF" w:rsidRPr="00170AE1" w:rsidRDefault="00F471EF" w:rsidP="00FD75D1">
      <w:pPr>
        <w:spacing w:line="360" w:lineRule="auto"/>
        <w:rPr>
          <w:rFonts w:ascii="Times New Roman" w:hAnsi="Times New Roman" w:cs="Times New Roman"/>
        </w:rPr>
      </w:pPr>
    </w:p>
    <w:p w14:paraId="3C9449EC" w14:textId="665DA5C4" w:rsidR="00F471EF" w:rsidRPr="00170AE1" w:rsidRDefault="00F471EF" w:rsidP="00F471EF">
      <w:pPr>
        <w:keepNext/>
        <w:keepLines/>
        <w:spacing w:line="360" w:lineRule="auto"/>
        <w:outlineLvl w:val="1"/>
        <w:rPr>
          <w:rFonts w:ascii="Times New Roman" w:eastAsia="SimSun" w:hAnsi="Times New Roman" w:cs="Times New Roman"/>
          <w:b/>
          <w:bCs/>
        </w:rPr>
      </w:pPr>
      <w:r w:rsidRPr="00170AE1">
        <w:rPr>
          <w:rFonts w:ascii="Times New Roman" w:eastAsia="SimSun" w:hAnsi="Times New Roman" w:cs="Times New Roman"/>
          <w:b/>
          <w:bCs/>
        </w:rPr>
        <w:t>Sample size and participant selection.</w:t>
      </w:r>
    </w:p>
    <w:p w14:paraId="60EF4EA0" w14:textId="783FCE57" w:rsidR="008672A7" w:rsidRPr="00170AE1" w:rsidRDefault="008672A7" w:rsidP="00AB21A0">
      <w:pPr>
        <w:spacing w:line="360" w:lineRule="auto"/>
        <w:rPr>
          <w:rFonts w:ascii="Times New Roman" w:hAnsi="Times New Roman" w:cs="Times New Roman"/>
        </w:rPr>
      </w:pPr>
      <w:r w:rsidRPr="00170AE1">
        <w:rPr>
          <w:rFonts w:ascii="Times New Roman" w:hAnsi="Times New Roman" w:cs="Times New Roman"/>
        </w:rPr>
        <w:t>Four communities were selected from Savelugu Municipal and Talensi districts using preliminary analysis of satellite imagery, corroborated by Red Cross reports documenting the agency’s emergency response to flooding in the Upper East region</w:t>
      </w:r>
      <w:r w:rsidR="00FA3278" w:rsidRPr="00FA3278">
        <w:t xml:space="preserve"> </w:t>
      </w:r>
      <w:r w:rsidR="00FA3278">
        <w:t>(</w:t>
      </w:r>
      <w:r w:rsidR="00FA3278" w:rsidRPr="00FA3278">
        <w:rPr>
          <w:rFonts w:ascii="Times New Roman" w:hAnsi="Times New Roman" w:cs="Times New Roman"/>
        </w:rPr>
        <w:t>International Federation of Red Cross and Red Crescent Societies</w:t>
      </w:r>
      <w:r w:rsidR="00FA3278">
        <w:rPr>
          <w:rFonts w:ascii="Times New Roman" w:hAnsi="Times New Roman" w:cs="Times New Roman"/>
        </w:rPr>
        <w:t>,</w:t>
      </w:r>
      <w:r w:rsidR="00FA3278" w:rsidRPr="00FA3278">
        <w:rPr>
          <w:rFonts w:ascii="Times New Roman" w:hAnsi="Times New Roman" w:cs="Times New Roman"/>
        </w:rPr>
        <w:t xml:space="preserve"> 2019</w:t>
      </w:r>
      <w:r w:rsidR="00FA3278">
        <w:rPr>
          <w:rFonts w:ascii="Times New Roman" w:hAnsi="Times New Roman" w:cs="Times New Roman"/>
        </w:rPr>
        <w:t xml:space="preserve">) </w:t>
      </w:r>
      <w:r w:rsidRPr="00170AE1">
        <w:rPr>
          <w:rFonts w:ascii="Times New Roman" w:hAnsi="Times New Roman" w:cs="Times New Roman"/>
        </w:rPr>
        <w:t>. For these districts, satellite imagery from the Sentinel-1, Sentinel-2, and Landsat-8 sensors was acquired for known periods of Bagre Dam spillage (usually August-September) from 2015 to 2019. This imagery was classified to map the historical distribution of flooding following dam release using a differencing image technique</w:t>
      </w:r>
      <w:r w:rsidR="000D7B9E" w:rsidRPr="00170AE1">
        <w:rPr>
          <w:rFonts w:ascii="Times New Roman" w:hAnsi="Times New Roman" w:cs="Times New Roman"/>
        </w:rPr>
        <w:t xml:space="preserve"> </w:t>
      </w:r>
      <w:r w:rsidR="00D14339" w:rsidRPr="00170AE1">
        <w:rPr>
          <w:rFonts w:ascii="Times New Roman" w:hAnsi="Times New Roman" w:cs="Times New Roman"/>
        </w:rPr>
        <w:t>(</w:t>
      </w:r>
      <w:r w:rsidR="000D7B9E" w:rsidRPr="00170AE1">
        <w:rPr>
          <w:rFonts w:ascii="Times New Roman" w:hAnsi="Times New Roman" w:cs="Times New Roman"/>
        </w:rPr>
        <w:t>Singha</w:t>
      </w:r>
      <w:r w:rsidRPr="00170AE1">
        <w:rPr>
          <w:rFonts w:ascii="Times New Roman" w:hAnsi="Times New Roman" w:cs="Times New Roman"/>
        </w:rPr>
        <w:t>,</w:t>
      </w:r>
      <w:r w:rsidR="00D14339" w:rsidRPr="00170AE1">
        <w:rPr>
          <w:rFonts w:ascii="Times New Roman" w:hAnsi="Times New Roman" w:cs="Times New Roman"/>
        </w:rPr>
        <w:t xml:space="preserve"> et al, 2020)</w:t>
      </w:r>
      <w:r w:rsidRPr="00170AE1">
        <w:rPr>
          <w:rFonts w:ascii="Times New Roman" w:hAnsi="Times New Roman" w:cs="Times New Roman"/>
        </w:rPr>
        <w:t xml:space="preserve">. Study sites were identified using a composite inundation map layer created from the map layers of flooded areas for different years. This composite flood map was overlaid onto digital map layers of populated places based on the WorldPop population dataset </w:t>
      </w:r>
      <w:r w:rsidR="001B7841" w:rsidRPr="00170AE1">
        <w:rPr>
          <w:rFonts w:ascii="Times New Roman" w:hAnsi="Times New Roman" w:cs="Times New Roman"/>
        </w:rPr>
        <w:t>(</w:t>
      </w:r>
      <w:r w:rsidR="008B16F0" w:rsidRPr="00170AE1">
        <w:rPr>
          <w:rFonts w:ascii="Times New Roman" w:hAnsi="Times New Roman" w:cs="Times New Roman"/>
        </w:rPr>
        <w:t>Sorichetta, et al, 2015)</w:t>
      </w:r>
      <w:r w:rsidRPr="00170AE1">
        <w:rPr>
          <w:rFonts w:ascii="Times New Roman" w:hAnsi="Times New Roman" w:cs="Times New Roman"/>
        </w:rPr>
        <w:t xml:space="preserve"> and water and sanitation points (e.g., boreholes and pit latrines) </w:t>
      </w:r>
      <w:r w:rsidR="000118CB" w:rsidRPr="00170AE1">
        <w:rPr>
          <w:rFonts w:ascii="Times New Roman" w:hAnsi="Times New Roman" w:cs="Times New Roman"/>
        </w:rPr>
        <w:t>(Yu, et al, 2019)</w:t>
      </w:r>
      <w:r w:rsidR="00D25C18" w:rsidRPr="00170AE1">
        <w:rPr>
          <w:rFonts w:ascii="Times New Roman" w:hAnsi="Times New Roman" w:cs="Times New Roman"/>
        </w:rPr>
        <w:t xml:space="preserve"> </w:t>
      </w:r>
      <w:r w:rsidRPr="00170AE1">
        <w:rPr>
          <w:rFonts w:ascii="Times New Roman" w:hAnsi="Times New Roman" w:cs="Times New Roman"/>
        </w:rPr>
        <w:t>to identify eight communities affected by flooding. These communities were confirmed by the National Disaster Management Organisation’s (NADMO) district office to be the communities most affected by dam release flooding.</w:t>
      </w:r>
    </w:p>
    <w:p w14:paraId="57A84D08" w14:textId="77777777" w:rsidR="008672A7" w:rsidRPr="00170AE1" w:rsidRDefault="008672A7" w:rsidP="00AB21A0">
      <w:pPr>
        <w:spacing w:line="360" w:lineRule="auto"/>
        <w:rPr>
          <w:rFonts w:ascii="Times New Roman" w:hAnsi="Times New Roman" w:cs="Times New Roman"/>
        </w:rPr>
      </w:pPr>
      <w:r w:rsidRPr="00170AE1">
        <w:rPr>
          <w:rFonts w:ascii="Times New Roman" w:hAnsi="Times New Roman" w:cs="Times New Roman"/>
        </w:rPr>
        <w:t xml:space="preserve">Prior interactions (stakeholder meetings, site visits to flooded communities, and community mapping) took place with the communities, enhancing familiarisation with the flooding situation. A maximum variation sampling technique was employed in selecting </w:t>
      </w:r>
      <w:bookmarkStart w:id="0" w:name="_Hlk92553486"/>
      <w:r w:rsidRPr="00170AE1">
        <w:rPr>
          <w:rFonts w:ascii="Times New Roman" w:hAnsi="Times New Roman" w:cs="Times New Roman"/>
        </w:rPr>
        <w:t>respondents for the Focus Group Discussions (FGDs). Inhabitants of the eight flood-affected communities were recruited in person by referral from the local NADMO officer and the assembly members (a local elected representative), who were the point of contact. All respondents were 18 years and above old, had lived in the area for at least ten years, and had first-hand knowledge of floods in these localities. Participants were either district assembly members or chiefs, community opinion/influential leaders, or household heads. Only invited participants were present, and no one refused to take part</w:t>
      </w:r>
      <w:bookmarkEnd w:id="0"/>
      <w:r w:rsidRPr="00170AE1">
        <w:rPr>
          <w:rFonts w:ascii="Times New Roman" w:hAnsi="Times New Roman" w:cs="Times New Roman"/>
        </w:rPr>
        <w:t xml:space="preserve">. For the (KIIs), a purposive homogenous sampling strategy was used in selecting participants because of their community representatives (community representatives and chiefs or Traditional authority figures) and professionals with relevant roles in flood-related institutions (the health sector, local government or other organisations </w:t>
      </w:r>
      <w:r w:rsidRPr="00170AE1">
        <w:rPr>
          <w:rFonts w:ascii="Times New Roman" w:hAnsi="Times New Roman" w:cs="Times New Roman"/>
        </w:rPr>
        <w:lastRenderedPageBreak/>
        <w:t>with a disaster relief remit) were purposefully selected to provide a range of perspectives (see Table 1). None of these selected participants declined participation.</w:t>
      </w:r>
    </w:p>
    <w:p w14:paraId="11115EE3" w14:textId="77777777" w:rsidR="00D77065" w:rsidRPr="00170AE1" w:rsidRDefault="00D77065" w:rsidP="00AB21A0">
      <w:pPr>
        <w:spacing w:line="360" w:lineRule="auto"/>
        <w:rPr>
          <w:rFonts w:ascii="Times New Roman" w:hAnsi="Times New Roman" w:cs="Times New Roman"/>
        </w:rPr>
      </w:pPr>
    </w:p>
    <w:p w14:paraId="6C23B0B6" w14:textId="4AF8DD64" w:rsidR="003532E1" w:rsidRPr="00170AE1" w:rsidRDefault="003532E1" w:rsidP="003532E1">
      <w:pPr>
        <w:spacing w:after="0" w:line="240" w:lineRule="auto"/>
        <w:jc w:val="center"/>
        <w:rPr>
          <w:rFonts w:ascii="Times New Roman" w:hAnsi="Times New Roman" w:cs="Times New Roman"/>
          <w:b/>
          <w:bCs/>
          <w:sz w:val="20"/>
          <w:szCs w:val="20"/>
        </w:rPr>
      </w:pPr>
      <w:r w:rsidRPr="00170AE1">
        <w:rPr>
          <w:rFonts w:ascii="Times New Roman" w:hAnsi="Times New Roman" w:cs="Times New Roman"/>
          <w:b/>
          <w:bCs/>
          <w:sz w:val="20"/>
          <w:szCs w:val="20"/>
        </w:rPr>
        <w:t>Table 1.Focus Group Discussion (FGD) and Key Informant Interview (KII) participants in Savelugu and Talensi Districts, Ghana</w:t>
      </w:r>
    </w:p>
    <w:tbl>
      <w:tblPr>
        <w:tblStyle w:val="TableGrid"/>
        <w:tblW w:w="0" w:type="auto"/>
        <w:jc w:val="center"/>
        <w:tblLook w:val="04A0" w:firstRow="1" w:lastRow="0" w:firstColumn="1" w:lastColumn="0" w:noHBand="0" w:noVBand="1"/>
      </w:tblPr>
      <w:tblGrid>
        <w:gridCol w:w="1202"/>
        <w:gridCol w:w="972"/>
        <w:gridCol w:w="906"/>
        <w:gridCol w:w="938"/>
        <w:gridCol w:w="1073"/>
      </w:tblGrid>
      <w:tr w:rsidR="00AB21A0" w:rsidRPr="00170AE1" w14:paraId="43D176FE" w14:textId="77777777" w:rsidTr="00D77065">
        <w:trPr>
          <w:trHeight w:val="240"/>
          <w:jc w:val="center"/>
        </w:trPr>
        <w:tc>
          <w:tcPr>
            <w:tcW w:w="1202" w:type="dxa"/>
          </w:tcPr>
          <w:p w14:paraId="0436C4D9" w14:textId="77777777"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 xml:space="preserve">District </w:t>
            </w:r>
          </w:p>
        </w:tc>
        <w:tc>
          <w:tcPr>
            <w:tcW w:w="972" w:type="dxa"/>
          </w:tcPr>
          <w:p w14:paraId="442A58FA" w14:textId="77777777"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 xml:space="preserve">Activity </w:t>
            </w:r>
          </w:p>
        </w:tc>
        <w:tc>
          <w:tcPr>
            <w:tcW w:w="906" w:type="dxa"/>
          </w:tcPr>
          <w:p w14:paraId="27A445BD" w14:textId="77777777"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 xml:space="preserve">Male </w:t>
            </w:r>
          </w:p>
        </w:tc>
        <w:tc>
          <w:tcPr>
            <w:tcW w:w="938" w:type="dxa"/>
          </w:tcPr>
          <w:p w14:paraId="6414321C" w14:textId="77777777"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 xml:space="preserve">Female </w:t>
            </w:r>
          </w:p>
        </w:tc>
        <w:tc>
          <w:tcPr>
            <w:tcW w:w="1073" w:type="dxa"/>
          </w:tcPr>
          <w:p w14:paraId="75D33CD4" w14:textId="77777777"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 xml:space="preserve">Total </w:t>
            </w:r>
          </w:p>
        </w:tc>
      </w:tr>
      <w:tr w:rsidR="00AB21A0" w:rsidRPr="00170AE1" w14:paraId="13ADAD74" w14:textId="77777777" w:rsidTr="00D77065">
        <w:trPr>
          <w:trHeight w:val="230"/>
          <w:jc w:val="center"/>
        </w:trPr>
        <w:tc>
          <w:tcPr>
            <w:tcW w:w="1202" w:type="dxa"/>
            <w:vMerge w:val="restart"/>
          </w:tcPr>
          <w:p w14:paraId="55CED05B"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Savelugu</w:t>
            </w:r>
          </w:p>
        </w:tc>
        <w:tc>
          <w:tcPr>
            <w:tcW w:w="972" w:type="dxa"/>
          </w:tcPr>
          <w:p w14:paraId="7A1C03FA"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FGD</w:t>
            </w:r>
          </w:p>
        </w:tc>
        <w:tc>
          <w:tcPr>
            <w:tcW w:w="906" w:type="dxa"/>
          </w:tcPr>
          <w:p w14:paraId="1FD1949E" w14:textId="77777777" w:rsidR="00AB21A0" w:rsidRPr="00170AE1" w:rsidRDefault="00AB21A0" w:rsidP="00D77065">
            <w:pPr>
              <w:spacing w:after="160"/>
              <w:ind w:left="-1026" w:firstLine="1026"/>
              <w:jc w:val="both"/>
              <w:rPr>
                <w:rFonts w:ascii="Times New Roman" w:hAnsi="Times New Roman" w:cs="Times New Roman"/>
                <w:sz w:val="20"/>
                <w:szCs w:val="20"/>
              </w:rPr>
            </w:pPr>
            <w:r w:rsidRPr="00170AE1">
              <w:rPr>
                <w:rFonts w:ascii="Times New Roman" w:hAnsi="Times New Roman" w:cs="Times New Roman"/>
                <w:sz w:val="20"/>
                <w:szCs w:val="20"/>
              </w:rPr>
              <w:t>9</w:t>
            </w:r>
          </w:p>
        </w:tc>
        <w:tc>
          <w:tcPr>
            <w:tcW w:w="938" w:type="dxa"/>
          </w:tcPr>
          <w:p w14:paraId="463F428C"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8</w:t>
            </w:r>
          </w:p>
        </w:tc>
        <w:tc>
          <w:tcPr>
            <w:tcW w:w="1073" w:type="dxa"/>
          </w:tcPr>
          <w:p w14:paraId="03E8C3D6"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17</w:t>
            </w:r>
          </w:p>
        </w:tc>
      </w:tr>
      <w:tr w:rsidR="00AB21A0" w:rsidRPr="00170AE1" w14:paraId="04716D3E" w14:textId="77777777" w:rsidTr="00D77065">
        <w:trPr>
          <w:trHeight w:val="252"/>
          <w:jc w:val="center"/>
        </w:trPr>
        <w:tc>
          <w:tcPr>
            <w:tcW w:w="1202" w:type="dxa"/>
            <w:vMerge/>
          </w:tcPr>
          <w:p w14:paraId="08E40446" w14:textId="77777777" w:rsidR="00AB21A0" w:rsidRPr="00170AE1" w:rsidRDefault="00AB21A0" w:rsidP="00D77065">
            <w:pPr>
              <w:spacing w:after="160"/>
              <w:jc w:val="both"/>
              <w:rPr>
                <w:rFonts w:ascii="Times New Roman" w:hAnsi="Times New Roman" w:cs="Times New Roman"/>
                <w:sz w:val="20"/>
                <w:szCs w:val="20"/>
              </w:rPr>
            </w:pPr>
          </w:p>
        </w:tc>
        <w:tc>
          <w:tcPr>
            <w:tcW w:w="972" w:type="dxa"/>
          </w:tcPr>
          <w:p w14:paraId="2E84AFB2"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KII</w:t>
            </w:r>
          </w:p>
        </w:tc>
        <w:tc>
          <w:tcPr>
            <w:tcW w:w="906" w:type="dxa"/>
          </w:tcPr>
          <w:p w14:paraId="33551755" w14:textId="4B6663BA" w:rsidR="00AB21A0" w:rsidRPr="00170AE1" w:rsidRDefault="00395BBD"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3</w:t>
            </w:r>
          </w:p>
        </w:tc>
        <w:tc>
          <w:tcPr>
            <w:tcW w:w="938" w:type="dxa"/>
          </w:tcPr>
          <w:p w14:paraId="626CDF49" w14:textId="2EF1DA20" w:rsidR="00AB21A0" w:rsidRPr="00170AE1" w:rsidRDefault="00395BBD"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2</w:t>
            </w:r>
          </w:p>
        </w:tc>
        <w:tc>
          <w:tcPr>
            <w:tcW w:w="1073" w:type="dxa"/>
          </w:tcPr>
          <w:p w14:paraId="05BED155" w14:textId="4F72746C" w:rsidR="00AB21A0" w:rsidRPr="00170AE1" w:rsidRDefault="00204998"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5</w:t>
            </w:r>
          </w:p>
        </w:tc>
      </w:tr>
      <w:tr w:rsidR="00AB21A0" w:rsidRPr="00170AE1" w14:paraId="0ACD8876" w14:textId="77777777" w:rsidTr="00D77065">
        <w:trPr>
          <w:trHeight w:val="230"/>
          <w:jc w:val="center"/>
        </w:trPr>
        <w:tc>
          <w:tcPr>
            <w:tcW w:w="1202" w:type="dxa"/>
            <w:vMerge w:val="restart"/>
          </w:tcPr>
          <w:p w14:paraId="0E78A251" w14:textId="77777777" w:rsidR="00AB21A0" w:rsidRPr="00170AE1" w:rsidRDefault="00AB21A0" w:rsidP="00D77065">
            <w:pPr>
              <w:spacing w:after="160"/>
              <w:jc w:val="both"/>
              <w:rPr>
                <w:rFonts w:ascii="Times New Roman" w:hAnsi="Times New Roman" w:cs="Times New Roman"/>
                <w:sz w:val="20"/>
                <w:szCs w:val="20"/>
              </w:rPr>
            </w:pPr>
          </w:p>
          <w:p w14:paraId="44F7B925"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Talensi</w:t>
            </w:r>
          </w:p>
        </w:tc>
        <w:tc>
          <w:tcPr>
            <w:tcW w:w="972" w:type="dxa"/>
          </w:tcPr>
          <w:p w14:paraId="6E86915D"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FGD</w:t>
            </w:r>
          </w:p>
        </w:tc>
        <w:tc>
          <w:tcPr>
            <w:tcW w:w="906" w:type="dxa"/>
          </w:tcPr>
          <w:p w14:paraId="3B837D38"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8</w:t>
            </w:r>
          </w:p>
        </w:tc>
        <w:tc>
          <w:tcPr>
            <w:tcW w:w="938" w:type="dxa"/>
          </w:tcPr>
          <w:p w14:paraId="3E679E7E"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8</w:t>
            </w:r>
          </w:p>
        </w:tc>
        <w:tc>
          <w:tcPr>
            <w:tcW w:w="1073" w:type="dxa"/>
          </w:tcPr>
          <w:p w14:paraId="283816C0"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16</w:t>
            </w:r>
          </w:p>
        </w:tc>
      </w:tr>
      <w:tr w:rsidR="00AB21A0" w:rsidRPr="00170AE1" w14:paraId="6889706F" w14:textId="77777777" w:rsidTr="00D77065">
        <w:trPr>
          <w:trHeight w:val="252"/>
          <w:jc w:val="center"/>
        </w:trPr>
        <w:tc>
          <w:tcPr>
            <w:tcW w:w="1202" w:type="dxa"/>
            <w:vMerge/>
          </w:tcPr>
          <w:p w14:paraId="09F8E000" w14:textId="77777777" w:rsidR="00AB21A0" w:rsidRPr="00170AE1" w:rsidRDefault="00AB21A0" w:rsidP="00D77065">
            <w:pPr>
              <w:spacing w:after="160"/>
              <w:jc w:val="both"/>
              <w:rPr>
                <w:rFonts w:ascii="Times New Roman" w:hAnsi="Times New Roman" w:cs="Times New Roman"/>
                <w:sz w:val="20"/>
                <w:szCs w:val="20"/>
              </w:rPr>
            </w:pPr>
          </w:p>
        </w:tc>
        <w:tc>
          <w:tcPr>
            <w:tcW w:w="972" w:type="dxa"/>
          </w:tcPr>
          <w:p w14:paraId="2BB61E44"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KII</w:t>
            </w:r>
          </w:p>
        </w:tc>
        <w:tc>
          <w:tcPr>
            <w:tcW w:w="906" w:type="dxa"/>
          </w:tcPr>
          <w:p w14:paraId="04B3EE60" w14:textId="77777777" w:rsidR="00AB21A0" w:rsidRPr="00170AE1" w:rsidRDefault="00AB21A0"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5</w:t>
            </w:r>
          </w:p>
        </w:tc>
        <w:tc>
          <w:tcPr>
            <w:tcW w:w="938" w:type="dxa"/>
          </w:tcPr>
          <w:p w14:paraId="05CC79EC" w14:textId="00931EA2" w:rsidR="00AB21A0" w:rsidRPr="00170AE1" w:rsidRDefault="00204998"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0</w:t>
            </w:r>
          </w:p>
        </w:tc>
        <w:tc>
          <w:tcPr>
            <w:tcW w:w="1073" w:type="dxa"/>
          </w:tcPr>
          <w:p w14:paraId="106E0A2F" w14:textId="550CBF24" w:rsidR="00AB21A0" w:rsidRPr="00170AE1" w:rsidRDefault="00204998" w:rsidP="00D77065">
            <w:pPr>
              <w:spacing w:after="160"/>
              <w:jc w:val="both"/>
              <w:rPr>
                <w:rFonts w:ascii="Times New Roman" w:hAnsi="Times New Roman" w:cs="Times New Roman"/>
                <w:sz w:val="20"/>
                <w:szCs w:val="20"/>
              </w:rPr>
            </w:pPr>
            <w:r w:rsidRPr="00170AE1">
              <w:rPr>
                <w:rFonts w:ascii="Times New Roman" w:hAnsi="Times New Roman" w:cs="Times New Roman"/>
                <w:sz w:val="20"/>
                <w:szCs w:val="20"/>
              </w:rPr>
              <w:t>5</w:t>
            </w:r>
          </w:p>
        </w:tc>
      </w:tr>
      <w:tr w:rsidR="00AB21A0" w:rsidRPr="00170AE1" w14:paraId="63B2E0DA" w14:textId="77777777" w:rsidTr="00D77065">
        <w:trPr>
          <w:trHeight w:val="337"/>
          <w:jc w:val="center"/>
        </w:trPr>
        <w:tc>
          <w:tcPr>
            <w:tcW w:w="1202" w:type="dxa"/>
          </w:tcPr>
          <w:p w14:paraId="7BAB3779" w14:textId="77777777"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Total</w:t>
            </w:r>
          </w:p>
        </w:tc>
        <w:tc>
          <w:tcPr>
            <w:tcW w:w="972" w:type="dxa"/>
          </w:tcPr>
          <w:p w14:paraId="727C2566" w14:textId="77777777" w:rsidR="00AB21A0" w:rsidRPr="00170AE1" w:rsidRDefault="00AB21A0" w:rsidP="00D77065">
            <w:pPr>
              <w:spacing w:after="160"/>
              <w:jc w:val="both"/>
              <w:rPr>
                <w:rFonts w:ascii="Times New Roman" w:hAnsi="Times New Roman" w:cs="Times New Roman"/>
                <w:b/>
                <w:bCs/>
                <w:sz w:val="20"/>
                <w:szCs w:val="20"/>
              </w:rPr>
            </w:pPr>
          </w:p>
        </w:tc>
        <w:tc>
          <w:tcPr>
            <w:tcW w:w="906" w:type="dxa"/>
          </w:tcPr>
          <w:p w14:paraId="1FB3B16B" w14:textId="1B102D9E"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2</w:t>
            </w:r>
            <w:r w:rsidR="00395BBD" w:rsidRPr="00170AE1">
              <w:rPr>
                <w:rFonts w:ascii="Times New Roman" w:hAnsi="Times New Roman" w:cs="Times New Roman"/>
                <w:b/>
                <w:bCs/>
                <w:sz w:val="20"/>
                <w:szCs w:val="20"/>
              </w:rPr>
              <w:t>5</w:t>
            </w:r>
          </w:p>
        </w:tc>
        <w:tc>
          <w:tcPr>
            <w:tcW w:w="938" w:type="dxa"/>
          </w:tcPr>
          <w:p w14:paraId="4BAA16FC" w14:textId="1B851BA6"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1</w:t>
            </w:r>
            <w:r w:rsidR="0023353C" w:rsidRPr="00170AE1">
              <w:rPr>
                <w:rFonts w:ascii="Times New Roman" w:hAnsi="Times New Roman" w:cs="Times New Roman"/>
                <w:b/>
                <w:bCs/>
                <w:sz w:val="20"/>
                <w:szCs w:val="20"/>
              </w:rPr>
              <w:t>8</w:t>
            </w:r>
          </w:p>
        </w:tc>
        <w:tc>
          <w:tcPr>
            <w:tcW w:w="1073" w:type="dxa"/>
          </w:tcPr>
          <w:p w14:paraId="57409577" w14:textId="1956632D" w:rsidR="00AB21A0" w:rsidRPr="00170AE1" w:rsidRDefault="00AB21A0" w:rsidP="00D77065">
            <w:pPr>
              <w:spacing w:after="160"/>
              <w:jc w:val="both"/>
              <w:rPr>
                <w:rFonts w:ascii="Times New Roman" w:hAnsi="Times New Roman" w:cs="Times New Roman"/>
                <w:b/>
                <w:bCs/>
                <w:sz w:val="20"/>
                <w:szCs w:val="20"/>
              </w:rPr>
            </w:pPr>
            <w:r w:rsidRPr="00170AE1">
              <w:rPr>
                <w:rFonts w:ascii="Times New Roman" w:hAnsi="Times New Roman" w:cs="Times New Roman"/>
                <w:b/>
                <w:bCs/>
                <w:sz w:val="20"/>
                <w:szCs w:val="20"/>
              </w:rPr>
              <w:t>4</w:t>
            </w:r>
            <w:r w:rsidR="000E79B5" w:rsidRPr="00170AE1">
              <w:rPr>
                <w:rFonts w:ascii="Times New Roman" w:hAnsi="Times New Roman" w:cs="Times New Roman"/>
                <w:b/>
                <w:bCs/>
                <w:sz w:val="20"/>
                <w:szCs w:val="20"/>
              </w:rPr>
              <w:t>3</w:t>
            </w:r>
          </w:p>
        </w:tc>
      </w:tr>
    </w:tbl>
    <w:p w14:paraId="5DAFD06E" w14:textId="0CEA50CE" w:rsidR="00176376" w:rsidRPr="00170AE1" w:rsidRDefault="00176376">
      <w:pPr>
        <w:rPr>
          <w:rFonts w:ascii="Times New Roman" w:hAnsi="Times New Roman" w:cs="Times New Roman"/>
        </w:rPr>
      </w:pPr>
    </w:p>
    <w:p w14:paraId="55BC6DDC" w14:textId="77777777" w:rsidR="00BA6E0C" w:rsidRPr="00170AE1" w:rsidRDefault="00BA6E0C" w:rsidP="00BA6E0C">
      <w:pPr>
        <w:rPr>
          <w:rFonts w:ascii="Times New Roman" w:hAnsi="Times New Roman" w:cs="Times New Roman"/>
          <w:b/>
          <w:bCs/>
        </w:rPr>
      </w:pPr>
      <w:r w:rsidRPr="00170AE1">
        <w:rPr>
          <w:rFonts w:ascii="Times New Roman" w:hAnsi="Times New Roman" w:cs="Times New Roman"/>
          <w:b/>
          <w:bCs/>
        </w:rPr>
        <w:t>Data collection</w:t>
      </w:r>
    </w:p>
    <w:p w14:paraId="38CF6AB0" w14:textId="77777777" w:rsidR="00BA6E0C" w:rsidRPr="00170AE1" w:rsidRDefault="00BA6E0C" w:rsidP="006764B8">
      <w:pPr>
        <w:spacing w:line="360" w:lineRule="auto"/>
        <w:rPr>
          <w:rFonts w:ascii="Times New Roman" w:hAnsi="Times New Roman" w:cs="Times New Roman"/>
        </w:rPr>
      </w:pPr>
      <w:r w:rsidRPr="00170AE1">
        <w:rPr>
          <w:rFonts w:ascii="Times New Roman" w:hAnsi="Times New Roman" w:cs="Times New Roman"/>
        </w:rPr>
        <w:t xml:space="preserve">Data collection took place for two weeks, 14th – 27th September 2020, during the flooding period culminating in the Bagre dam release. All interviews and discussions were audio-recorded following a written informed consent of all participants. Both FDGs and KIIs were assisted by MA and FTG (Ghanaian male &amp; female researchers, respectively, located outside the White Volta catchment). MA has a master's degree in environmental geography, training in qualitative research methodologies, and six years of qualitative interviewing experience. FTG is a PhD researcher with a psychology and social science implementation background. She is a qualitative researcher with over seven years of experience. </w:t>
      </w:r>
    </w:p>
    <w:p w14:paraId="083CACA5" w14:textId="77777777" w:rsidR="00BA6E0C" w:rsidRPr="00170AE1" w:rsidRDefault="00BA6E0C" w:rsidP="006764B8">
      <w:pPr>
        <w:spacing w:line="360" w:lineRule="auto"/>
        <w:rPr>
          <w:rFonts w:ascii="Times New Roman" w:hAnsi="Times New Roman" w:cs="Times New Roman"/>
        </w:rPr>
      </w:pPr>
      <w:r w:rsidRPr="00170AE1">
        <w:rPr>
          <w:rFonts w:ascii="Times New Roman" w:hAnsi="Times New Roman" w:cs="Times New Roman"/>
        </w:rPr>
        <w:t>Attendees for the FGD were flood-prone residents the facilitator had never met before. A participant information document containing the study goal and objectives was read to FGD and KII participants in a language they understood. One of the researchers took field notes during all conversations, while the other led the interaction. The FGD and KII tool were not piloted, and interviews were not repeated.</w:t>
      </w:r>
    </w:p>
    <w:p w14:paraId="1AB7ED17" w14:textId="4B988FD2" w:rsidR="00BA6E0C" w:rsidRPr="00170AE1" w:rsidRDefault="00BA6E0C" w:rsidP="006764B8">
      <w:pPr>
        <w:spacing w:line="360" w:lineRule="auto"/>
        <w:rPr>
          <w:rFonts w:ascii="Times New Roman" w:hAnsi="Times New Roman" w:cs="Times New Roman"/>
        </w:rPr>
      </w:pPr>
      <w:r w:rsidRPr="00170AE1">
        <w:rPr>
          <w:rFonts w:ascii="Times New Roman" w:hAnsi="Times New Roman" w:cs="Times New Roman"/>
          <w:b/>
          <w:bCs/>
        </w:rPr>
        <w:t>FGDs</w:t>
      </w:r>
      <w:r w:rsidRPr="00170AE1">
        <w:rPr>
          <w:rFonts w:ascii="Times New Roman" w:hAnsi="Times New Roman" w:cs="Times New Roman"/>
        </w:rPr>
        <w:t>: Participants were invited to discussion sessions at a convenient location (Municipal Assembly conference hall), separating male from female participants to allow more open contributions on community and individual viewpoints and gender-sensitive issues</w:t>
      </w:r>
      <w:r w:rsidR="009B5B59" w:rsidRPr="00170AE1">
        <w:rPr>
          <w:rFonts w:ascii="Times New Roman" w:hAnsi="Times New Roman" w:cs="Times New Roman"/>
        </w:rPr>
        <w:t xml:space="preserve"> (Smyth and Hai, 2012)</w:t>
      </w:r>
      <w:r w:rsidRPr="00170AE1">
        <w:rPr>
          <w:rFonts w:ascii="Times New Roman" w:hAnsi="Times New Roman" w:cs="Times New Roman"/>
        </w:rPr>
        <w:t>. A table of pseudonyms was created for each participant to record their comments. The mode of communication was in the local dialect (Dagbani and Frafra) and was translated by a professional translator whose gender matched that of the group concerned. Discussion groups comprised nine and eight participants (see Table 1), enabling each participant to contribute</w:t>
      </w:r>
      <w:r w:rsidR="00153BA8" w:rsidRPr="00170AE1">
        <w:rPr>
          <w:rFonts w:ascii="Times New Roman" w:hAnsi="Times New Roman" w:cs="Times New Roman"/>
        </w:rPr>
        <w:t xml:space="preserve"> </w:t>
      </w:r>
      <w:r w:rsidR="00F73762" w:rsidRPr="00170AE1">
        <w:rPr>
          <w:rFonts w:ascii="Times New Roman" w:hAnsi="Times New Roman" w:cs="Times New Roman"/>
        </w:rPr>
        <w:t xml:space="preserve">(Rodiguez </w:t>
      </w:r>
      <w:r w:rsidR="00861753" w:rsidRPr="00170AE1">
        <w:rPr>
          <w:rFonts w:ascii="Times New Roman" w:hAnsi="Times New Roman" w:cs="Times New Roman"/>
        </w:rPr>
        <w:t>et al, 2011</w:t>
      </w:r>
      <w:r w:rsidR="00F73762" w:rsidRPr="00170AE1">
        <w:rPr>
          <w:rFonts w:ascii="Times New Roman" w:hAnsi="Times New Roman" w:cs="Times New Roman"/>
        </w:rPr>
        <w:t>)</w:t>
      </w:r>
      <w:r w:rsidRPr="00170AE1">
        <w:rPr>
          <w:rFonts w:ascii="Times New Roman" w:hAnsi="Times New Roman" w:cs="Times New Roman"/>
        </w:rPr>
        <w:t>. Topics discussed focused on the impacts of flooding on a community’s livelihood, life course, social, health, and economics, as well as short and long-term impacts (</w:t>
      </w:r>
      <w:r w:rsidRPr="00170AE1">
        <w:rPr>
          <w:rFonts w:ascii="Times New Roman" w:hAnsi="Times New Roman" w:cs="Times New Roman"/>
          <w:i/>
          <w:iCs/>
        </w:rPr>
        <w:t xml:space="preserve">see </w:t>
      </w:r>
      <w:r w:rsidR="008E7C5E" w:rsidRPr="00170AE1">
        <w:rPr>
          <w:rFonts w:ascii="Times New Roman" w:hAnsi="Times New Roman" w:cs="Times New Roman"/>
          <w:i/>
          <w:iCs/>
        </w:rPr>
        <w:t>guide</w:t>
      </w:r>
      <w:r w:rsidRPr="00170AE1">
        <w:rPr>
          <w:rFonts w:ascii="Times New Roman" w:hAnsi="Times New Roman" w:cs="Times New Roman"/>
        </w:rPr>
        <w:t xml:space="preserve">). A discussion session (face-to-face) lasted for about </w:t>
      </w:r>
      <w:r w:rsidRPr="00170AE1">
        <w:rPr>
          <w:rFonts w:ascii="Times New Roman" w:hAnsi="Times New Roman" w:cs="Times New Roman"/>
        </w:rPr>
        <w:lastRenderedPageBreak/>
        <w:t>an hour and a half. On the fourth FGD, the topic had achieved saturation.</w:t>
      </w:r>
      <w:r w:rsidR="008A2357" w:rsidRPr="00170AE1">
        <w:rPr>
          <w:rFonts w:ascii="Times New Roman" w:eastAsia="SimSun" w:hAnsi="Times New Roman" w:cs="Times New Roman"/>
        </w:rPr>
        <w:t xml:space="preserve"> </w:t>
      </w:r>
      <w:r w:rsidR="008A2357" w:rsidRPr="00170AE1">
        <w:rPr>
          <w:rFonts w:ascii="Times New Roman" w:hAnsi="Times New Roman" w:cs="Times New Roman"/>
        </w:rPr>
        <w:t xml:space="preserve">In addition to seeking informed consent, permission was sought from participants for the discussions to be audio-recorded. Field notes were also taken to document any </w:t>
      </w:r>
      <w:r w:rsidR="00E07690" w:rsidRPr="00170AE1">
        <w:rPr>
          <w:rFonts w:ascii="Times New Roman" w:hAnsi="Times New Roman" w:cs="Times New Roman"/>
        </w:rPr>
        <w:t xml:space="preserve">gestures and </w:t>
      </w:r>
      <w:r w:rsidR="008A2357" w:rsidRPr="00170AE1">
        <w:rPr>
          <w:rFonts w:ascii="Times New Roman" w:hAnsi="Times New Roman" w:cs="Times New Roman"/>
        </w:rPr>
        <w:t>observations that may not have been captured in the audio recording</w:t>
      </w:r>
      <w:r w:rsidR="00E07690" w:rsidRPr="00170AE1">
        <w:rPr>
          <w:rFonts w:ascii="Times New Roman" w:hAnsi="Times New Roman" w:cs="Times New Roman"/>
        </w:rPr>
        <w:t>.</w:t>
      </w:r>
    </w:p>
    <w:p w14:paraId="1D0F5935" w14:textId="77777777" w:rsidR="00BA6E0C" w:rsidRPr="00170AE1" w:rsidRDefault="00BA6E0C" w:rsidP="000041E2">
      <w:pPr>
        <w:spacing w:line="360" w:lineRule="auto"/>
        <w:rPr>
          <w:rFonts w:ascii="Times New Roman" w:hAnsi="Times New Roman" w:cs="Times New Roman"/>
        </w:rPr>
      </w:pPr>
      <w:r w:rsidRPr="00170AE1">
        <w:rPr>
          <w:rFonts w:ascii="Times New Roman" w:hAnsi="Times New Roman" w:cs="Times New Roman"/>
          <w:b/>
          <w:bCs/>
        </w:rPr>
        <w:t xml:space="preserve">KIIs: </w:t>
      </w:r>
      <w:r w:rsidRPr="00170AE1">
        <w:rPr>
          <w:rFonts w:ascii="Times New Roman" w:hAnsi="Times New Roman" w:cs="Times New Roman"/>
        </w:rPr>
        <w:t xml:space="preserve">Participants were interviewed in their offices and homes in English. A face-to-face 45-minute interview with </w:t>
      </w:r>
      <w:bookmarkStart w:id="1" w:name="_Hlk92553869"/>
      <w:r w:rsidRPr="00170AE1">
        <w:rPr>
          <w:rFonts w:ascii="Times New Roman" w:hAnsi="Times New Roman" w:cs="Times New Roman"/>
        </w:rPr>
        <w:t>semi-structured and open-ended questions</w:t>
      </w:r>
      <w:bookmarkEnd w:id="1"/>
      <w:r w:rsidRPr="00170AE1">
        <w:rPr>
          <w:rFonts w:ascii="Times New Roman" w:hAnsi="Times New Roman" w:cs="Times New Roman"/>
        </w:rPr>
        <w:t xml:space="preserve"> focused on flooding’s impact on flood-related institution sectors and observations over time and challenges in delivering service to affected populations.</w:t>
      </w:r>
    </w:p>
    <w:p w14:paraId="2C4E4712" w14:textId="77777777" w:rsidR="00ED3F1E" w:rsidRPr="00170AE1" w:rsidRDefault="00ED3F1E">
      <w:pPr>
        <w:rPr>
          <w:rFonts w:ascii="Times New Roman" w:hAnsi="Times New Roman" w:cs="Times New Roman"/>
        </w:rPr>
      </w:pPr>
    </w:p>
    <w:p w14:paraId="3793B488" w14:textId="77777777" w:rsidR="00336B67" w:rsidRPr="00170AE1" w:rsidRDefault="00336B67" w:rsidP="00336B67">
      <w:pPr>
        <w:spacing w:after="0" w:line="360" w:lineRule="auto"/>
        <w:jc w:val="both"/>
        <w:rPr>
          <w:rFonts w:ascii="Times New Roman" w:eastAsia="SimSun" w:hAnsi="Times New Roman" w:cs="Times New Roman"/>
          <w:b/>
          <w:bCs/>
          <w:lang w:val="en-US"/>
        </w:rPr>
      </w:pPr>
      <w:r w:rsidRPr="00170AE1">
        <w:rPr>
          <w:rFonts w:ascii="Times New Roman" w:eastAsia="SimSun" w:hAnsi="Times New Roman" w:cs="Times New Roman"/>
          <w:b/>
          <w:bCs/>
        </w:rPr>
        <w:t xml:space="preserve">Qualitative Data Management, </w:t>
      </w:r>
      <w:r w:rsidRPr="00170AE1">
        <w:rPr>
          <w:rFonts w:ascii="Times New Roman" w:eastAsia="SimSun" w:hAnsi="Times New Roman" w:cs="Times New Roman"/>
          <w:b/>
          <w:bCs/>
          <w:lang w:val="en-US"/>
        </w:rPr>
        <w:t>processing, quality control, and anonymization</w:t>
      </w:r>
    </w:p>
    <w:p w14:paraId="38819102" w14:textId="77777777" w:rsidR="00336B67" w:rsidRPr="00170AE1" w:rsidRDefault="00336B67" w:rsidP="00336B67">
      <w:pPr>
        <w:spacing w:after="0" w:line="360" w:lineRule="auto"/>
        <w:jc w:val="both"/>
        <w:rPr>
          <w:rFonts w:ascii="Times New Roman" w:eastAsia="SimSun" w:hAnsi="Times New Roman" w:cs="Times New Roman"/>
          <w:b/>
          <w:bCs/>
        </w:rPr>
      </w:pPr>
    </w:p>
    <w:p w14:paraId="18EA811E" w14:textId="03639D71" w:rsidR="00336B67" w:rsidRPr="00170AE1" w:rsidRDefault="00336B67" w:rsidP="002C1F34">
      <w:pPr>
        <w:spacing w:afterLines="50" w:after="120" w:line="360" w:lineRule="auto"/>
        <w:jc w:val="both"/>
        <w:rPr>
          <w:rFonts w:ascii="Times New Roman" w:eastAsia="SimSun" w:hAnsi="Times New Roman" w:cs="Times New Roman"/>
          <w:lang w:val="en-ZA"/>
        </w:rPr>
      </w:pPr>
      <w:r w:rsidRPr="00170AE1">
        <w:rPr>
          <w:rFonts w:ascii="Times New Roman" w:eastAsia="SimSun" w:hAnsi="Times New Roman" w:cs="Times New Roman"/>
          <w:b/>
          <w:bCs/>
        </w:rPr>
        <w:t>Data management</w:t>
      </w:r>
      <w:r w:rsidRPr="00170AE1">
        <w:rPr>
          <w:rFonts w:ascii="Times New Roman" w:eastAsia="SimSun" w:hAnsi="Times New Roman" w:cs="Times New Roman"/>
          <w:b/>
          <w:bCs/>
          <w:i/>
          <w:iCs/>
        </w:rPr>
        <w:t>:</w:t>
      </w:r>
      <w:r w:rsidRPr="00170AE1">
        <w:rPr>
          <w:rFonts w:ascii="Times New Roman" w:eastAsia="SimSun" w:hAnsi="Times New Roman" w:cs="Times New Roman"/>
          <w:i/>
          <w:iCs/>
        </w:rPr>
        <w:t xml:space="preserve"> </w:t>
      </w:r>
      <w:r w:rsidR="002C1F34" w:rsidRPr="00170AE1">
        <w:rPr>
          <w:rFonts w:ascii="Times New Roman" w:eastAsia="SimSun" w:hAnsi="Times New Roman" w:cs="Times New Roman"/>
        </w:rPr>
        <w:t>The data from the BRECcI</w:t>
      </w:r>
      <w:r w:rsidR="00A975DE" w:rsidRPr="00170AE1">
        <w:rPr>
          <w:rFonts w:ascii="Times New Roman" w:eastAsia="SimSun" w:hAnsi="Times New Roman" w:cs="Times New Roman"/>
        </w:rPr>
        <w:t xml:space="preserve">A </w:t>
      </w:r>
      <w:r w:rsidR="002C1F34" w:rsidRPr="00170AE1">
        <w:rPr>
          <w:rFonts w:ascii="Times New Roman" w:eastAsia="SimSun" w:hAnsi="Times New Roman" w:cs="Times New Roman"/>
        </w:rPr>
        <w:t>project is jointly owned by the University of Ghana, School of Public Health (UG-SPH), and the project’s grant holders</w:t>
      </w:r>
      <w:r w:rsidR="00A975DE" w:rsidRPr="00170AE1">
        <w:rPr>
          <w:rFonts w:ascii="Times New Roman" w:eastAsia="SimSun" w:hAnsi="Times New Roman" w:cs="Times New Roman"/>
        </w:rPr>
        <w:t xml:space="preserve"> (University of Southampton)</w:t>
      </w:r>
      <w:r w:rsidR="002C1F34" w:rsidRPr="00170AE1">
        <w:rPr>
          <w:rFonts w:ascii="Times New Roman" w:eastAsia="SimSun" w:hAnsi="Times New Roman" w:cs="Times New Roman"/>
        </w:rPr>
        <w:t>. Trained research assistants transcribed all audio recordings, adhering to ethical standards by maintaining confidentiality. The data was organized, cleaned, and stored on</w:t>
      </w:r>
      <w:r w:rsidR="00C90D3E" w:rsidRPr="00170AE1">
        <w:rPr>
          <w:rFonts w:ascii="Times New Roman" w:eastAsia="SimSun" w:hAnsi="Times New Roman" w:cs="Times New Roman"/>
        </w:rPr>
        <w:t xml:space="preserve"> </w:t>
      </w:r>
      <w:r w:rsidR="00693D45" w:rsidRPr="00170AE1">
        <w:rPr>
          <w:rFonts w:ascii="Times New Roman" w:eastAsia="SimSun" w:hAnsi="Times New Roman" w:cs="Times New Roman"/>
        </w:rPr>
        <w:t>OneDrive</w:t>
      </w:r>
      <w:r w:rsidR="002C1F34" w:rsidRPr="00170AE1">
        <w:rPr>
          <w:rFonts w:ascii="Times New Roman" w:eastAsia="SimSun" w:hAnsi="Times New Roman" w:cs="Times New Roman"/>
        </w:rPr>
        <w:t>, an online data management platform, with access restricted to key project staff. Analysis of the main study outcomes was conducted by the Project Qualitative Analysts, Principal Investigator (PI), and Co-PIs. Once anonymized, the dataset was archived and made available for future analysis to protect participants’ identities.</w:t>
      </w:r>
    </w:p>
    <w:p w14:paraId="7768094D" w14:textId="77777777" w:rsidR="00336B67" w:rsidRPr="00170AE1" w:rsidRDefault="00336B67" w:rsidP="00336B67">
      <w:pPr>
        <w:spacing w:afterLines="50" w:after="120" w:line="360" w:lineRule="auto"/>
        <w:jc w:val="both"/>
        <w:rPr>
          <w:rFonts w:ascii="Times New Roman" w:eastAsia="SimSun" w:hAnsi="Times New Roman" w:cs="Times New Roman"/>
          <w:b/>
          <w:bCs/>
          <w:lang w:val="en-ZA"/>
        </w:rPr>
      </w:pPr>
      <w:r w:rsidRPr="00170AE1">
        <w:rPr>
          <w:rFonts w:ascii="Times New Roman" w:eastAsia="SimSun" w:hAnsi="Times New Roman" w:cs="Times New Roman"/>
          <w:b/>
          <w:bCs/>
          <w:lang w:val="en-ZA"/>
        </w:rPr>
        <w:t xml:space="preserve"> </w:t>
      </w:r>
      <w:r w:rsidRPr="00170AE1">
        <w:rPr>
          <w:rFonts w:ascii="Times New Roman" w:eastAsia="SimSun" w:hAnsi="Times New Roman" w:cs="Times New Roman"/>
          <w:b/>
          <w:bCs/>
        </w:rPr>
        <w:t xml:space="preserve">Quality control: </w:t>
      </w:r>
    </w:p>
    <w:p w14:paraId="6D39D205" w14:textId="6EF2388B" w:rsidR="00336B67" w:rsidRPr="00170AE1" w:rsidRDefault="00336B67" w:rsidP="00336B67">
      <w:pPr>
        <w:numPr>
          <w:ilvl w:val="0"/>
          <w:numId w:val="3"/>
        </w:numPr>
        <w:spacing w:afterLines="50" w:after="120" w:line="360" w:lineRule="auto"/>
        <w:jc w:val="both"/>
        <w:rPr>
          <w:rFonts w:ascii="Times New Roman" w:eastAsia="SimSun" w:hAnsi="Times New Roman" w:cs="Times New Roman"/>
        </w:rPr>
      </w:pPr>
      <w:r w:rsidRPr="00170AE1">
        <w:rPr>
          <w:rFonts w:ascii="Times New Roman" w:eastAsia="SimSun" w:hAnsi="Times New Roman" w:cs="Times New Roman"/>
          <w:b/>
          <w:bCs/>
        </w:rPr>
        <w:t>Training</w:t>
      </w:r>
      <w:r w:rsidRPr="00170AE1">
        <w:rPr>
          <w:rFonts w:ascii="Times New Roman" w:eastAsia="SimSun" w:hAnsi="Times New Roman" w:cs="Times New Roman"/>
        </w:rPr>
        <w:t xml:space="preserve">: </w:t>
      </w:r>
      <w:r w:rsidR="00306117" w:rsidRPr="00170AE1">
        <w:rPr>
          <w:rFonts w:ascii="Times New Roman" w:eastAsia="SimSun" w:hAnsi="Times New Roman" w:cs="Times New Roman"/>
        </w:rPr>
        <w:t xml:space="preserve">Field research assistants were thoroughly trained in the study protocol, including collecting qualitative data using a role play </w:t>
      </w:r>
      <w:r w:rsidR="00CE75A6" w:rsidRPr="00170AE1">
        <w:rPr>
          <w:rFonts w:ascii="Times New Roman" w:eastAsia="SimSun" w:hAnsi="Times New Roman" w:cs="Times New Roman"/>
        </w:rPr>
        <w:t xml:space="preserve">and </w:t>
      </w:r>
      <w:r w:rsidR="00306117" w:rsidRPr="00170AE1">
        <w:rPr>
          <w:rFonts w:ascii="Times New Roman" w:eastAsia="SimSun" w:hAnsi="Times New Roman" w:cs="Times New Roman"/>
        </w:rPr>
        <w:t>interpreting questions</w:t>
      </w:r>
      <w:r w:rsidR="00CE75A6" w:rsidRPr="00170AE1">
        <w:rPr>
          <w:rFonts w:ascii="Times New Roman" w:eastAsia="SimSun" w:hAnsi="Times New Roman" w:cs="Times New Roman"/>
        </w:rPr>
        <w:t>. Professional transla</w:t>
      </w:r>
      <w:r w:rsidR="007846D7" w:rsidRPr="00170AE1">
        <w:rPr>
          <w:rFonts w:ascii="Times New Roman" w:eastAsia="SimSun" w:hAnsi="Times New Roman" w:cs="Times New Roman"/>
        </w:rPr>
        <w:t>tors were also trained to understand the</w:t>
      </w:r>
      <w:r w:rsidR="00DD6F1F" w:rsidRPr="00170AE1">
        <w:rPr>
          <w:rFonts w:ascii="Times New Roman" w:eastAsia="SimSun" w:hAnsi="Times New Roman" w:cs="Times New Roman"/>
        </w:rPr>
        <w:t xml:space="preserve"> study tools and</w:t>
      </w:r>
      <w:r w:rsidR="007846D7" w:rsidRPr="00170AE1">
        <w:rPr>
          <w:rFonts w:ascii="Times New Roman" w:eastAsia="SimSun" w:hAnsi="Times New Roman" w:cs="Times New Roman"/>
        </w:rPr>
        <w:t xml:space="preserve"> </w:t>
      </w:r>
      <w:r w:rsidR="00DD6F1F" w:rsidRPr="00170AE1">
        <w:rPr>
          <w:rFonts w:ascii="Times New Roman" w:eastAsia="SimSun" w:hAnsi="Times New Roman" w:cs="Times New Roman"/>
        </w:rPr>
        <w:t>protocol and</w:t>
      </w:r>
      <w:r w:rsidR="00306117" w:rsidRPr="00170AE1">
        <w:rPr>
          <w:rFonts w:ascii="Times New Roman" w:eastAsia="SimSun" w:hAnsi="Times New Roman" w:cs="Times New Roman"/>
        </w:rPr>
        <w:t xml:space="preserve"> adhering to ethical guidelines</w:t>
      </w:r>
      <w:r w:rsidRPr="00170AE1">
        <w:rPr>
          <w:rFonts w:ascii="Times New Roman" w:eastAsia="SimSun" w:hAnsi="Times New Roman" w:cs="Times New Roman"/>
        </w:rPr>
        <w:t xml:space="preserve">. </w:t>
      </w:r>
    </w:p>
    <w:p w14:paraId="18360800" w14:textId="3FF2800C" w:rsidR="00336B67" w:rsidRPr="00170AE1" w:rsidRDefault="00336B67" w:rsidP="00336B67">
      <w:pPr>
        <w:numPr>
          <w:ilvl w:val="0"/>
          <w:numId w:val="3"/>
        </w:numPr>
        <w:spacing w:afterLines="50" w:after="120" w:line="360" w:lineRule="auto"/>
        <w:jc w:val="both"/>
        <w:rPr>
          <w:rFonts w:ascii="Times New Roman" w:eastAsia="SimSun" w:hAnsi="Times New Roman" w:cs="Times New Roman"/>
        </w:rPr>
      </w:pPr>
      <w:r w:rsidRPr="00170AE1">
        <w:rPr>
          <w:rFonts w:ascii="Times New Roman" w:eastAsia="SimSun" w:hAnsi="Times New Roman" w:cs="Times New Roman"/>
          <w:b/>
          <w:bCs/>
          <w:lang w:val="en-US"/>
        </w:rPr>
        <w:t>Supervision:</w:t>
      </w:r>
      <w:r w:rsidRPr="00170AE1">
        <w:rPr>
          <w:rFonts w:ascii="Times New Roman" w:eastAsia="SimSun" w:hAnsi="Times New Roman" w:cs="Times New Roman"/>
          <w:lang w:val="en-US"/>
        </w:rPr>
        <w:t xml:space="preserve"> </w:t>
      </w:r>
      <w:r w:rsidR="00695887" w:rsidRPr="00170AE1">
        <w:rPr>
          <w:rFonts w:ascii="Times New Roman" w:eastAsia="SimSun" w:hAnsi="Times New Roman" w:cs="Times New Roman"/>
        </w:rPr>
        <w:t>The PI from UG-SPH supervised data collection in the field, ensuring it was conducted ethically and efficiently.</w:t>
      </w:r>
    </w:p>
    <w:p w14:paraId="30743F8D" w14:textId="2AB35251" w:rsidR="00336B67" w:rsidRPr="00170AE1" w:rsidRDefault="009B43E3" w:rsidP="00336B67">
      <w:pPr>
        <w:spacing w:afterLines="50" w:after="120" w:line="360" w:lineRule="auto"/>
        <w:jc w:val="both"/>
        <w:rPr>
          <w:rFonts w:ascii="Times New Roman" w:eastAsia="SimSun" w:hAnsi="Times New Roman" w:cs="Times New Roman"/>
          <w:color w:val="FF0000"/>
        </w:rPr>
      </w:pPr>
      <w:r w:rsidRPr="00170AE1">
        <w:rPr>
          <w:rFonts w:ascii="Times New Roman" w:eastAsia="SimSun" w:hAnsi="Times New Roman" w:cs="Times New Roman"/>
          <w:b/>
          <w:bCs/>
        </w:rPr>
        <w:t>Trustworthiness:</w:t>
      </w:r>
      <w:r w:rsidRPr="00170AE1">
        <w:rPr>
          <w:rFonts w:ascii="Times New Roman" w:eastAsia="SimSun" w:hAnsi="Times New Roman" w:cs="Times New Roman"/>
        </w:rPr>
        <w:t xml:space="preserve"> To ensure credibility, applicability, consistency, and neutrality, research assistants spent prolonged time with respondents to gather accurate responses. Follow-up contact was made to verify initial answers, and transcripts were proofread to ensure verbatim accuracy. Data triangulation, combining interview transcriptions with field notes, was also used to enhance the completeness and reliability of the data.</w:t>
      </w:r>
    </w:p>
    <w:p w14:paraId="614C53A7" w14:textId="0C64D765" w:rsidR="00336B67" w:rsidRPr="00170AE1" w:rsidRDefault="00336B67" w:rsidP="00863093">
      <w:pPr>
        <w:spacing w:afterLines="50" w:after="120" w:line="360" w:lineRule="auto"/>
        <w:jc w:val="both"/>
        <w:rPr>
          <w:rFonts w:ascii="Times New Roman" w:eastAsia="SimSun" w:hAnsi="Times New Roman" w:cs="Times New Roman"/>
          <w:i/>
          <w:iCs/>
          <w:lang w:val="en-US"/>
        </w:rPr>
      </w:pPr>
      <w:r w:rsidRPr="00170AE1">
        <w:rPr>
          <w:rFonts w:ascii="Times New Roman" w:eastAsia="SimSun" w:hAnsi="Times New Roman" w:cs="Times New Roman"/>
          <w:b/>
          <w:bCs/>
        </w:rPr>
        <w:t>Anonymisation:</w:t>
      </w:r>
      <w:r w:rsidRPr="00170AE1">
        <w:rPr>
          <w:rFonts w:ascii="Times New Roman" w:eastAsia="SimSun" w:hAnsi="Times New Roman" w:cs="Times New Roman"/>
          <w:i/>
          <w:iCs/>
        </w:rPr>
        <w:t xml:space="preserve"> </w:t>
      </w:r>
      <w:r w:rsidR="00863093" w:rsidRPr="00170AE1">
        <w:rPr>
          <w:rFonts w:ascii="Times New Roman" w:eastAsia="SimSun" w:hAnsi="Times New Roman" w:cs="Times New Roman"/>
        </w:rPr>
        <w:t>The archived qualitative dataset (transcripts) has been anonymized by replacing the names of respondents and locations with pseudonyms. Additionally, the transcripts were carefully reviewed to identify any potentially revealing information, which was subsequently redacted to ensure confidentiality.</w:t>
      </w:r>
    </w:p>
    <w:p w14:paraId="48322747" w14:textId="77777777" w:rsidR="00336B67" w:rsidRPr="00170AE1" w:rsidRDefault="00336B67" w:rsidP="00336B67">
      <w:pPr>
        <w:spacing w:after="0" w:line="360" w:lineRule="auto"/>
        <w:jc w:val="both"/>
        <w:rPr>
          <w:rFonts w:ascii="Times New Roman" w:eastAsia="SimSun" w:hAnsi="Times New Roman" w:cs="Times New Roman"/>
          <w:b/>
          <w:bCs/>
          <w:lang w:val="en-US"/>
        </w:rPr>
      </w:pPr>
      <w:r w:rsidRPr="00170AE1">
        <w:rPr>
          <w:rFonts w:ascii="Times New Roman" w:eastAsia="SimSun" w:hAnsi="Times New Roman" w:cs="Times New Roman"/>
          <w:b/>
          <w:bCs/>
          <w:lang w:val="en-US"/>
        </w:rPr>
        <w:lastRenderedPageBreak/>
        <w:t>Ethical considerations</w:t>
      </w:r>
    </w:p>
    <w:p w14:paraId="4719A110" w14:textId="77777777" w:rsidR="00336B67" w:rsidRPr="00170AE1" w:rsidRDefault="00336B67" w:rsidP="00336B67">
      <w:pPr>
        <w:numPr>
          <w:ilvl w:val="0"/>
          <w:numId w:val="4"/>
        </w:numPr>
        <w:spacing w:after="0" w:line="360" w:lineRule="auto"/>
        <w:jc w:val="both"/>
        <w:rPr>
          <w:rFonts w:ascii="Times New Roman" w:eastAsia="SimSun" w:hAnsi="Times New Roman" w:cs="Times New Roman"/>
          <w:b/>
          <w:bCs/>
          <w:i/>
          <w:iCs/>
          <w:lang w:val="en-US"/>
        </w:rPr>
      </w:pPr>
      <w:r w:rsidRPr="00170AE1">
        <w:rPr>
          <w:rFonts w:ascii="Times New Roman" w:eastAsia="SimSun" w:hAnsi="Times New Roman" w:cs="Times New Roman"/>
          <w:b/>
          <w:bCs/>
          <w:i/>
          <w:iCs/>
          <w:lang w:val="en-US"/>
        </w:rPr>
        <w:t>Ethical approval</w:t>
      </w:r>
    </w:p>
    <w:p w14:paraId="138FC71D" w14:textId="1495CABB" w:rsidR="00336B67" w:rsidRPr="00170AE1" w:rsidRDefault="00757963" w:rsidP="00336B67">
      <w:pPr>
        <w:spacing w:after="0" w:line="360" w:lineRule="auto"/>
        <w:jc w:val="both"/>
        <w:rPr>
          <w:rFonts w:ascii="Times New Roman" w:eastAsia="SimSun" w:hAnsi="Times New Roman" w:cs="Times New Roman"/>
          <w:lang w:val="en-US"/>
        </w:rPr>
      </w:pPr>
      <w:r w:rsidRPr="00170AE1">
        <w:rPr>
          <w:rFonts w:ascii="Times New Roman" w:eastAsia="SimSun" w:hAnsi="Times New Roman" w:cs="Times New Roman"/>
          <w:lang w:val="en-US"/>
        </w:rPr>
        <w:t xml:space="preserve">This study was approved by the Ethics Committee of the Faculty of Environmental and Life Sciences, University of Southampton, U.K. (Ref No: 54506, Approval date: 9th </w:t>
      </w:r>
      <w:r w:rsidR="003D4BB7" w:rsidRPr="00170AE1">
        <w:rPr>
          <w:rFonts w:ascii="Times New Roman" w:eastAsia="SimSun" w:hAnsi="Times New Roman" w:cs="Times New Roman"/>
          <w:lang w:val="en-US"/>
        </w:rPr>
        <w:t>February</w:t>
      </w:r>
      <w:r w:rsidRPr="00170AE1">
        <w:rPr>
          <w:rFonts w:ascii="Times New Roman" w:eastAsia="SimSun" w:hAnsi="Times New Roman" w:cs="Times New Roman"/>
          <w:lang w:val="en-US"/>
        </w:rPr>
        <w:t xml:space="preserve"> 2020) and the Noguchi Memorial Institute for Medical Research, University of Ghana, (NMIMR-IRB CPN 062/19-20, Approval date: 4th March 2020)</w:t>
      </w:r>
    </w:p>
    <w:p w14:paraId="42CB080A" w14:textId="77777777" w:rsidR="00757963" w:rsidRPr="00170AE1" w:rsidRDefault="00757963" w:rsidP="00336B67">
      <w:pPr>
        <w:spacing w:after="0" w:line="360" w:lineRule="auto"/>
        <w:jc w:val="both"/>
        <w:rPr>
          <w:rFonts w:ascii="Times New Roman" w:eastAsia="SimSun" w:hAnsi="Times New Roman" w:cs="Times New Roman"/>
          <w:lang w:val="en-US"/>
        </w:rPr>
      </w:pPr>
    </w:p>
    <w:p w14:paraId="0DD6724A" w14:textId="77777777" w:rsidR="00336B67" w:rsidRPr="00170AE1" w:rsidRDefault="00336B67" w:rsidP="00336B67">
      <w:pPr>
        <w:numPr>
          <w:ilvl w:val="0"/>
          <w:numId w:val="4"/>
        </w:numPr>
        <w:spacing w:after="0" w:line="360" w:lineRule="auto"/>
        <w:jc w:val="both"/>
        <w:rPr>
          <w:rFonts w:ascii="Times New Roman" w:eastAsia="SimSun" w:hAnsi="Times New Roman" w:cs="Times New Roman"/>
          <w:b/>
          <w:bCs/>
          <w:i/>
          <w:iCs/>
          <w:lang w:val="en-US"/>
        </w:rPr>
      </w:pPr>
      <w:r w:rsidRPr="00170AE1">
        <w:rPr>
          <w:rFonts w:ascii="Times New Roman" w:eastAsia="SimSun" w:hAnsi="Times New Roman" w:cs="Times New Roman"/>
          <w:b/>
          <w:bCs/>
          <w:i/>
          <w:iCs/>
          <w:lang w:val="en-US"/>
        </w:rPr>
        <w:t>Informed consent</w:t>
      </w:r>
    </w:p>
    <w:p w14:paraId="37B7A56E" w14:textId="4B6208BB" w:rsidR="00336B67" w:rsidRPr="00170AE1" w:rsidRDefault="00777A6F" w:rsidP="00336B67">
      <w:pPr>
        <w:spacing w:after="0" w:line="360" w:lineRule="auto"/>
        <w:jc w:val="both"/>
        <w:rPr>
          <w:rFonts w:ascii="Times New Roman" w:eastAsia="SimSun" w:hAnsi="Times New Roman" w:cs="Times New Roman"/>
        </w:rPr>
      </w:pPr>
      <w:r w:rsidRPr="00170AE1">
        <w:rPr>
          <w:rFonts w:ascii="Times New Roman" w:eastAsia="SimSun" w:hAnsi="Times New Roman" w:cs="Times New Roman"/>
        </w:rPr>
        <w:t xml:space="preserve">All study participants provided written informed consent before participating. They were informed about the study's aims, objectives, data collection process, plans for data sharing, potential risks and benefits, and their rights as participants. The consent documents were written in simple English, but </w:t>
      </w:r>
      <w:r w:rsidR="003C69C7" w:rsidRPr="00170AE1">
        <w:rPr>
          <w:rFonts w:ascii="Times New Roman" w:eastAsia="SimSun" w:hAnsi="Times New Roman" w:cs="Times New Roman"/>
        </w:rPr>
        <w:t>Professional translator</w:t>
      </w:r>
      <w:r w:rsidRPr="00170AE1">
        <w:rPr>
          <w:rFonts w:ascii="Times New Roman" w:eastAsia="SimSun" w:hAnsi="Times New Roman" w:cs="Times New Roman"/>
        </w:rPr>
        <w:t xml:space="preserve"> also explained them in local languages (</w:t>
      </w:r>
      <w:r w:rsidR="00950D66" w:rsidRPr="00170AE1">
        <w:rPr>
          <w:rFonts w:ascii="Times New Roman" w:eastAsia="SimSun" w:hAnsi="Times New Roman" w:cs="Times New Roman"/>
        </w:rPr>
        <w:t>Da</w:t>
      </w:r>
      <w:r w:rsidR="006E2B3C" w:rsidRPr="00170AE1">
        <w:rPr>
          <w:rFonts w:ascii="Times New Roman" w:eastAsia="SimSun" w:hAnsi="Times New Roman" w:cs="Times New Roman"/>
        </w:rPr>
        <w:t>g</w:t>
      </w:r>
      <w:r w:rsidR="003D4BB7" w:rsidRPr="00170AE1">
        <w:rPr>
          <w:rFonts w:ascii="Times New Roman" w:eastAsia="SimSun" w:hAnsi="Times New Roman" w:cs="Times New Roman"/>
        </w:rPr>
        <w:t>bani and Frafra</w:t>
      </w:r>
      <w:r w:rsidRPr="00170AE1">
        <w:rPr>
          <w:rFonts w:ascii="Times New Roman" w:eastAsia="SimSun" w:hAnsi="Times New Roman" w:cs="Times New Roman"/>
        </w:rPr>
        <w:t>) for better understanding, addressing any questions participants had. Those who agreed to participate signed or provided a thumbprint on the consent form before taking part in the study</w:t>
      </w:r>
      <w:r w:rsidR="003D4BB7" w:rsidRPr="00170AE1">
        <w:rPr>
          <w:rFonts w:ascii="Times New Roman" w:eastAsia="SimSun" w:hAnsi="Times New Roman" w:cs="Times New Roman"/>
        </w:rPr>
        <w:t>.</w:t>
      </w:r>
    </w:p>
    <w:p w14:paraId="3A12C571" w14:textId="77777777" w:rsidR="00777A6F" w:rsidRPr="00170AE1" w:rsidRDefault="00777A6F" w:rsidP="00336B67">
      <w:pPr>
        <w:spacing w:after="0" w:line="360" w:lineRule="auto"/>
        <w:jc w:val="both"/>
        <w:rPr>
          <w:rFonts w:ascii="Times New Roman" w:eastAsia="SimSun" w:hAnsi="Times New Roman" w:cs="Times New Roman"/>
          <w:lang w:val="en-US"/>
        </w:rPr>
      </w:pPr>
    </w:p>
    <w:p w14:paraId="1B52508B" w14:textId="77777777" w:rsidR="00336B67" w:rsidRPr="00170AE1" w:rsidRDefault="00336B67" w:rsidP="00336B67">
      <w:pPr>
        <w:numPr>
          <w:ilvl w:val="0"/>
          <w:numId w:val="4"/>
        </w:numPr>
        <w:spacing w:after="0" w:line="360" w:lineRule="auto"/>
        <w:jc w:val="both"/>
        <w:rPr>
          <w:rFonts w:ascii="Times New Roman" w:eastAsia="SimSun" w:hAnsi="Times New Roman" w:cs="Times New Roman"/>
          <w:b/>
          <w:bCs/>
          <w:i/>
          <w:iCs/>
          <w:lang w:val="en-US"/>
        </w:rPr>
      </w:pPr>
      <w:r w:rsidRPr="00170AE1">
        <w:rPr>
          <w:rFonts w:ascii="Times New Roman" w:eastAsia="SimSun" w:hAnsi="Times New Roman" w:cs="Times New Roman"/>
          <w:b/>
          <w:bCs/>
          <w:i/>
          <w:iCs/>
          <w:lang w:val="en-US"/>
        </w:rPr>
        <w:t xml:space="preserve">Confidentiality and Anonymity </w:t>
      </w:r>
    </w:p>
    <w:p w14:paraId="6772CEF8" w14:textId="6945B767" w:rsidR="00CA254F" w:rsidRPr="00170AE1" w:rsidRDefault="003E6474" w:rsidP="003E6474">
      <w:pPr>
        <w:spacing w:line="360" w:lineRule="auto"/>
        <w:rPr>
          <w:rFonts w:ascii="Times New Roman" w:hAnsi="Times New Roman" w:cs="Times New Roman"/>
        </w:rPr>
      </w:pPr>
      <w:r w:rsidRPr="00170AE1">
        <w:rPr>
          <w:rFonts w:ascii="Times New Roman" w:eastAsia="SimSun" w:hAnsi="Times New Roman" w:cs="Times New Roman"/>
        </w:rPr>
        <w:t>All participants were assured that their information would be treated confidentially, with findings reported anonymously. The dataset was encrypted and securely stored in the BRECcIA</w:t>
      </w:r>
      <w:r w:rsidR="00093D7E" w:rsidRPr="00170AE1">
        <w:rPr>
          <w:rFonts w:ascii="Times New Roman" w:eastAsia="SimSun" w:hAnsi="Times New Roman" w:cs="Times New Roman"/>
        </w:rPr>
        <w:t xml:space="preserve"> OneDrive </w:t>
      </w:r>
      <w:r w:rsidRPr="00170AE1">
        <w:rPr>
          <w:rFonts w:ascii="Times New Roman" w:eastAsia="SimSun" w:hAnsi="Times New Roman" w:cs="Times New Roman"/>
        </w:rPr>
        <w:t xml:space="preserve">storage system, protecting it from unauthorized access, accidental loss, or destruction. Data analysis and presentation were conducted using pseudonyms to ensure participants' anonymity and confidentiality were fully </w:t>
      </w:r>
      <w:r w:rsidR="00093D7E" w:rsidRPr="00170AE1">
        <w:rPr>
          <w:rFonts w:ascii="Times New Roman" w:eastAsia="SimSun" w:hAnsi="Times New Roman" w:cs="Times New Roman"/>
        </w:rPr>
        <w:t>preserved.</w:t>
      </w:r>
    </w:p>
    <w:p w14:paraId="6487BC06" w14:textId="77777777" w:rsidR="00D77065" w:rsidRPr="00170AE1" w:rsidRDefault="00D77065">
      <w:pPr>
        <w:rPr>
          <w:rFonts w:ascii="Times New Roman" w:hAnsi="Times New Roman" w:cs="Times New Roman"/>
        </w:rPr>
      </w:pPr>
    </w:p>
    <w:p w14:paraId="677F8D36" w14:textId="77777777" w:rsidR="00D77065" w:rsidRPr="00170AE1" w:rsidRDefault="00D77065">
      <w:pPr>
        <w:rPr>
          <w:rFonts w:ascii="Times New Roman" w:hAnsi="Times New Roman" w:cs="Times New Roman"/>
        </w:rPr>
      </w:pPr>
    </w:p>
    <w:p w14:paraId="32311479" w14:textId="77777777" w:rsidR="00D77065" w:rsidRPr="00170AE1" w:rsidRDefault="00D77065">
      <w:pPr>
        <w:rPr>
          <w:rFonts w:ascii="Times New Roman" w:hAnsi="Times New Roman" w:cs="Times New Roman"/>
        </w:rPr>
      </w:pPr>
    </w:p>
    <w:p w14:paraId="1F09A623" w14:textId="77777777" w:rsidR="00D77065" w:rsidRPr="00170AE1" w:rsidRDefault="00D77065">
      <w:pPr>
        <w:rPr>
          <w:rFonts w:ascii="Times New Roman" w:hAnsi="Times New Roman" w:cs="Times New Roman"/>
        </w:rPr>
      </w:pPr>
    </w:p>
    <w:p w14:paraId="753E6B98" w14:textId="77777777" w:rsidR="00D77065" w:rsidRPr="00170AE1" w:rsidRDefault="00D77065">
      <w:pPr>
        <w:rPr>
          <w:rFonts w:ascii="Times New Roman" w:hAnsi="Times New Roman" w:cs="Times New Roman"/>
        </w:rPr>
      </w:pPr>
    </w:p>
    <w:p w14:paraId="3FA72366" w14:textId="77777777" w:rsidR="00D77065" w:rsidRPr="00170AE1" w:rsidRDefault="00D77065">
      <w:pPr>
        <w:rPr>
          <w:rFonts w:ascii="Times New Roman" w:hAnsi="Times New Roman" w:cs="Times New Roman"/>
        </w:rPr>
      </w:pPr>
    </w:p>
    <w:p w14:paraId="1A3D9DA1" w14:textId="1AD64F4A" w:rsidR="00D77065" w:rsidRPr="00170AE1" w:rsidRDefault="00093D7E">
      <w:pPr>
        <w:rPr>
          <w:rFonts w:ascii="Times New Roman" w:hAnsi="Times New Roman" w:cs="Times New Roman"/>
          <w:b/>
          <w:bCs/>
        </w:rPr>
      </w:pPr>
      <w:r w:rsidRPr="00170AE1">
        <w:rPr>
          <w:rFonts w:ascii="Times New Roman" w:hAnsi="Times New Roman" w:cs="Times New Roman"/>
          <w:b/>
          <w:bCs/>
        </w:rPr>
        <w:t>Reference</w:t>
      </w:r>
      <w:r w:rsidR="00A6102F" w:rsidRPr="00170AE1">
        <w:rPr>
          <w:rFonts w:ascii="Times New Roman" w:hAnsi="Times New Roman" w:cs="Times New Roman"/>
          <w:b/>
          <w:bCs/>
        </w:rPr>
        <w:t xml:space="preserve"> </w:t>
      </w:r>
    </w:p>
    <w:p w14:paraId="18FB757C" w14:textId="77777777" w:rsidR="00CA254F" w:rsidRPr="00170AE1" w:rsidRDefault="00CA254F">
      <w:pPr>
        <w:rPr>
          <w:rFonts w:ascii="Times New Roman" w:hAnsi="Times New Roman" w:cs="Times New Roman"/>
        </w:rPr>
      </w:pPr>
    </w:p>
    <w:p w14:paraId="35610EBD" w14:textId="77777777" w:rsidR="00A6102F" w:rsidRPr="00170AE1" w:rsidRDefault="00A6102F" w:rsidP="003D0036">
      <w:pPr>
        <w:rPr>
          <w:rFonts w:ascii="Times New Roman" w:hAnsi="Times New Roman" w:cs="Times New Roman"/>
          <w:i/>
          <w:iCs/>
        </w:rPr>
      </w:pPr>
      <w:r w:rsidRPr="00170AE1">
        <w:rPr>
          <w:rFonts w:ascii="Times New Roman" w:hAnsi="Times New Roman" w:cs="Times New Roman"/>
        </w:rPr>
        <w:t>Creswell, J. W., &amp; Clark, V. L. P. (2017). Designing and conducting mixed methods research.</w:t>
      </w:r>
      <w:r w:rsidRPr="00170AE1">
        <w:rPr>
          <w:rFonts w:ascii="Times New Roman" w:hAnsi="Times New Roman" w:cs="Times New Roman"/>
        </w:rPr>
        <w:tab/>
      </w:r>
      <w:r w:rsidRPr="00170AE1">
        <w:rPr>
          <w:rFonts w:ascii="Times New Roman" w:hAnsi="Times New Roman" w:cs="Times New Roman"/>
          <w:i/>
          <w:iCs/>
        </w:rPr>
        <w:t>Sage publications.</w:t>
      </w:r>
    </w:p>
    <w:p w14:paraId="677F2E6B" w14:textId="77777777" w:rsidR="00A6102F" w:rsidRPr="00170AE1" w:rsidRDefault="00A6102F" w:rsidP="00A26433">
      <w:pPr>
        <w:pStyle w:val="EndNoteBibliography"/>
        <w:spacing w:line="312" w:lineRule="auto"/>
        <w:rPr>
          <w:noProof/>
        </w:rPr>
      </w:pPr>
      <w:r w:rsidRPr="00170AE1">
        <w:rPr>
          <w:noProof/>
        </w:rPr>
        <w:t xml:space="preserve">Ghana Statistical Service, 2021 Population and Housing Census General Report. </w:t>
      </w:r>
      <w:bookmarkStart w:id="2" w:name="_Hlk177247886"/>
      <w:r w:rsidRPr="00170AE1">
        <w:rPr>
          <w:noProof/>
        </w:rPr>
        <w:t>Ghana Statistical</w:t>
      </w:r>
      <w:r w:rsidRPr="00170AE1">
        <w:rPr>
          <w:noProof/>
        </w:rPr>
        <w:tab/>
        <w:t xml:space="preserve">Service </w:t>
      </w:r>
      <w:bookmarkEnd w:id="2"/>
      <w:r w:rsidRPr="00170AE1">
        <w:rPr>
          <w:noProof/>
        </w:rPr>
        <w:t>Accra, Ghana; 2021.</w:t>
      </w:r>
    </w:p>
    <w:p w14:paraId="15249CD6" w14:textId="77777777" w:rsidR="00A6102F" w:rsidRPr="00170AE1" w:rsidRDefault="00A6102F" w:rsidP="00CF605F">
      <w:pPr>
        <w:jc w:val="both"/>
        <w:rPr>
          <w:rFonts w:ascii="Times New Roman" w:hAnsi="Times New Roman" w:cs="Times New Roman"/>
          <w:bCs/>
        </w:rPr>
      </w:pPr>
      <w:bookmarkStart w:id="3" w:name="_Hlk70027813"/>
      <w:bookmarkStart w:id="4" w:name="_Hlk29293262"/>
      <w:bookmarkStart w:id="5" w:name="_Hlk177268413"/>
      <w:r w:rsidRPr="00170AE1">
        <w:rPr>
          <w:rFonts w:ascii="Times New Roman" w:hAnsi="Times New Roman" w:cs="Times New Roman"/>
          <w:bCs/>
        </w:rPr>
        <w:t>International Federation of Red Cross and Red Crescent Societies (2019</w:t>
      </w:r>
      <w:bookmarkEnd w:id="5"/>
      <w:r w:rsidRPr="00170AE1">
        <w:rPr>
          <w:rFonts w:ascii="Times New Roman" w:hAnsi="Times New Roman" w:cs="Times New Roman"/>
          <w:bCs/>
        </w:rPr>
        <w:t xml:space="preserve">): </w:t>
      </w:r>
      <w:r w:rsidRPr="00170AE1">
        <w:rPr>
          <w:rFonts w:ascii="Times New Roman" w:hAnsi="Times New Roman" w:cs="Times New Roman"/>
          <w:bCs/>
          <w:i/>
        </w:rPr>
        <w:t>Emergency plan of</w:t>
      </w:r>
      <w:r w:rsidRPr="00170AE1">
        <w:rPr>
          <w:rFonts w:ascii="Times New Roman" w:hAnsi="Times New Roman" w:cs="Times New Roman"/>
          <w:bCs/>
          <w:i/>
        </w:rPr>
        <w:tab/>
        <w:t xml:space="preserve">action final report – Ghana: Floods in Upper East Region. </w:t>
      </w:r>
      <w:r w:rsidRPr="00170AE1">
        <w:rPr>
          <w:rFonts w:ascii="Times New Roman" w:hAnsi="Times New Roman" w:cs="Times New Roman"/>
          <w:bCs/>
        </w:rPr>
        <w:t>International Federation of Red</w:t>
      </w:r>
      <w:r w:rsidRPr="00170AE1">
        <w:rPr>
          <w:rFonts w:ascii="Times New Roman" w:hAnsi="Times New Roman" w:cs="Times New Roman"/>
          <w:bCs/>
        </w:rPr>
        <w:lastRenderedPageBreak/>
        <w:tab/>
        <w:t>Cross and Red Crescent Societies Report No: MDRGH015</w:t>
      </w:r>
      <w:bookmarkEnd w:id="3"/>
      <w:r w:rsidRPr="00170AE1">
        <w:rPr>
          <w:rFonts w:ascii="Times New Roman" w:hAnsi="Times New Roman" w:cs="Times New Roman"/>
          <w:bCs/>
        </w:rPr>
        <w:t>, available at</w:t>
      </w:r>
      <w:r w:rsidRPr="00170AE1">
        <w:rPr>
          <w:rFonts w:ascii="Times New Roman" w:hAnsi="Times New Roman" w:cs="Times New Roman"/>
          <w:bCs/>
        </w:rPr>
        <w:tab/>
      </w:r>
      <w:hyperlink r:id="rId7" w:history="1">
        <w:r w:rsidRPr="00170AE1">
          <w:rPr>
            <w:rStyle w:val="Hyperlink"/>
            <w:rFonts w:ascii="Times New Roman" w:hAnsi="Times New Roman" w:cs="Times New Roman"/>
            <w:bCs/>
          </w:rPr>
          <w:t>https://reliefweb.int/disaster/fl-2018-000154-gha</w:t>
        </w:r>
      </w:hyperlink>
      <w:r w:rsidRPr="00170AE1">
        <w:rPr>
          <w:rFonts w:ascii="Times New Roman" w:hAnsi="Times New Roman" w:cs="Times New Roman"/>
          <w:bCs/>
        </w:rPr>
        <w:t>.</w:t>
      </w:r>
      <w:bookmarkEnd w:id="4"/>
    </w:p>
    <w:p w14:paraId="38A168AD" w14:textId="77777777" w:rsidR="00A6102F" w:rsidRPr="00170AE1" w:rsidRDefault="00A6102F">
      <w:pPr>
        <w:rPr>
          <w:rFonts w:ascii="Times New Roman" w:hAnsi="Times New Roman" w:cs="Times New Roman"/>
        </w:rPr>
      </w:pPr>
      <w:r w:rsidRPr="00170AE1">
        <w:rPr>
          <w:rFonts w:ascii="Times New Roman" w:hAnsi="Times New Roman" w:cs="Times New Roman"/>
        </w:rPr>
        <w:t>Manu, D. K. (2019). Assessing the impact of bagre dam spillage in the Pru East district of Brong</w:t>
      </w:r>
      <w:r w:rsidRPr="00170AE1">
        <w:rPr>
          <w:rFonts w:ascii="Times New Roman" w:hAnsi="Times New Roman" w:cs="Times New Roman"/>
        </w:rPr>
        <w:tab/>
        <w:t>Ahafo</w:t>
      </w:r>
      <w:r w:rsidRPr="00170AE1">
        <w:rPr>
          <w:rFonts w:ascii="Times New Roman" w:hAnsi="Times New Roman" w:cs="Times New Roman"/>
        </w:rPr>
        <w:tab/>
        <w:t>region (Doctoral dissertation, University of Education, Winneba).</w:t>
      </w:r>
    </w:p>
    <w:p w14:paraId="233991C3" w14:textId="77777777" w:rsidR="00A6102F" w:rsidRPr="00170AE1" w:rsidRDefault="00A6102F" w:rsidP="003634E2">
      <w:pPr>
        <w:rPr>
          <w:rFonts w:ascii="Times New Roman" w:hAnsi="Times New Roman" w:cs="Times New Roman"/>
        </w:rPr>
      </w:pPr>
      <w:r w:rsidRPr="00170AE1">
        <w:rPr>
          <w:rFonts w:ascii="Times New Roman" w:hAnsi="Times New Roman" w:cs="Times New Roman"/>
        </w:rPr>
        <w:t xml:space="preserve">Mapp, T. (2008). Understanding phenomenology: the lived experience. </w:t>
      </w:r>
      <w:r w:rsidRPr="00170AE1">
        <w:rPr>
          <w:rFonts w:ascii="Times New Roman" w:hAnsi="Times New Roman" w:cs="Times New Roman"/>
          <w:i/>
          <w:iCs/>
        </w:rPr>
        <w:t>British Journal of Midwifery</w:t>
      </w:r>
      <w:r w:rsidRPr="00170AE1">
        <w:rPr>
          <w:rFonts w:ascii="Times New Roman" w:hAnsi="Times New Roman" w:cs="Times New Roman"/>
        </w:rPr>
        <w:t>,</w:t>
      </w:r>
      <w:r w:rsidRPr="00170AE1">
        <w:rPr>
          <w:rFonts w:ascii="Times New Roman" w:hAnsi="Times New Roman" w:cs="Times New Roman"/>
        </w:rPr>
        <w:tab/>
        <w:t>16(5), 308-311.</w:t>
      </w:r>
    </w:p>
    <w:p w14:paraId="7299A24E" w14:textId="77777777" w:rsidR="00A6102F" w:rsidRPr="00170AE1" w:rsidRDefault="00A6102F">
      <w:pPr>
        <w:rPr>
          <w:rFonts w:ascii="Times New Roman" w:hAnsi="Times New Roman" w:cs="Times New Roman"/>
        </w:rPr>
      </w:pPr>
      <w:r w:rsidRPr="00170AE1">
        <w:rPr>
          <w:rFonts w:ascii="Times New Roman" w:hAnsi="Times New Roman" w:cs="Times New Roman"/>
          <w:bCs/>
        </w:rPr>
        <w:t>Rodriguez, K. L., Schwartz, J. L., Lahman, M. K., &amp; Geist, M. R. (2011). Culturally responsive focus</w:t>
      </w:r>
      <w:r w:rsidRPr="00170AE1">
        <w:rPr>
          <w:rFonts w:ascii="Times New Roman" w:hAnsi="Times New Roman" w:cs="Times New Roman"/>
          <w:bCs/>
        </w:rPr>
        <w:tab/>
        <w:t>groups:</w:t>
      </w:r>
      <w:r w:rsidRPr="00170AE1">
        <w:rPr>
          <w:rFonts w:ascii="Times New Roman" w:hAnsi="Times New Roman" w:cs="Times New Roman"/>
          <w:bCs/>
        </w:rPr>
        <w:tab/>
        <w:t xml:space="preserve">Reframing the research experience to focus on participants. </w:t>
      </w:r>
      <w:r w:rsidRPr="00170AE1">
        <w:rPr>
          <w:rFonts w:ascii="Times New Roman" w:hAnsi="Times New Roman" w:cs="Times New Roman"/>
          <w:bCs/>
          <w:i/>
        </w:rPr>
        <w:t>International Journal of</w:t>
      </w:r>
      <w:r w:rsidRPr="00170AE1">
        <w:rPr>
          <w:rFonts w:ascii="Times New Roman" w:hAnsi="Times New Roman" w:cs="Times New Roman"/>
          <w:bCs/>
          <w:i/>
        </w:rPr>
        <w:tab/>
        <w:t>Qualitative Methods</w:t>
      </w:r>
      <w:r w:rsidRPr="00170AE1">
        <w:rPr>
          <w:rFonts w:ascii="Times New Roman" w:hAnsi="Times New Roman" w:cs="Times New Roman"/>
          <w:bCs/>
        </w:rPr>
        <w:tab/>
        <w:t>10(4): 400-417</w:t>
      </w:r>
    </w:p>
    <w:p w14:paraId="0AF47A95" w14:textId="77777777" w:rsidR="00A6102F" w:rsidRPr="00170AE1" w:rsidRDefault="00A6102F">
      <w:pPr>
        <w:rPr>
          <w:rFonts w:ascii="Times New Roman" w:hAnsi="Times New Roman" w:cs="Times New Roman"/>
        </w:rPr>
      </w:pPr>
      <w:r w:rsidRPr="00170AE1">
        <w:rPr>
          <w:rFonts w:ascii="Times New Roman" w:hAnsi="Times New Roman" w:cs="Times New Roman"/>
        </w:rPr>
        <w:t>Singha, M., Dong, J., Sarmah, S., You, N., Zhou, Y., Zhang, G., ... &amp; Xiao, X. (2020). Identifying</w:t>
      </w:r>
      <w:r w:rsidRPr="00170AE1">
        <w:rPr>
          <w:rFonts w:ascii="Times New Roman" w:hAnsi="Times New Roman" w:cs="Times New Roman"/>
        </w:rPr>
        <w:tab/>
        <w:t>floods and flood-affected paddy rice fields in Bangladesh based on Sentinel-1 imagery and</w:t>
      </w:r>
      <w:r w:rsidRPr="00170AE1">
        <w:rPr>
          <w:rFonts w:ascii="Times New Roman" w:hAnsi="Times New Roman" w:cs="Times New Roman"/>
        </w:rPr>
        <w:tab/>
        <w:t>Google Earth Engine. </w:t>
      </w:r>
      <w:r w:rsidRPr="00170AE1">
        <w:rPr>
          <w:rFonts w:ascii="Times New Roman" w:hAnsi="Times New Roman" w:cs="Times New Roman"/>
          <w:i/>
          <w:iCs/>
        </w:rPr>
        <w:t>ISPRS Journal of Photogrammetry and Remote Sensing</w:t>
      </w:r>
      <w:r w:rsidRPr="00170AE1">
        <w:rPr>
          <w:rFonts w:ascii="Times New Roman" w:hAnsi="Times New Roman" w:cs="Times New Roman"/>
        </w:rPr>
        <w:t>, </w:t>
      </w:r>
      <w:r w:rsidRPr="00170AE1">
        <w:rPr>
          <w:rFonts w:ascii="Times New Roman" w:hAnsi="Times New Roman" w:cs="Times New Roman"/>
          <w:i/>
          <w:iCs/>
        </w:rPr>
        <w:t>166</w:t>
      </w:r>
      <w:r w:rsidRPr="00170AE1">
        <w:rPr>
          <w:rFonts w:ascii="Times New Roman" w:hAnsi="Times New Roman" w:cs="Times New Roman"/>
        </w:rPr>
        <w:t>, 278-293.</w:t>
      </w:r>
    </w:p>
    <w:p w14:paraId="600F5D80" w14:textId="77777777" w:rsidR="00A6102F" w:rsidRPr="00170AE1" w:rsidRDefault="00A6102F" w:rsidP="00153BA8">
      <w:pPr>
        <w:jc w:val="both"/>
        <w:rPr>
          <w:rFonts w:ascii="Times New Roman" w:hAnsi="Times New Roman" w:cs="Times New Roman"/>
          <w:bCs/>
        </w:rPr>
      </w:pPr>
      <w:r w:rsidRPr="00170AE1">
        <w:rPr>
          <w:rFonts w:ascii="Times New Roman" w:hAnsi="Times New Roman" w:cs="Times New Roman"/>
          <w:bCs/>
        </w:rPr>
        <w:t xml:space="preserve">Smyth, I., &amp; Hai, V. M. (2012). </w:t>
      </w:r>
      <w:r w:rsidRPr="00170AE1">
        <w:rPr>
          <w:rFonts w:ascii="Times New Roman" w:hAnsi="Times New Roman" w:cs="Times New Roman"/>
          <w:bCs/>
          <w:i/>
        </w:rPr>
        <w:t>The disaster crunch model: guidelines for a gendered approach</w:t>
      </w:r>
      <w:r w:rsidRPr="00170AE1">
        <w:rPr>
          <w:rFonts w:ascii="Times New Roman" w:hAnsi="Times New Roman" w:cs="Times New Roman"/>
          <w:bCs/>
        </w:rPr>
        <w:t>.</w:t>
      </w:r>
      <w:r w:rsidRPr="00170AE1">
        <w:rPr>
          <w:rFonts w:ascii="Times New Roman" w:hAnsi="Times New Roman" w:cs="Times New Roman"/>
          <w:bCs/>
        </w:rPr>
        <w:tab/>
        <w:t>Oxfam, GB, Oxford.</w:t>
      </w:r>
    </w:p>
    <w:p w14:paraId="4882DA41" w14:textId="77777777" w:rsidR="00A6102F" w:rsidRPr="00170AE1" w:rsidRDefault="00A6102F">
      <w:pPr>
        <w:rPr>
          <w:rFonts w:ascii="Times New Roman" w:hAnsi="Times New Roman" w:cs="Times New Roman"/>
        </w:rPr>
      </w:pPr>
      <w:r w:rsidRPr="00170AE1">
        <w:rPr>
          <w:rFonts w:ascii="Times New Roman" w:hAnsi="Times New Roman" w:cs="Times New Roman"/>
        </w:rPr>
        <w:t>Sorichetta, A., Hornby, G. M., Stevens, F. R., Gaughan, A. E., Linard, C., &amp; Tatem, A. J. (2015).</w:t>
      </w:r>
      <w:r w:rsidRPr="00170AE1">
        <w:rPr>
          <w:rFonts w:ascii="Times New Roman" w:hAnsi="Times New Roman" w:cs="Times New Roman"/>
        </w:rPr>
        <w:tab/>
        <w:t>High-resolution gridded population datasets for Latin America and the Caribbean in 2010,</w:t>
      </w:r>
      <w:r w:rsidRPr="00170AE1">
        <w:rPr>
          <w:rFonts w:ascii="Times New Roman" w:hAnsi="Times New Roman" w:cs="Times New Roman"/>
        </w:rPr>
        <w:tab/>
        <w:t>2015, and 2020. </w:t>
      </w:r>
      <w:r w:rsidRPr="00170AE1">
        <w:rPr>
          <w:rFonts w:ascii="Times New Roman" w:hAnsi="Times New Roman" w:cs="Times New Roman"/>
          <w:i/>
          <w:iCs/>
        </w:rPr>
        <w:t>Scientific data</w:t>
      </w:r>
      <w:r w:rsidRPr="00170AE1">
        <w:rPr>
          <w:rFonts w:ascii="Times New Roman" w:hAnsi="Times New Roman" w:cs="Times New Roman"/>
        </w:rPr>
        <w:t>, </w:t>
      </w:r>
      <w:r w:rsidRPr="00170AE1">
        <w:rPr>
          <w:rFonts w:ascii="Times New Roman" w:hAnsi="Times New Roman" w:cs="Times New Roman"/>
          <w:i/>
          <w:iCs/>
        </w:rPr>
        <w:t>2</w:t>
      </w:r>
      <w:r w:rsidRPr="00170AE1">
        <w:rPr>
          <w:rFonts w:ascii="Times New Roman" w:hAnsi="Times New Roman" w:cs="Times New Roman"/>
        </w:rPr>
        <w:t>(1), 1-12.</w:t>
      </w:r>
    </w:p>
    <w:p w14:paraId="5EFBD8E3" w14:textId="77777777" w:rsidR="00A6102F" w:rsidRPr="00170AE1" w:rsidRDefault="00A6102F">
      <w:pPr>
        <w:rPr>
          <w:rFonts w:ascii="Times New Roman" w:hAnsi="Times New Roman" w:cs="Times New Roman"/>
        </w:rPr>
      </w:pPr>
      <w:r w:rsidRPr="00170AE1">
        <w:rPr>
          <w:rFonts w:ascii="Times New Roman" w:hAnsi="Times New Roman" w:cs="Times New Roman"/>
        </w:rPr>
        <w:t>Yu WeiYu, Y. W., Wardrop, N. A., Bain, R. E. S., Alegana, V., Graham, L. J., &amp; Wright, J. A.</w:t>
      </w:r>
      <w:r w:rsidRPr="00170AE1">
        <w:rPr>
          <w:rFonts w:ascii="Times New Roman" w:hAnsi="Times New Roman" w:cs="Times New Roman"/>
        </w:rPr>
        <w:tab/>
        <w:t>(2019). Mapping access to domestic water supplies from incomplete data in developing</w:t>
      </w:r>
      <w:r w:rsidRPr="00170AE1">
        <w:rPr>
          <w:rFonts w:ascii="Times New Roman" w:hAnsi="Times New Roman" w:cs="Times New Roman"/>
        </w:rPr>
        <w:tab/>
        <w:t>countries: an illustrative assessment for Kenya.</w:t>
      </w:r>
    </w:p>
    <w:sectPr w:rsidR="00A6102F" w:rsidRPr="00170AE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63DCF" w14:textId="77777777" w:rsidR="003C0746" w:rsidRDefault="003C0746" w:rsidP="00CC3C0B">
      <w:pPr>
        <w:spacing w:after="0" w:line="240" w:lineRule="auto"/>
      </w:pPr>
      <w:r>
        <w:separator/>
      </w:r>
    </w:p>
  </w:endnote>
  <w:endnote w:type="continuationSeparator" w:id="0">
    <w:p w14:paraId="376BC460" w14:textId="77777777" w:rsidR="003C0746" w:rsidRDefault="003C0746" w:rsidP="00CC3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AE18B" w14:textId="77777777" w:rsidR="003C0746" w:rsidRDefault="003C0746" w:rsidP="00CC3C0B">
      <w:pPr>
        <w:spacing w:after="0" w:line="240" w:lineRule="auto"/>
      </w:pPr>
      <w:r>
        <w:separator/>
      </w:r>
    </w:p>
  </w:footnote>
  <w:footnote w:type="continuationSeparator" w:id="0">
    <w:p w14:paraId="7E18ADD5" w14:textId="77777777" w:rsidR="003C0746" w:rsidRDefault="003C0746" w:rsidP="00CC3C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02B0B"/>
    <w:multiLevelType w:val="hybridMultilevel"/>
    <w:tmpl w:val="1BB66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7105FE"/>
    <w:multiLevelType w:val="hybridMultilevel"/>
    <w:tmpl w:val="FFC01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A556834"/>
    <w:multiLevelType w:val="hybridMultilevel"/>
    <w:tmpl w:val="4156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7471947"/>
    <w:multiLevelType w:val="hybridMultilevel"/>
    <w:tmpl w:val="C9020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91410241">
    <w:abstractNumId w:val="1"/>
  </w:num>
  <w:num w:numId="2" w16cid:durableId="1054811025">
    <w:abstractNumId w:val="0"/>
  </w:num>
  <w:num w:numId="3" w16cid:durableId="1152596034">
    <w:abstractNumId w:val="2"/>
  </w:num>
  <w:num w:numId="4" w16cid:durableId="3271022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DFD"/>
    <w:rsid w:val="000041E2"/>
    <w:rsid w:val="000118CB"/>
    <w:rsid w:val="00041163"/>
    <w:rsid w:val="0004488B"/>
    <w:rsid w:val="00067460"/>
    <w:rsid w:val="00093D7E"/>
    <w:rsid w:val="000C2F77"/>
    <w:rsid w:val="000C39C3"/>
    <w:rsid w:val="000C7106"/>
    <w:rsid w:val="000D7B9E"/>
    <w:rsid w:val="000E79B5"/>
    <w:rsid w:val="00114BA5"/>
    <w:rsid w:val="00153BA8"/>
    <w:rsid w:val="00154F35"/>
    <w:rsid w:val="00170AE1"/>
    <w:rsid w:val="00176376"/>
    <w:rsid w:val="001A1B37"/>
    <w:rsid w:val="001B2881"/>
    <w:rsid w:val="001B7841"/>
    <w:rsid w:val="001C46A4"/>
    <w:rsid w:val="001C7089"/>
    <w:rsid w:val="001E1474"/>
    <w:rsid w:val="001E6F45"/>
    <w:rsid w:val="00202331"/>
    <w:rsid w:val="00204998"/>
    <w:rsid w:val="0023353C"/>
    <w:rsid w:val="00244824"/>
    <w:rsid w:val="002775ED"/>
    <w:rsid w:val="00290B58"/>
    <w:rsid w:val="002A3467"/>
    <w:rsid w:val="002B6302"/>
    <w:rsid w:val="002C01AA"/>
    <w:rsid w:val="002C1F34"/>
    <w:rsid w:val="002C5516"/>
    <w:rsid w:val="002C73AD"/>
    <w:rsid w:val="002E5A2E"/>
    <w:rsid w:val="00306117"/>
    <w:rsid w:val="00325C8E"/>
    <w:rsid w:val="00336B67"/>
    <w:rsid w:val="00344EC6"/>
    <w:rsid w:val="00351EF8"/>
    <w:rsid w:val="003532E1"/>
    <w:rsid w:val="003634E2"/>
    <w:rsid w:val="00391AD9"/>
    <w:rsid w:val="00393F2B"/>
    <w:rsid w:val="00395BBD"/>
    <w:rsid w:val="003C0746"/>
    <w:rsid w:val="003C3433"/>
    <w:rsid w:val="003C69C7"/>
    <w:rsid w:val="003D0036"/>
    <w:rsid w:val="003D4BB7"/>
    <w:rsid w:val="003E3CD3"/>
    <w:rsid w:val="003E6474"/>
    <w:rsid w:val="00404C58"/>
    <w:rsid w:val="004A709F"/>
    <w:rsid w:val="004B4EE1"/>
    <w:rsid w:val="004B4FD7"/>
    <w:rsid w:val="004B7527"/>
    <w:rsid w:val="004C4FAC"/>
    <w:rsid w:val="004C56B7"/>
    <w:rsid w:val="004E088B"/>
    <w:rsid w:val="00505C76"/>
    <w:rsid w:val="005130E2"/>
    <w:rsid w:val="0055425E"/>
    <w:rsid w:val="005D7702"/>
    <w:rsid w:val="006658C2"/>
    <w:rsid w:val="00666EAB"/>
    <w:rsid w:val="006764B8"/>
    <w:rsid w:val="006829EE"/>
    <w:rsid w:val="00690FEB"/>
    <w:rsid w:val="00693D45"/>
    <w:rsid w:val="00695887"/>
    <w:rsid w:val="006E2B3C"/>
    <w:rsid w:val="006E34D8"/>
    <w:rsid w:val="006F3CCF"/>
    <w:rsid w:val="00732933"/>
    <w:rsid w:val="007368E9"/>
    <w:rsid w:val="00750862"/>
    <w:rsid w:val="00757963"/>
    <w:rsid w:val="00777A6F"/>
    <w:rsid w:val="007846D7"/>
    <w:rsid w:val="00792DB7"/>
    <w:rsid w:val="007C21F1"/>
    <w:rsid w:val="007C7410"/>
    <w:rsid w:val="007D6193"/>
    <w:rsid w:val="007F375B"/>
    <w:rsid w:val="008175BE"/>
    <w:rsid w:val="008567AD"/>
    <w:rsid w:val="00861753"/>
    <w:rsid w:val="00863093"/>
    <w:rsid w:val="008672A7"/>
    <w:rsid w:val="008A2357"/>
    <w:rsid w:val="008A72B6"/>
    <w:rsid w:val="008B16F0"/>
    <w:rsid w:val="008C36C9"/>
    <w:rsid w:val="008D46FE"/>
    <w:rsid w:val="008E7C5E"/>
    <w:rsid w:val="008F32D9"/>
    <w:rsid w:val="00903E49"/>
    <w:rsid w:val="00926DFD"/>
    <w:rsid w:val="00950D66"/>
    <w:rsid w:val="009670C3"/>
    <w:rsid w:val="00972BEE"/>
    <w:rsid w:val="00983996"/>
    <w:rsid w:val="009843D8"/>
    <w:rsid w:val="009A5EDD"/>
    <w:rsid w:val="009B43E3"/>
    <w:rsid w:val="009B5B59"/>
    <w:rsid w:val="00A26433"/>
    <w:rsid w:val="00A51674"/>
    <w:rsid w:val="00A6102F"/>
    <w:rsid w:val="00A8230D"/>
    <w:rsid w:val="00A94D98"/>
    <w:rsid w:val="00A975DE"/>
    <w:rsid w:val="00AB21A0"/>
    <w:rsid w:val="00AC30C8"/>
    <w:rsid w:val="00AC62EB"/>
    <w:rsid w:val="00AF6569"/>
    <w:rsid w:val="00B34BFA"/>
    <w:rsid w:val="00B5368A"/>
    <w:rsid w:val="00B62608"/>
    <w:rsid w:val="00B719B3"/>
    <w:rsid w:val="00B9786A"/>
    <w:rsid w:val="00BA5C17"/>
    <w:rsid w:val="00BA6E0C"/>
    <w:rsid w:val="00BB5BBE"/>
    <w:rsid w:val="00BD2D3E"/>
    <w:rsid w:val="00BD5A92"/>
    <w:rsid w:val="00BE70A6"/>
    <w:rsid w:val="00BF1025"/>
    <w:rsid w:val="00C16844"/>
    <w:rsid w:val="00C20B98"/>
    <w:rsid w:val="00C27214"/>
    <w:rsid w:val="00C36569"/>
    <w:rsid w:val="00C45800"/>
    <w:rsid w:val="00C7157A"/>
    <w:rsid w:val="00C90D3E"/>
    <w:rsid w:val="00CA254F"/>
    <w:rsid w:val="00CA4091"/>
    <w:rsid w:val="00CC3C0B"/>
    <w:rsid w:val="00CC4E20"/>
    <w:rsid w:val="00CD0422"/>
    <w:rsid w:val="00CE75A6"/>
    <w:rsid w:val="00CF605F"/>
    <w:rsid w:val="00D00530"/>
    <w:rsid w:val="00D07FFC"/>
    <w:rsid w:val="00D14339"/>
    <w:rsid w:val="00D22B24"/>
    <w:rsid w:val="00D25C18"/>
    <w:rsid w:val="00D530B0"/>
    <w:rsid w:val="00D77065"/>
    <w:rsid w:val="00D912D2"/>
    <w:rsid w:val="00DA71A1"/>
    <w:rsid w:val="00DB6392"/>
    <w:rsid w:val="00DD6F1F"/>
    <w:rsid w:val="00DE2C38"/>
    <w:rsid w:val="00E07690"/>
    <w:rsid w:val="00ED3F1E"/>
    <w:rsid w:val="00EE1832"/>
    <w:rsid w:val="00EE2353"/>
    <w:rsid w:val="00EF0C41"/>
    <w:rsid w:val="00EF3AE2"/>
    <w:rsid w:val="00F471EF"/>
    <w:rsid w:val="00F51D15"/>
    <w:rsid w:val="00F73762"/>
    <w:rsid w:val="00F82813"/>
    <w:rsid w:val="00FA3278"/>
    <w:rsid w:val="00FD32CA"/>
    <w:rsid w:val="00FD75D1"/>
    <w:rsid w:val="00FE08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D7B2D"/>
  <w15:chartTrackingRefBased/>
  <w15:docId w15:val="{45C6AEF7-0953-4DF3-8903-9164F262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8E9"/>
    <w:rPr>
      <w:kern w:val="0"/>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0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A709F"/>
    <w:rPr>
      <w:color w:val="0563C1" w:themeColor="hyperlink"/>
      <w:u w:val="single"/>
    </w:rPr>
  </w:style>
  <w:style w:type="character" w:styleId="UnresolvedMention">
    <w:name w:val="Unresolved Mention"/>
    <w:basedOn w:val="DefaultParagraphFont"/>
    <w:uiPriority w:val="99"/>
    <w:semiHidden/>
    <w:unhideWhenUsed/>
    <w:rsid w:val="004A709F"/>
    <w:rPr>
      <w:color w:val="605E5C"/>
      <w:shd w:val="clear" w:color="auto" w:fill="E1DFDD"/>
    </w:rPr>
  </w:style>
  <w:style w:type="paragraph" w:styleId="Header">
    <w:name w:val="header"/>
    <w:basedOn w:val="Normal"/>
    <w:link w:val="HeaderChar"/>
    <w:uiPriority w:val="99"/>
    <w:unhideWhenUsed/>
    <w:rsid w:val="00CC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3C0B"/>
    <w:rPr>
      <w:kern w:val="0"/>
      <w14:ligatures w14:val="none"/>
    </w:rPr>
  </w:style>
  <w:style w:type="paragraph" w:styleId="Footer">
    <w:name w:val="footer"/>
    <w:basedOn w:val="Normal"/>
    <w:link w:val="FooterChar"/>
    <w:uiPriority w:val="99"/>
    <w:unhideWhenUsed/>
    <w:rsid w:val="00CC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3C0B"/>
    <w:rPr>
      <w:kern w:val="0"/>
      <w14:ligatures w14:val="none"/>
    </w:rPr>
  </w:style>
  <w:style w:type="paragraph" w:styleId="ListParagraph">
    <w:name w:val="List Paragraph"/>
    <w:basedOn w:val="Normal"/>
    <w:uiPriority w:val="34"/>
    <w:qFormat/>
    <w:rsid w:val="008F32D9"/>
    <w:pPr>
      <w:ind w:left="720"/>
      <w:contextualSpacing/>
    </w:pPr>
  </w:style>
  <w:style w:type="paragraph" w:customStyle="1" w:styleId="EndNoteBibliography">
    <w:name w:val="EndNote Bibliography"/>
    <w:basedOn w:val="Normal"/>
    <w:link w:val="EndNoteBibliographyChar"/>
    <w:rsid w:val="00A26433"/>
    <w:pPr>
      <w:spacing w:after="0" w:line="240" w:lineRule="auto"/>
      <w:jc w:val="both"/>
    </w:pPr>
    <w:rPr>
      <w:rFonts w:ascii="Times New Roman" w:eastAsia="Times New Roman" w:hAnsi="Times New Roman" w:cs="Times New Roman"/>
      <w:szCs w:val="24"/>
      <w:lang w:eastAsia="zh-CN"/>
    </w:rPr>
  </w:style>
  <w:style w:type="character" w:customStyle="1" w:styleId="EndNoteBibliographyChar">
    <w:name w:val="EndNote Bibliography Char"/>
    <w:basedOn w:val="DefaultParagraphFont"/>
    <w:link w:val="EndNoteBibliography"/>
    <w:rsid w:val="00A26433"/>
    <w:rPr>
      <w:rFonts w:ascii="Times New Roman" w:eastAsia="Times New Roman" w:hAnsi="Times New Roman" w:cs="Times New Roman"/>
      <w:kern w:val="0"/>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liefweb.int/disaster/fl-2018-000154-gh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1983</Words>
  <Characters>11305</Characters>
  <Application>Microsoft Office Word</Application>
  <DocSecurity>0</DocSecurity>
  <Lines>94</Lines>
  <Paragraphs>26</Paragraphs>
  <ScaleCrop>false</ScaleCrop>
  <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Moses Asamoah</dc:creator>
  <cp:keywords/>
  <dc:description/>
  <cp:lastModifiedBy>Moses Asamoah</cp:lastModifiedBy>
  <cp:revision>120</cp:revision>
  <dcterms:created xsi:type="dcterms:W3CDTF">2024-09-14T04:40:00Z</dcterms:created>
  <dcterms:modified xsi:type="dcterms:W3CDTF">2024-09-15T03:53:00Z</dcterms:modified>
</cp:coreProperties>
</file>