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477ADE" w14:textId="14650AFF" w:rsidR="008A6E44" w:rsidRPr="00AF439F" w:rsidRDefault="00AF439F" w:rsidP="00AF439F">
      <w:pPr>
        <w:jc w:val="both"/>
        <w:rPr>
          <w:rFonts w:ascii="Times New Roman" w:hAnsi="Times New Roman" w:cs="Times New Roman"/>
          <w:sz w:val="24"/>
          <w:szCs w:val="24"/>
          <w:u w:val="single"/>
        </w:rPr>
      </w:pPr>
      <w:bookmarkStart w:id="0" w:name="_Hlk159956568"/>
      <w:r>
        <w:rPr>
          <w:rFonts w:ascii="Times New Roman" w:hAnsi="Times New Roman" w:cs="Times New Roman"/>
          <w:sz w:val="24"/>
          <w:szCs w:val="24"/>
          <w:u w:val="single"/>
        </w:rPr>
        <w:t>Anti-Fracking Protest, England, 2011-2019</w:t>
      </w:r>
      <w:bookmarkEnd w:id="0"/>
      <w:r>
        <w:rPr>
          <w:rFonts w:ascii="Times New Roman" w:hAnsi="Times New Roman" w:cs="Times New Roman"/>
          <w:sz w:val="24"/>
          <w:szCs w:val="24"/>
          <w:u w:val="single"/>
        </w:rPr>
        <w:t>: Data and Variable Descriptors</w:t>
      </w:r>
    </w:p>
    <w:p w14:paraId="10750888" w14:textId="77777777" w:rsidR="00AF439F" w:rsidRDefault="00AF439F" w:rsidP="00AF439F">
      <w:pPr>
        <w:jc w:val="both"/>
        <w:rPr>
          <w:rFonts w:ascii="Times New Roman" w:hAnsi="Times New Roman" w:cs="Times New Roman"/>
          <w:sz w:val="24"/>
          <w:szCs w:val="24"/>
        </w:rPr>
      </w:pPr>
    </w:p>
    <w:p w14:paraId="1AC080C9" w14:textId="3F283E27" w:rsidR="00AF439F" w:rsidRPr="00AF439F" w:rsidRDefault="00AF439F" w:rsidP="00AF439F">
      <w:pPr>
        <w:jc w:val="both"/>
        <w:rPr>
          <w:rFonts w:ascii="Times New Roman" w:hAnsi="Times New Roman" w:cs="Times New Roman"/>
          <w:b/>
          <w:bCs/>
          <w:sz w:val="24"/>
          <w:szCs w:val="24"/>
        </w:rPr>
      </w:pPr>
      <w:r>
        <w:rPr>
          <w:rFonts w:ascii="Times New Roman" w:hAnsi="Times New Roman" w:cs="Times New Roman"/>
          <w:b/>
          <w:bCs/>
          <w:sz w:val="24"/>
          <w:szCs w:val="24"/>
        </w:rPr>
        <w:t>Data Overview</w:t>
      </w:r>
      <w:r w:rsidR="005056B4">
        <w:rPr>
          <w:rFonts w:ascii="Times New Roman" w:hAnsi="Times New Roman" w:cs="Times New Roman"/>
          <w:b/>
          <w:bCs/>
          <w:sz w:val="24"/>
          <w:szCs w:val="24"/>
        </w:rPr>
        <w:t xml:space="preserve"> and Collection Notes</w:t>
      </w:r>
    </w:p>
    <w:p w14:paraId="0606907D" w14:textId="4E9C1AC2" w:rsidR="008414BE" w:rsidRDefault="008414BE" w:rsidP="00AC5F43">
      <w:pPr>
        <w:spacing w:line="360" w:lineRule="auto"/>
        <w:jc w:val="both"/>
        <w:rPr>
          <w:rFonts w:ascii="Times New Roman" w:hAnsi="Times New Roman" w:cs="Times New Roman"/>
          <w:sz w:val="24"/>
          <w:szCs w:val="24"/>
        </w:rPr>
      </w:pPr>
      <w:r>
        <w:rPr>
          <w:rFonts w:ascii="Times New Roman" w:hAnsi="Times New Roman" w:cs="Times New Roman"/>
          <w:sz w:val="24"/>
          <w:szCs w:val="24"/>
        </w:rPr>
        <w:t>This data contains information about the number of ‘conventional’</w:t>
      </w:r>
      <w:r w:rsidR="00FE6798">
        <w:rPr>
          <w:rFonts w:ascii="Times New Roman" w:hAnsi="Times New Roman" w:cs="Times New Roman"/>
          <w:sz w:val="24"/>
          <w:szCs w:val="24"/>
        </w:rPr>
        <w:t xml:space="preserve"> </w:t>
      </w:r>
      <w:r>
        <w:rPr>
          <w:rFonts w:ascii="Times New Roman" w:hAnsi="Times New Roman" w:cs="Times New Roman"/>
          <w:sz w:val="24"/>
          <w:szCs w:val="24"/>
        </w:rPr>
        <w:t>and ‘non-conventional’ protest events</w:t>
      </w:r>
      <w:r w:rsidR="00DC1CA9">
        <w:rPr>
          <w:rFonts w:ascii="Times New Roman" w:hAnsi="Times New Roman" w:cs="Times New Roman"/>
          <w:sz w:val="24"/>
          <w:szCs w:val="24"/>
        </w:rPr>
        <w:t xml:space="preserve"> (defined below)</w:t>
      </w:r>
      <w:r>
        <w:rPr>
          <w:rFonts w:ascii="Times New Roman" w:hAnsi="Times New Roman" w:cs="Times New Roman"/>
          <w:sz w:val="24"/>
          <w:szCs w:val="24"/>
        </w:rPr>
        <w:t xml:space="preserve"> </w:t>
      </w:r>
      <w:r w:rsidR="006D4E66">
        <w:rPr>
          <w:rFonts w:ascii="Times New Roman" w:hAnsi="Times New Roman" w:cs="Times New Roman"/>
          <w:sz w:val="24"/>
          <w:szCs w:val="24"/>
        </w:rPr>
        <w:t xml:space="preserve">during the anti-fracking campaigns in England, </w:t>
      </w:r>
      <w:r>
        <w:rPr>
          <w:rFonts w:ascii="Times New Roman" w:hAnsi="Times New Roman" w:cs="Times New Roman"/>
          <w:sz w:val="24"/>
          <w:szCs w:val="24"/>
        </w:rPr>
        <w:t xml:space="preserve">by year and county. Years cover the campaign period from </w:t>
      </w:r>
      <w:r w:rsidR="006D4E66">
        <w:rPr>
          <w:rFonts w:ascii="Times New Roman" w:hAnsi="Times New Roman" w:cs="Times New Roman"/>
          <w:sz w:val="24"/>
          <w:szCs w:val="24"/>
        </w:rPr>
        <w:t>its</w:t>
      </w:r>
      <w:r>
        <w:rPr>
          <w:rFonts w:ascii="Times New Roman" w:hAnsi="Times New Roman" w:cs="Times New Roman"/>
          <w:sz w:val="24"/>
          <w:szCs w:val="24"/>
        </w:rPr>
        <w:t xml:space="preserve"> beginning in 2011 until the nationwide moratorium announced by the UK Government in 2019</w:t>
      </w:r>
      <w:r w:rsidR="00C074F3">
        <w:rPr>
          <w:rFonts w:ascii="Times New Roman" w:hAnsi="Times New Roman" w:cs="Times New Roman"/>
          <w:sz w:val="24"/>
          <w:szCs w:val="24"/>
        </w:rPr>
        <w:t>, with protest events from October 2011 until March 2019 captured</w:t>
      </w:r>
      <w:r>
        <w:rPr>
          <w:rFonts w:ascii="Times New Roman" w:hAnsi="Times New Roman" w:cs="Times New Roman"/>
          <w:sz w:val="24"/>
          <w:szCs w:val="24"/>
        </w:rPr>
        <w:t xml:space="preserve">. The counties represent three different contexts in which community-based mobilisation against fracking was seen; namely, Lancashire alongside North and South Yorkshire. Numerous other variables are provided, including socio-economic and industry-specific data. UK-level data is also included and the variables </w:t>
      </w:r>
      <w:r w:rsidR="006D4E66">
        <w:rPr>
          <w:rFonts w:ascii="Times New Roman" w:hAnsi="Times New Roman" w:cs="Times New Roman"/>
          <w:sz w:val="24"/>
          <w:szCs w:val="24"/>
        </w:rPr>
        <w:t xml:space="preserve">represent </w:t>
      </w:r>
      <w:r>
        <w:rPr>
          <w:rFonts w:ascii="Times New Roman" w:hAnsi="Times New Roman" w:cs="Times New Roman"/>
          <w:sz w:val="24"/>
          <w:szCs w:val="24"/>
        </w:rPr>
        <w:t>a mix of data forms, especially of a binary nature.</w:t>
      </w:r>
    </w:p>
    <w:p w14:paraId="467BEDBE" w14:textId="52E4B45B" w:rsidR="008414BE" w:rsidRDefault="008414BE" w:rsidP="00AC5F43">
      <w:pPr>
        <w:spacing w:line="360" w:lineRule="auto"/>
        <w:jc w:val="both"/>
        <w:rPr>
          <w:rFonts w:ascii="Times New Roman" w:hAnsi="Times New Roman" w:cs="Times New Roman"/>
          <w:sz w:val="24"/>
          <w:szCs w:val="24"/>
        </w:rPr>
      </w:pPr>
      <w:r>
        <w:rPr>
          <w:rFonts w:ascii="Times New Roman" w:hAnsi="Times New Roman" w:cs="Times New Roman"/>
          <w:sz w:val="24"/>
          <w:szCs w:val="24"/>
        </w:rPr>
        <w:t>The data provides an important window into the English anti-fracking campaigns that were community-led</w:t>
      </w:r>
      <w:r w:rsidR="009453D8">
        <w:rPr>
          <w:rFonts w:ascii="Times New Roman" w:hAnsi="Times New Roman" w:cs="Times New Roman"/>
          <w:sz w:val="24"/>
          <w:szCs w:val="24"/>
        </w:rPr>
        <w:t>, inclusive of surrounding contextual factors. It is of interest for studies of this timeframe, industry and mobilisation both as a standalone dataset and for complementary use alongside other datasets.</w:t>
      </w:r>
      <w:r w:rsidR="00FE6798">
        <w:rPr>
          <w:rFonts w:ascii="Times New Roman" w:hAnsi="Times New Roman" w:cs="Times New Roman"/>
          <w:sz w:val="24"/>
          <w:szCs w:val="24"/>
        </w:rPr>
        <w:t xml:space="preserve"> The dataset lends itself to comparative, time-series</w:t>
      </w:r>
      <w:r w:rsidR="008E697A">
        <w:rPr>
          <w:rFonts w:ascii="Times New Roman" w:hAnsi="Times New Roman" w:cs="Times New Roman"/>
          <w:sz w:val="24"/>
          <w:szCs w:val="24"/>
        </w:rPr>
        <w:t xml:space="preserve"> cross-sectional</w:t>
      </w:r>
      <w:r w:rsidR="00FE6798">
        <w:rPr>
          <w:rFonts w:ascii="Times New Roman" w:hAnsi="Times New Roman" w:cs="Times New Roman"/>
          <w:sz w:val="24"/>
          <w:szCs w:val="24"/>
        </w:rPr>
        <w:t xml:space="preserve"> analyses at the intersection between local socio-political and economic contexts, and community-based anti-fracking mobilisation.</w:t>
      </w:r>
    </w:p>
    <w:p w14:paraId="479F3F82" w14:textId="325A0252" w:rsidR="005056B4" w:rsidRDefault="005056B4" w:rsidP="00AC5F43">
      <w:pPr>
        <w:spacing w:line="360" w:lineRule="auto"/>
        <w:jc w:val="both"/>
        <w:rPr>
          <w:rFonts w:ascii="Times New Roman" w:hAnsi="Times New Roman" w:cs="Times New Roman"/>
          <w:sz w:val="24"/>
          <w:szCs w:val="24"/>
        </w:rPr>
      </w:pPr>
      <w:r>
        <w:rPr>
          <w:rFonts w:ascii="Times New Roman" w:hAnsi="Times New Roman" w:cs="Times New Roman"/>
          <w:sz w:val="24"/>
          <w:szCs w:val="24"/>
        </w:rPr>
        <w:t>Most variables in the dataset are original. Economic indicators for specific English regions are reproduced under Open Government Licence from the UK’s Office for National Statistics. The event count data that forms a core element to this data</w:t>
      </w:r>
      <w:r w:rsidR="008E697A">
        <w:rPr>
          <w:rFonts w:ascii="Times New Roman" w:hAnsi="Times New Roman" w:cs="Times New Roman"/>
          <w:sz w:val="24"/>
          <w:szCs w:val="24"/>
        </w:rPr>
        <w:t>set</w:t>
      </w:r>
      <w:r>
        <w:rPr>
          <w:rFonts w:ascii="Times New Roman" w:hAnsi="Times New Roman" w:cs="Times New Roman"/>
          <w:sz w:val="24"/>
          <w:szCs w:val="24"/>
        </w:rPr>
        <w:t xml:space="preserve"> was collected through a protest event analysis </w:t>
      </w:r>
      <w:r w:rsidR="00DC1CA9">
        <w:rPr>
          <w:rFonts w:ascii="Times New Roman" w:hAnsi="Times New Roman" w:cs="Times New Roman"/>
          <w:sz w:val="24"/>
          <w:szCs w:val="24"/>
        </w:rPr>
        <w:t xml:space="preserve">of actions listed on two online fracking and activist-specific websites </w:t>
      </w:r>
      <w:r>
        <w:rPr>
          <w:rFonts w:ascii="Times New Roman" w:hAnsi="Times New Roman" w:cs="Times New Roman"/>
          <w:sz w:val="24"/>
          <w:szCs w:val="24"/>
        </w:rPr>
        <w:t xml:space="preserve">by county and year (for details, see Garland et al. 2023). Protest events were categorised as ‘conventional’, involving </w:t>
      </w:r>
      <w:r w:rsidR="00DC1CA9">
        <w:rPr>
          <w:rFonts w:ascii="Times New Roman" w:hAnsi="Times New Roman" w:cs="Times New Roman"/>
          <w:sz w:val="24"/>
          <w:szCs w:val="24"/>
        </w:rPr>
        <w:t>procedural (litigation, petitions) and awareness-raising (leafletting, presentations) events, and ‘non-conventional’, denoting demonstrations (marches), camps (site occupations) and direct action (following Earl et al.</w:t>
      </w:r>
      <w:r w:rsidR="008E697A">
        <w:rPr>
          <w:rFonts w:ascii="Times New Roman" w:hAnsi="Times New Roman" w:cs="Times New Roman"/>
          <w:sz w:val="24"/>
          <w:szCs w:val="24"/>
        </w:rPr>
        <w:t xml:space="preserve"> 2003</w:t>
      </w:r>
      <w:r w:rsidR="00DC1CA9">
        <w:rPr>
          <w:rFonts w:ascii="Times New Roman" w:hAnsi="Times New Roman" w:cs="Times New Roman"/>
          <w:sz w:val="24"/>
          <w:szCs w:val="24"/>
        </w:rPr>
        <w:t xml:space="preserve">; Garland et al. 2023; Koopmans and </w:t>
      </w:r>
      <w:proofErr w:type="spellStart"/>
      <w:r w:rsidR="00DC1CA9">
        <w:rPr>
          <w:rFonts w:ascii="Times New Roman" w:hAnsi="Times New Roman" w:cs="Times New Roman"/>
          <w:sz w:val="24"/>
          <w:szCs w:val="24"/>
        </w:rPr>
        <w:t>Rucht</w:t>
      </w:r>
      <w:proofErr w:type="spellEnd"/>
      <w:r w:rsidR="00DC1CA9">
        <w:rPr>
          <w:rFonts w:ascii="Times New Roman" w:hAnsi="Times New Roman" w:cs="Times New Roman"/>
          <w:sz w:val="24"/>
          <w:szCs w:val="24"/>
        </w:rPr>
        <w:t>, 2002).</w:t>
      </w:r>
    </w:p>
    <w:p w14:paraId="237AEEEE" w14:textId="4C5A29F5" w:rsidR="00FE6798" w:rsidRDefault="00FE6798" w:rsidP="00AC5F43">
      <w:pPr>
        <w:spacing w:line="360" w:lineRule="auto"/>
        <w:jc w:val="both"/>
        <w:rPr>
          <w:rFonts w:ascii="Times New Roman" w:hAnsi="Times New Roman" w:cs="Times New Roman"/>
          <w:sz w:val="24"/>
          <w:szCs w:val="24"/>
        </w:rPr>
      </w:pPr>
      <w:r>
        <w:rPr>
          <w:rFonts w:ascii="Times New Roman" w:hAnsi="Times New Roman" w:cs="Times New Roman"/>
          <w:sz w:val="24"/>
          <w:szCs w:val="24"/>
        </w:rPr>
        <w:t>The data is therefore organised according to conventional protest events (</w:t>
      </w:r>
      <w:r>
        <w:rPr>
          <w:rFonts w:ascii="Times New Roman" w:hAnsi="Times New Roman" w:cs="Times New Roman"/>
          <w:i/>
          <w:iCs/>
          <w:sz w:val="24"/>
          <w:szCs w:val="24"/>
        </w:rPr>
        <w:t>n</w:t>
      </w:r>
      <w:r>
        <w:rPr>
          <w:rFonts w:ascii="Times New Roman" w:hAnsi="Times New Roman" w:cs="Times New Roman"/>
          <w:sz w:val="24"/>
          <w:szCs w:val="24"/>
        </w:rPr>
        <w:t>=</w:t>
      </w:r>
      <w:r w:rsidR="00AC5F43">
        <w:rPr>
          <w:rFonts w:ascii="Times New Roman" w:hAnsi="Times New Roman" w:cs="Times New Roman"/>
          <w:sz w:val="24"/>
          <w:szCs w:val="24"/>
        </w:rPr>
        <w:t>383</w:t>
      </w:r>
      <w:r>
        <w:rPr>
          <w:rFonts w:ascii="Times New Roman" w:hAnsi="Times New Roman" w:cs="Times New Roman"/>
          <w:sz w:val="24"/>
          <w:szCs w:val="24"/>
        </w:rPr>
        <w:t>), non-conventional actions (</w:t>
      </w:r>
      <w:r>
        <w:rPr>
          <w:rFonts w:ascii="Times New Roman" w:hAnsi="Times New Roman" w:cs="Times New Roman"/>
          <w:i/>
          <w:iCs/>
          <w:sz w:val="24"/>
          <w:szCs w:val="24"/>
        </w:rPr>
        <w:t>n</w:t>
      </w:r>
      <w:r>
        <w:rPr>
          <w:rFonts w:ascii="Times New Roman" w:hAnsi="Times New Roman" w:cs="Times New Roman"/>
          <w:sz w:val="24"/>
          <w:szCs w:val="24"/>
        </w:rPr>
        <w:t>=</w:t>
      </w:r>
      <w:r w:rsidR="00AC5F43">
        <w:rPr>
          <w:rFonts w:ascii="Times New Roman" w:hAnsi="Times New Roman" w:cs="Times New Roman"/>
          <w:sz w:val="24"/>
          <w:szCs w:val="24"/>
        </w:rPr>
        <w:t>167</w:t>
      </w:r>
      <w:r>
        <w:rPr>
          <w:rFonts w:ascii="Times New Roman" w:hAnsi="Times New Roman" w:cs="Times New Roman"/>
          <w:sz w:val="24"/>
          <w:szCs w:val="24"/>
        </w:rPr>
        <w:t>) and county-years (</w:t>
      </w:r>
      <w:r>
        <w:rPr>
          <w:rFonts w:ascii="Times New Roman" w:hAnsi="Times New Roman" w:cs="Times New Roman"/>
          <w:i/>
          <w:iCs/>
          <w:sz w:val="24"/>
          <w:szCs w:val="24"/>
        </w:rPr>
        <w:t>n</w:t>
      </w:r>
      <w:r>
        <w:rPr>
          <w:rFonts w:ascii="Times New Roman" w:hAnsi="Times New Roman" w:cs="Times New Roman"/>
          <w:sz w:val="24"/>
          <w:szCs w:val="24"/>
        </w:rPr>
        <w:t>=27).</w:t>
      </w:r>
    </w:p>
    <w:p w14:paraId="17B2DE08" w14:textId="4217D04B" w:rsidR="00AC5F43" w:rsidRPr="008E697A" w:rsidRDefault="00FE6798" w:rsidP="008E697A">
      <w:pPr>
        <w:spacing w:line="360" w:lineRule="auto"/>
        <w:jc w:val="both"/>
        <w:rPr>
          <w:rFonts w:ascii="Times New Roman" w:hAnsi="Times New Roman" w:cs="Times New Roman"/>
          <w:sz w:val="24"/>
          <w:szCs w:val="24"/>
        </w:rPr>
        <w:sectPr w:rsidR="00AC5F43" w:rsidRPr="008E697A" w:rsidSect="00AA683C">
          <w:headerReference w:type="default" r:id="rId6"/>
          <w:footerReference w:type="default" r:id="rId7"/>
          <w:pgSz w:w="11906" w:h="16838"/>
          <w:pgMar w:top="1417" w:right="1417" w:bottom="1417" w:left="1417" w:header="708" w:footer="708" w:gutter="0"/>
          <w:cols w:space="708"/>
          <w:docGrid w:linePitch="360"/>
        </w:sectPr>
      </w:pPr>
      <w:r>
        <w:rPr>
          <w:rFonts w:ascii="Times New Roman" w:hAnsi="Times New Roman" w:cs="Times New Roman"/>
          <w:sz w:val="24"/>
          <w:szCs w:val="24"/>
        </w:rPr>
        <w:t>Limitations stemming from the original data collection str</w:t>
      </w:r>
      <w:r w:rsidR="00AC5F43">
        <w:rPr>
          <w:rFonts w:ascii="Times New Roman" w:hAnsi="Times New Roman" w:cs="Times New Roman"/>
          <w:sz w:val="24"/>
          <w:szCs w:val="24"/>
        </w:rPr>
        <w:t>a</w:t>
      </w:r>
      <w:r>
        <w:rPr>
          <w:rFonts w:ascii="Times New Roman" w:hAnsi="Times New Roman" w:cs="Times New Roman"/>
          <w:sz w:val="24"/>
          <w:szCs w:val="24"/>
        </w:rPr>
        <w:t>t</w:t>
      </w:r>
      <w:r w:rsidR="00AC5F43">
        <w:rPr>
          <w:rFonts w:ascii="Times New Roman" w:hAnsi="Times New Roman" w:cs="Times New Roman"/>
          <w:sz w:val="24"/>
          <w:szCs w:val="24"/>
        </w:rPr>
        <w:t>e</w:t>
      </w:r>
      <w:r>
        <w:rPr>
          <w:rFonts w:ascii="Times New Roman" w:hAnsi="Times New Roman" w:cs="Times New Roman"/>
          <w:sz w:val="24"/>
          <w:szCs w:val="24"/>
        </w:rPr>
        <w:t xml:space="preserve">gy include the underreporting of </w:t>
      </w:r>
      <w:proofErr w:type="gramStart"/>
      <w:r>
        <w:rPr>
          <w:rFonts w:ascii="Times New Roman" w:hAnsi="Times New Roman" w:cs="Times New Roman"/>
          <w:sz w:val="24"/>
          <w:szCs w:val="24"/>
        </w:rPr>
        <w:t>direct action</w:t>
      </w:r>
      <w:proofErr w:type="gramEnd"/>
      <w:r>
        <w:rPr>
          <w:rFonts w:ascii="Times New Roman" w:hAnsi="Times New Roman" w:cs="Times New Roman"/>
          <w:sz w:val="24"/>
          <w:szCs w:val="24"/>
        </w:rPr>
        <w:t xml:space="preserve"> events that were not commonly advertised in advance of their occurrence. Efforts to compensate for this were undertaken by Garland et al. (2023)</w:t>
      </w:r>
      <w:r w:rsidR="00AC5F43">
        <w:rPr>
          <w:rFonts w:ascii="Times New Roman" w:hAnsi="Times New Roman" w:cs="Times New Roman"/>
          <w:sz w:val="24"/>
          <w:szCs w:val="24"/>
        </w:rPr>
        <w:t xml:space="preserve"> through consulting local newspapers and community group websites</w:t>
      </w:r>
      <w:r>
        <w:rPr>
          <w:rFonts w:ascii="Times New Roman" w:hAnsi="Times New Roman" w:cs="Times New Roman"/>
          <w:sz w:val="24"/>
          <w:szCs w:val="24"/>
        </w:rPr>
        <w:t>.</w:t>
      </w:r>
    </w:p>
    <w:p w14:paraId="1E4D9756" w14:textId="00450BF0" w:rsidR="00AF439F" w:rsidRDefault="00AF439F" w:rsidP="00AF439F">
      <w:pPr>
        <w:jc w:val="both"/>
        <w:rPr>
          <w:rFonts w:ascii="Times New Roman" w:hAnsi="Times New Roman" w:cs="Times New Roman"/>
          <w:b/>
          <w:bCs/>
          <w:sz w:val="24"/>
          <w:szCs w:val="24"/>
        </w:rPr>
      </w:pPr>
      <w:r>
        <w:rPr>
          <w:rFonts w:ascii="Times New Roman" w:hAnsi="Times New Roman" w:cs="Times New Roman"/>
          <w:b/>
          <w:bCs/>
          <w:sz w:val="24"/>
          <w:szCs w:val="24"/>
        </w:rPr>
        <w:lastRenderedPageBreak/>
        <w:t>Variable Descriptions</w:t>
      </w:r>
    </w:p>
    <w:p w14:paraId="1860A02C" w14:textId="2479DC1A" w:rsidR="009453D8" w:rsidRPr="009453D8" w:rsidRDefault="009453D8" w:rsidP="008E697A">
      <w:pPr>
        <w:spacing w:line="360" w:lineRule="auto"/>
        <w:jc w:val="both"/>
        <w:rPr>
          <w:rFonts w:ascii="Times New Roman" w:hAnsi="Times New Roman" w:cs="Times New Roman"/>
          <w:sz w:val="24"/>
          <w:szCs w:val="24"/>
        </w:rPr>
      </w:pPr>
      <w:r>
        <w:rPr>
          <w:rFonts w:ascii="Times New Roman" w:hAnsi="Times New Roman" w:cs="Times New Roman"/>
          <w:sz w:val="24"/>
          <w:szCs w:val="24"/>
        </w:rPr>
        <w:t>The following table provides information about the organisation of the data, including variables that are present and their respective values. It further states the variable labels and codes that are used for the Stata (.</w:t>
      </w:r>
      <w:proofErr w:type="spellStart"/>
      <w:r>
        <w:rPr>
          <w:rFonts w:ascii="Times New Roman" w:hAnsi="Times New Roman" w:cs="Times New Roman"/>
          <w:sz w:val="24"/>
          <w:szCs w:val="24"/>
        </w:rPr>
        <w:t>dta</w:t>
      </w:r>
      <w:proofErr w:type="spellEnd"/>
      <w:r>
        <w:rPr>
          <w:rFonts w:ascii="Times New Roman" w:hAnsi="Times New Roman" w:cs="Times New Roman"/>
          <w:sz w:val="24"/>
          <w:szCs w:val="24"/>
        </w:rPr>
        <w:t>) data file.</w:t>
      </w:r>
    </w:p>
    <w:tbl>
      <w:tblPr>
        <w:tblStyle w:val="TableGrid"/>
        <w:tblW w:w="0" w:type="auto"/>
        <w:jc w:val="center"/>
        <w:tblLook w:val="04A0" w:firstRow="1" w:lastRow="0" w:firstColumn="1" w:lastColumn="0" w:noHBand="0" w:noVBand="1"/>
      </w:tblPr>
      <w:tblGrid>
        <w:gridCol w:w="2122"/>
        <w:gridCol w:w="1417"/>
        <w:gridCol w:w="2268"/>
        <w:gridCol w:w="5528"/>
        <w:gridCol w:w="2437"/>
      </w:tblGrid>
      <w:tr w:rsidR="00AF439F" w:rsidRPr="00AC5F43" w14:paraId="6CCA9306" w14:textId="77777777" w:rsidTr="008D483E">
        <w:trPr>
          <w:trHeight w:val="276"/>
          <w:jc w:val="center"/>
        </w:trPr>
        <w:tc>
          <w:tcPr>
            <w:tcW w:w="2122" w:type="dxa"/>
          </w:tcPr>
          <w:p w14:paraId="51D0D591" w14:textId="54ED4F6B" w:rsidR="00AF439F" w:rsidRPr="00AC5F43" w:rsidRDefault="00AF439F" w:rsidP="00AF439F">
            <w:pPr>
              <w:jc w:val="both"/>
              <w:rPr>
                <w:rFonts w:ascii="Times New Roman" w:hAnsi="Times New Roman" w:cs="Times New Roman"/>
                <w:b/>
                <w:bCs/>
                <w:sz w:val="20"/>
                <w:szCs w:val="20"/>
              </w:rPr>
            </w:pPr>
            <w:r w:rsidRPr="00AC5F43">
              <w:rPr>
                <w:rFonts w:ascii="Times New Roman" w:hAnsi="Times New Roman" w:cs="Times New Roman"/>
                <w:b/>
                <w:bCs/>
                <w:sz w:val="20"/>
                <w:szCs w:val="20"/>
              </w:rPr>
              <w:t>Variable</w:t>
            </w:r>
          </w:p>
        </w:tc>
        <w:tc>
          <w:tcPr>
            <w:tcW w:w="1417" w:type="dxa"/>
          </w:tcPr>
          <w:p w14:paraId="539DFA4F" w14:textId="6C6D7A3E" w:rsidR="00AF439F" w:rsidRPr="00AC5F43" w:rsidRDefault="00AF439F" w:rsidP="00AF439F">
            <w:pPr>
              <w:jc w:val="both"/>
              <w:rPr>
                <w:rFonts w:ascii="Times New Roman" w:hAnsi="Times New Roman" w:cs="Times New Roman"/>
                <w:b/>
                <w:bCs/>
                <w:sz w:val="20"/>
                <w:szCs w:val="20"/>
              </w:rPr>
            </w:pPr>
            <w:r w:rsidRPr="00AC5F43">
              <w:rPr>
                <w:rFonts w:ascii="Times New Roman" w:hAnsi="Times New Roman" w:cs="Times New Roman"/>
                <w:b/>
                <w:bCs/>
                <w:sz w:val="20"/>
                <w:szCs w:val="20"/>
              </w:rPr>
              <w:t>Stata Label</w:t>
            </w:r>
          </w:p>
        </w:tc>
        <w:tc>
          <w:tcPr>
            <w:tcW w:w="2268" w:type="dxa"/>
          </w:tcPr>
          <w:p w14:paraId="6E989258" w14:textId="20DEE471" w:rsidR="00AF439F" w:rsidRPr="00AC5F43" w:rsidRDefault="00AF439F" w:rsidP="00AF439F">
            <w:pPr>
              <w:jc w:val="both"/>
              <w:rPr>
                <w:rFonts w:ascii="Times New Roman" w:hAnsi="Times New Roman" w:cs="Times New Roman"/>
                <w:b/>
                <w:bCs/>
                <w:sz w:val="20"/>
                <w:szCs w:val="20"/>
              </w:rPr>
            </w:pPr>
            <w:r w:rsidRPr="00AC5F43">
              <w:rPr>
                <w:rFonts w:ascii="Times New Roman" w:hAnsi="Times New Roman" w:cs="Times New Roman"/>
                <w:b/>
                <w:bCs/>
                <w:sz w:val="20"/>
                <w:szCs w:val="20"/>
              </w:rPr>
              <w:t>Data Type</w:t>
            </w:r>
          </w:p>
        </w:tc>
        <w:tc>
          <w:tcPr>
            <w:tcW w:w="5528" w:type="dxa"/>
          </w:tcPr>
          <w:p w14:paraId="6E333E84" w14:textId="27E8B8F4" w:rsidR="00AF439F" w:rsidRPr="00AC5F43" w:rsidRDefault="00AF439F" w:rsidP="00AF439F">
            <w:pPr>
              <w:jc w:val="both"/>
              <w:rPr>
                <w:rFonts w:ascii="Times New Roman" w:hAnsi="Times New Roman" w:cs="Times New Roman"/>
                <w:b/>
                <w:bCs/>
                <w:sz w:val="20"/>
                <w:szCs w:val="20"/>
              </w:rPr>
            </w:pPr>
            <w:r w:rsidRPr="00AC5F43">
              <w:rPr>
                <w:rFonts w:ascii="Times New Roman" w:hAnsi="Times New Roman" w:cs="Times New Roman"/>
                <w:b/>
                <w:bCs/>
                <w:sz w:val="20"/>
                <w:szCs w:val="20"/>
              </w:rPr>
              <w:t>Description</w:t>
            </w:r>
          </w:p>
        </w:tc>
        <w:tc>
          <w:tcPr>
            <w:tcW w:w="2437" w:type="dxa"/>
          </w:tcPr>
          <w:p w14:paraId="3EF2343B" w14:textId="125F5842" w:rsidR="00AF439F" w:rsidRPr="00AC5F43" w:rsidRDefault="00AF439F" w:rsidP="00AF439F">
            <w:pPr>
              <w:jc w:val="both"/>
              <w:rPr>
                <w:rFonts w:ascii="Times New Roman" w:hAnsi="Times New Roman" w:cs="Times New Roman"/>
                <w:b/>
                <w:bCs/>
                <w:sz w:val="20"/>
                <w:szCs w:val="20"/>
              </w:rPr>
            </w:pPr>
            <w:r w:rsidRPr="00AC5F43">
              <w:rPr>
                <w:rFonts w:ascii="Times New Roman" w:hAnsi="Times New Roman" w:cs="Times New Roman"/>
                <w:b/>
                <w:bCs/>
                <w:sz w:val="20"/>
                <w:szCs w:val="20"/>
              </w:rPr>
              <w:t>Values</w:t>
            </w:r>
          </w:p>
        </w:tc>
      </w:tr>
      <w:tr w:rsidR="00AF439F" w:rsidRPr="00AC5F43" w14:paraId="4DD3F773" w14:textId="77777777" w:rsidTr="0090789A">
        <w:trPr>
          <w:trHeight w:val="58"/>
          <w:jc w:val="center"/>
        </w:trPr>
        <w:tc>
          <w:tcPr>
            <w:tcW w:w="2122" w:type="dxa"/>
          </w:tcPr>
          <w:p w14:paraId="327733FC" w14:textId="004C1211" w:rsidR="00AF439F" w:rsidRPr="00AC5F43" w:rsidRDefault="00AF439F" w:rsidP="00AC5F43">
            <w:pPr>
              <w:rPr>
                <w:rFonts w:ascii="Times New Roman" w:hAnsi="Times New Roman" w:cs="Times New Roman"/>
                <w:sz w:val="20"/>
                <w:szCs w:val="20"/>
              </w:rPr>
            </w:pPr>
            <w:r w:rsidRPr="00AC5F43">
              <w:rPr>
                <w:rFonts w:ascii="Times New Roman" w:hAnsi="Times New Roman" w:cs="Times New Roman"/>
                <w:sz w:val="20"/>
                <w:szCs w:val="20"/>
              </w:rPr>
              <w:t>County</w:t>
            </w:r>
          </w:p>
        </w:tc>
        <w:tc>
          <w:tcPr>
            <w:tcW w:w="1417" w:type="dxa"/>
          </w:tcPr>
          <w:p w14:paraId="2212061E" w14:textId="1D17A47B" w:rsidR="00AF439F" w:rsidRPr="00AC5F43" w:rsidRDefault="008B3B4D" w:rsidP="00AC5F43">
            <w:pPr>
              <w:rPr>
                <w:rFonts w:ascii="Times New Roman" w:hAnsi="Times New Roman" w:cs="Times New Roman"/>
                <w:sz w:val="20"/>
                <w:szCs w:val="20"/>
              </w:rPr>
            </w:pPr>
            <w:r w:rsidRPr="00AC5F43">
              <w:rPr>
                <w:rFonts w:ascii="Times New Roman" w:hAnsi="Times New Roman" w:cs="Times New Roman"/>
                <w:sz w:val="20"/>
                <w:szCs w:val="20"/>
              </w:rPr>
              <w:t>county</w:t>
            </w:r>
          </w:p>
        </w:tc>
        <w:tc>
          <w:tcPr>
            <w:tcW w:w="2268" w:type="dxa"/>
          </w:tcPr>
          <w:p w14:paraId="28816FE3" w14:textId="5E0DB5E6" w:rsidR="00AF439F" w:rsidRPr="00AC5F43" w:rsidRDefault="00334841" w:rsidP="00AC5F43">
            <w:pPr>
              <w:rPr>
                <w:rFonts w:ascii="Times New Roman" w:hAnsi="Times New Roman" w:cs="Times New Roman"/>
                <w:sz w:val="20"/>
                <w:szCs w:val="20"/>
              </w:rPr>
            </w:pPr>
            <w:r>
              <w:rPr>
                <w:rFonts w:ascii="Times New Roman" w:hAnsi="Times New Roman" w:cs="Times New Roman"/>
                <w:sz w:val="20"/>
                <w:szCs w:val="20"/>
              </w:rPr>
              <w:t>Nominal (String)</w:t>
            </w:r>
          </w:p>
        </w:tc>
        <w:tc>
          <w:tcPr>
            <w:tcW w:w="5528" w:type="dxa"/>
          </w:tcPr>
          <w:p w14:paraId="22D54108" w14:textId="77777777" w:rsidR="00AF439F" w:rsidRDefault="005F43E0" w:rsidP="00AC5F43">
            <w:pPr>
              <w:rPr>
                <w:rFonts w:ascii="Times New Roman" w:hAnsi="Times New Roman" w:cs="Times New Roman"/>
                <w:sz w:val="20"/>
                <w:szCs w:val="20"/>
              </w:rPr>
            </w:pPr>
            <w:r>
              <w:rPr>
                <w:rFonts w:ascii="Times New Roman" w:hAnsi="Times New Roman" w:cs="Times New Roman"/>
                <w:sz w:val="20"/>
                <w:szCs w:val="20"/>
              </w:rPr>
              <w:t>Case county.</w:t>
            </w:r>
          </w:p>
          <w:p w14:paraId="4A9C028C" w14:textId="77777777" w:rsidR="0090789A" w:rsidRDefault="0090789A" w:rsidP="00AC5F43">
            <w:pPr>
              <w:rPr>
                <w:rFonts w:ascii="Times New Roman" w:hAnsi="Times New Roman" w:cs="Times New Roman"/>
                <w:sz w:val="20"/>
                <w:szCs w:val="20"/>
              </w:rPr>
            </w:pPr>
          </w:p>
          <w:p w14:paraId="08AE19C8" w14:textId="3BB70326" w:rsidR="0090789A" w:rsidRPr="00AC5F43" w:rsidRDefault="0090789A" w:rsidP="00AC5F43">
            <w:pPr>
              <w:rPr>
                <w:rFonts w:ascii="Times New Roman" w:hAnsi="Times New Roman" w:cs="Times New Roman"/>
                <w:sz w:val="20"/>
                <w:szCs w:val="20"/>
              </w:rPr>
            </w:pPr>
          </w:p>
        </w:tc>
        <w:tc>
          <w:tcPr>
            <w:tcW w:w="2437" w:type="dxa"/>
          </w:tcPr>
          <w:p w14:paraId="1A1FB79E" w14:textId="105387A1" w:rsidR="001B5D77"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Lancashire</w:t>
            </w:r>
            <w:r w:rsidR="00334841">
              <w:rPr>
                <w:rFonts w:ascii="Times New Roman" w:hAnsi="Times New Roman" w:cs="Times New Roman"/>
                <w:sz w:val="20"/>
                <w:szCs w:val="20"/>
              </w:rPr>
              <w:t>;</w:t>
            </w:r>
            <w:r w:rsidRPr="00AC5F43">
              <w:rPr>
                <w:rFonts w:ascii="Times New Roman" w:hAnsi="Times New Roman" w:cs="Times New Roman"/>
                <w:sz w:val="20"/>
                <w:szCs w:val="20"/>
              </w:rPr>
              <w:t xml:space="preserve"> North Yorkshire</w:t>
            </w:r>
            <w:r w:rsidR="00334841">
              <w:rPr>
                <w:rFonts w:ascii="Times New Roman" w:hAnsi="Times New Roman" w:cs="Times New Roman"/>
                <w:sz w:val="20"/>
                <w:szCs w:val="20"/>
              </w:rPr>
              <w:t xml:space="preserve">; </w:t>
            </w:r>
            <w:r w:rsidRPr="00AC5F43">
              <w:rPr>
                <w:rFonts w:ascii="Times New Roman" w:hAnsi="Times New Roman" w:cs="Times New Roman"/>
                <w:sz w:val="20"/>
                <w:szCs w:val="20"/>
              </w:rPr>
              <w:t>South Yorkshire</w:t>
            </w:r>
          </w:p>
        </w:tc>
      </w:tr>
      <w:tr w:rsidR="00AF439F" w:rsidRPr="00AC5F43" w14:paraId="115DB9F7" w14:textId="77777777" w:rsidTr="0090789A">
        <w:trPr>
          <w:trHeight w:val="429"/>
          <w:jc w:val="center"/>
        </w:trPr>
        <w:tc>
          <w:tcPr>
            <w:tcW w:w="2122" w:type="dxa"/>
          </w:tcPr>
          <w:p w14:paraId="57C8C274" w14:textId="22087378" w:rsidR="00AF439F" w:rsidRPr="00AC5F43" w:rsidRDefault="00AF439F" w:rsidP="00AC5F43">
            <w:pPr>
              <w:rPr>
                <w:rFonts w:ascii="Times New Roman" w:hAnsi="Times New Roman" w:cs="Times New Roman"/>
                <w:sz w:val="20"/>
                <w:szCs w:val="20"/>
              </w:rPr>
            </w:pPr>
            <w:r w:rsidRPr="00AC5F43">
              <w:rPr>
                <w:rFonts w:ascii="Times New Roman" w:hAnsi="Times New Roman" w:cs="Times New Roman"/>
                <w:sz w:val="20"/>
                <w:szCs w:val="20"/>
              </w:rPr>
              <w:t>Year</w:t>
            </w:r>
          </w:p>
        </w:tc>
        <w:tc>
          <w:tcPr>
            <w:tcW w:w="1417" w:type="dxa"/>
          </w:tcPr>
          <w:p w14:paraId="4BD8C783" w14:textId="5909FE3C" w:rsidR="00AF439F" w:rsidRPr="00AC5F43" w:rsidRDefault="008B3B4D" w:rsidP="00AC5F43">
            <w:pPr>
              <w:rPr>
                <w:rFonts w:ascii="Times New Roman" w:hAnsi="Times New Roman" w:cs="Times New Roman"/>
                <w:sz w:val="20"/>
                <w:szCs w:val="20"/>
              </w:rPr>
            </w:pPr>
            <w:r w:rsidRPr="00AC5F43">
              <w:rPr>
                <w:rFonts w:ascii="Times New Roman" w:hAnsi="Times New Roman" w:cs="Times New Roman"/>
                <w:sz w:val="20"/>
                <w:szCs w:val="20"/>
              </w:rPr>
              <w:t>year</w:t>
            </w:r>
          </w:p>
        </w:tc>
        <w:tc>
          <w:tcPr>
            <w:tcW w:w="2268" w:type="dxa"/>
          </w:tcPr>
          <w:p w14:paraId="566AD198" w14:textId="2826B8B4" w:rsidR="00AF439F" w:rsidRPr="00AC5F43" w:rsidRDefault="00AE03E8" w:rsidP="00AC5F43">
            <w:pPr>
              <w:rPr>
                <w:rFonts w:ascii="Times New Roman" w:hAnsi="Times New Roman" w:cs="Times New Roman"/>
                <w:sz w:val="20"/>
                <w:szCs w:val="20"/>
              </w:rPr>
            </w:pPr>
            <w:r>
              <w:rPr>
                <w:rFonts w:ascii="Times New Roman" w:hAnsi="Times New Roman" w:cs="Times New Roman"/>
                <w:sz w:val="20"/>
                <w:szCs w:val="20"/>
              </w:rPr>
              <w:t>Ordinal</w:t>
            </w:r>
            <w:r w:rsidR="00334841">
              <w:rPr>
                <w:rFonts w:ascii="Times New Roman" w:hAnsi="Times New Roman" w:cs="Times New Roman"/>
                <w:sz w:val="20"/>
                <w:szCs w:val="20"/>
              </w:rPr>
              <w:t xml:space="preserve"> (</w:t>
            </w:r>
            <w:r>
              <w:rPr>
                <w:rFonts w:ascii="Times New Roman" w:hAnsi="Times New Roman" w:cs="Times New Roman"/>
                <w:sz w:val="20"/>
                <w:szCs w:val="20"/>
              </w:rPr>
              <w:t>String</w:t>
            </w:r>
            <w:r w:rsidR="00334841">
              <w:rPr>
                <w:rFonts w:ascii="Times New Roman" w:hAnsi="Times New Roman" w:cs="Times New Roman"/>
                <w:sz w:val="20"/>
                <w:szCs w:val="20"/>
              </w:rPr>
              <w:t>).</w:t>
            </w:r>
          </w:p>
        </w:tc>
        <w:tc>
          <w:tcPr>
            <w:tcW w:w="5528" w:type="dxa"/>
          </w:tcPr>
          <w:p w14:paraId="2EE4E7C5" w14:textId="77777777" w:rsidR="00AF439F" w:rsidRDefault="005F43E0" w:rsidP="00AC5F43">
            <w:pPr>
              <w:rPr>
                <w:rFonts w:ascii="Times New Roman" w:hAnsi="Times New Roman" w:cs="Times New Roman"/>
                <w:sz w:val="20"/>
                <w:szCs w:val="20"/>
              </w:rPr>
            </w:pPr>
            <w:r>
              <w:rPr>
                <w:rFonts w:ascii="Times New Roman" w:hAnsi="Times New Roman" w:cs="Times New Roman"/>
                <w:sz w:val="20"/>
                <w:szCs w:val="20"/>
              </w:rPr>
              <w:t>Year.</w:t>
            </w:r>
          </w:p>
          <w:p w14:paraId="690DF56C" w14:textId="77777777" w:rsidR="0090789A" w:rsidRDefault="0090789A" w:rsidP="00AC5F43">
            <w:pPr>
              <w:rPr>
                <w:rFonts w:ascii="Times New Roman" w:hAnsi="Times New Roman" w:cs="Times New Roman"/>
                <w:sz w:val="20"/>
                <w:szCs w:val="20"/>
              </w:rPr>
            </w:pPr>
          </w:p>
          <w:p w14:paraId="5BB96AB0" w14:textId="77777777" w:rsidR="0090789A" w:rsidRDefault="0090789A" w:rsidP="00AC5F43">
            <w:pPr>
              <w:rPr>
                <w:rFonts w:ascii="Times New Roman" w:hAnsi="Times New Roman" w:cs="Times New Roman"/>
                <w:sz w:val="20"/>
                <w:szCs w:val="20"/>
              </w:rPr>
            </w:pPr>
          </w:p>
          <w:p w14:paraId="5AF7885D" w14:textId="3AE17FD0" w:rsidR="0090789A" w:rsidRPr="00AC5F43" w:rsidRDefault="0090789A" w:rsidP="00AC5F43">
            <w:pPr>
              <w:rPr>
                <w:rFonts w:ascii="Times New Roman" w:hAnsi="Times New Roman" w:cs="Times New Roman"/>
                <w:sz w:val="20"/>
                <w:szCs w:val="20"/>
              </w:rPr>
            </w:pPr>
          </w:p>
        </w:tc>
        <w:tc>
          <w:tcPr>
            <w:tcW w:w="2437" w:type="dxa"/>
          </w:tcPr>
          <w:p w14:paraId="653730F3" w14:textId="75684CFC" w:rsidR="001B5D77" w:rsidRPr="00AC5F43" w:rsidRDefault="001B5D77" w:rsidP="00C756A5">
            <w:pPr>
              <w:rPr>
                <w:rFonts w:ascii="Times New Roman" w:hAnsi="Times New Roman" w:cs="Times New Roman"/>
                <w:sz w:val="20"/>
                <w:szCs w:val="20"/>
              </w:rPr>
            </w:pPr>
            <w:r w:rsidRPr="00AC5F43">
              <w:rPr>
                <w:rFonts w:ascii="Times New Roman" w:hAnsi="Times New Roman" w:cs="Times New Roman"/>
                <w:sz w:val="20"/>
                <w:szCs w:val="20"/>
              </w:rPr>
              <w:t>2011</w:t>
            </w:r>
            <w:r w:rsidR="00C756A5">
              <w:rPr>
                <w:rFonts w:ascii="Times New Roman" w:hAnsi="Times New Roman" w:cs="Times New Roman"/>
                <w:sz w:val="20"/>
                <w:szCs w:val="20"/>
              </w:rPr>
              <w:t xml:space="preserve">; </w:t>
            </w:r>
            <w:r w:rsidRPr="00AC5F43">
              <w:rPr>
                <w:rFonts w:ascii="Times New Roman" w:hAnsi="Times New Roman" w:cs="Times New Roman"/>
                <w:sz w:val="20"/>
                <w:szCs w:val="20"/>
              </w:rPr>
              <w:t>2012</w:t>
            </w:r>
            <w:r w:rsidR="00C756A5">
              <w:rPr>
                <w:rFonts w:ascii="Times New Roman" w:hAnsi="Times New Roman" w:cs="Times New Roman"/>
                <w:sz w:val="20"/>
                <w:szCs w:val="20"/>
              </w:rPr>
              <w:t xml:space="preserve">; </w:t>
            </w:r>
            <w:r w:rsidRPr="00AC5F43">
              <w:rPr>
                <w:rFonts w:ascii="Times New Roman" w:hAnsi="Times New Roman" w:cs="Times New Roman"/>
                <w:sz w:val="20"/>
                <w:szCs w:val="20"/>
              </w:rPr>
              <w:t>2013</w:t>
            </w:r>
            <w:r w:rsidR="00C756A5">
              <w:rPr>
                <w:rFonts w:ascii="Times New Roman" w:hAnsi="Times New Roman" w:cs="Times New Roman"/>
                <w:sz w:val="20"/>
                <w:szCs w:val="20"/>
              </w:rPr>
              <w:t xml:space="preserve">; </w:t>
            </w:r>
            <w:r w:rsidRPr="00AC5F43">
              <w:rPr>
                <w:rFonts w:ascii="Times New Roman" w:hAnsi="Times New Roman" w:cs="Times New Roman"/>
                <w:sz w:val="20"/>
                <w:szCs w:val="20"/>
              </w:rPr>
              <w:t>2014</w:t>
            </w:r>
            <w:r w:rsidR="00C756A5">
              <w:rPr>
                <w:rFonts w:ascii="Times New Roman" w:hAnsi="Times New Roman" w:cs="Times New Roman"/>
                <w:sz w:val="20"/>
                <w:szCs w:val="20"/>
              </w:rPr>
              <w:t xml:space="preserve">; </w:t>
            </w:r>
            <w:r w:rsidRPr="00AC5F43">
              <w:rPr>
                <w:rFonts w:ascii="Times New Roman" w:hAnsi="Times New Roman" w:cs="Times New Roman"/>
                <w:sz w:val="20"/>
                <w:szCs w:val="20"/>
              </w:rPr>
              <w:t>2015</w:t>
            </w:r>
            <w:r w:rsidR="00C756A5">
              <w:rPr>
                <w:rFonts w:ascii="Times New Roman" w:hAnsi="Times New Roman" w:cs="Times New Roman"/>
                <w:sz w:val="20"/>
                <w:szCs w:val="20"/>
              </w:rPr>
              <w:t xml:space="preserve">; </w:t>
            </w:r>
            <w:r w:rsidRPr="00AC5F43">
              <w:rPr>
                <w:rFonts w:ascii="Times New Roman" w:hAnsi="Times New Roman" w:cs="Times New Roman"/>
                <w:sz w:val="20"/>
                <w:szCs w:val="20"/>
              </w:rPr>
              <w:t>2016</w:t>
            </w:r>
            <w:r w:rsidR="00C756A5">
              <w:rPr>
                <w:rFonts w:ascii="Times New Roman" w:hAnsi="Times New Roman" w:cs="Times New Roman"/>
                <w:sz w:val="20"/>
                <w:szCs w:val="20"/>
              </w:rPr>
              <w:t xml:space="preserve">; </w:t>
            </w:r>
            <w:r w:rsidRPr="00AC5F43">
              <w:rPr>
                <w:rFonts w:ascii="Times New Roman" w:hAnsi="Times New Roman" w:cs="Times New Roman"/>
                <w:sz w:val="20"/>
                <w:szCs w:val="20"/>
              </w:rPr>
              <w:t>2017</w:t>
            </w:r>
            <w:r w:rsidR="00C756A5">
              <w:rPr>
                <w:rFonts w:ascii="Times New Roman" w:hAnsi="Times New Roman" w:cs="Times New Roman"/>
                <w:sz w:val="20"/>
                <w:szCs w:val="20"/>
              </w:rPr>
              <w:t>; 2</w:t>
            </w:r>
            <w:r w:rsidRPr="00AC5F43">
              <w:rPr>
                <w:rFonts w:ascii="Times New Roman" w:hAnsi="Times New Roman" w:cs="Times New Roman"/>
                <w:sz w:val="20"/>
                <w:szCs w:val="20"/>
              </w:rPr>
              <w:t>018</w:t>
            </w:r>
            <w:r w:rsidR="00C756A5">
              <w:rPr>
                <w:rFonts w:ascii="Times New Roman" w:hAnsi="Times New Roman" w:cs="Times New Roman"/>
                <w:sz w:val="20"/>
                <w:szCs w:val="20"/>
              </w:rPr>
              <w:t>;</w:t>
            </w:r>
            <w:r w:rsidRPr="00AC5F43">
              <w:rPr>
                <w:rFonts w:ascii="Times New Roman" w:hAnsi="Times New Roman" w:cs="Times New Roman"/>
                <w:sz w:val="20"/>
                <w:szCs w:val="20"/>
              </w:rPr>
              <w:t xml:space="preserve"> 2019</w:t>
            </w:r>
          </w:p>
        </w:tc>
      </w:tr>
      <w:tr w:rsidR="00AF439F" w:rsidRPr="00AC5F43" w14:paraId="7C3A8B38" w14:textId="77777777" w:rsidTr="0090789A">
        <w:trPr>
          <w:trHeight w:val="413"/>
          <w:jc w:val="center"/>
        </w:trPr>
        <w:tc>
          <w:tcPr>
            <w:tcW w:w="2122" w:type="dxa"/>
          </w:tcPr>
          <w:p w14:paraId="53B3EA7B" w14:textId="5EC16190" w:rsidR="00AF439F" w:rsidRPr="00AC5F43" w:rsidRDefault="00AF439F" w:rsidP="00AC5F43">
            <w:pPr>
              <w:rPr>
                <w:rFonts w:ascii="Times New Roman" w:hAnsi="Times New Roman" w:cs="Times New Roman"/>
                <w:sz w:val="20"/>
                <w:szCs w:val="20"/>
                <w:vertAlign w:val="superscript"/>
              </w:rPr>
            </w:pPr>
            <w:r w:rsidRPr="00AC5F43">
              <w:rPr>
                <w:rFonts w:ascii="Times New Roman" w:hAnsi="Times New Roman" w:cs="Times New Roman"/>
                <w:sz w:val="20"/>
                <w:szCs w:val="20"/>
              </w:rPr>
              <w:t>Conventional Protest Event</w:t>
            </w:r>
            <w:r w:rsidR="008B3B4D" w:rsidRPr="00AC5F43">
              <w:rPr>
                <w:rFonts w:ascii="Times New Roman" w:hAnsi="Times New Roman" w:cs="Times New Roman"/>
                <w:sz w:val="20"/>
                <w:szCs w:val="20"/>
                <w:vertAlign w:val="superscript"/>
              </w:rPr>
              <w:t>1</w:t>
            </w:r>
          </w:p>
        </w:tc>
        <w:tc>
          <w:tcPr>
            <w:tcW w:w="1417" w:type="dxa"/>
          </w:tcPr>
          <w:p w14:paraId="383761E7" w14:textId="2670A62D" w:rsidR="00AF439F" w:rsidRPr="00AC5F43" w:rsidRDefault="008B3B4D" w:rsidP="00AC5F43">
            <w:pPr>
              <w:rPr>
                <w:rFonts w:ascii="Times New Roman" w:hAnsi="Times New Roman" w:cs="Times New Roman"/>
                <w:sz w:val="20"/>
                <w:szCs w:val="20"/>
              </w:rPr>
            </w:pPr>
            <w:proofErr w:type="spellStart"/>
            <w:r w:rsidRPr="00AC5F43">
              <w:rPr>
                <w:rFonts w:ascii="Times New Roman" w:hAnsi="Times New Roman" w:cs="Times New Roman"/>
                <w:sz w:val="20"/>
                <w:szCs w:val="20"/>
              </w:rPr>
              <w:t>convprot</w:t>
            </w:r>
            <w:proofErr w:type="spellEnd"/>
          </w:p>
        </w:tc>
        <w:tc>
          <w:tcPr>
            <w:tcW w:w="2268" w:type="dxa"/>
          </w:tcPr>
          <w:p w14:paraId="3FB3A001" w14:textId="478C2244" w:rsidR="00AF439F" w:rsidRPr="00AC5F43" w:rsidRDefault="00AE03E8" w:rsidP="00AC5F43">
            <w:pPr>
              <w:rPr>
                <w:rFonts w:ascii="Times New Roman" w:hAnsi="Times New Roman" w:cs="Times New Roman"/>
                <w:sz w:val="20"/>
                <w:szCs w:val="20"/>
              </w:rPr>
            </w:pPr>
            <w:r>
              <w:rPr>
                <w:rFonts w:ascii="Times New Roman" w:hAnsi="Times New Roman" w:cs="Times New Roman"/>
                <w:sz w:val="20"/>
                <w:szCs w:val="20"/>
              </w:rPr>
              <w:t>Continuous (Numeric)</w:t>
            </w:r>
          </w:p>
        </w:tc>
        <w:tc>
          <w:tcPr>
            <w:tcW w:w="5528" w:type="dxa"/>
          </w:tcPr>
          <w:p w14:paraId="7C516B4B" w14:textId="77777777" w:rsidR="00AF439F" w:rsidRDefault="005F43E0" w:rsidP="00AC5F43">
            <w:pPr>
              <w:rPr>
                <w:rFonts w:ascii="Times New Roman" w:hAnsi="Times New Roman" w:cs="Times New Roman"/>
                <w:sz w:val="20"/>
                <w:szCs w:val="20"/>
              </w:rPr>
            </w:pPr>
            <w:r>
              <w:rPr>
                <w:rFonts w:ascii="Times New Roman" w:hAnsi="Times New Roman" w:cs="Times New Roman"/>
                <w:sz w:val="20"/>
                <w:szCs w:val="20"/>
              </w:rPr>
              <w:t>Number of conventional protest events (procedural, awareness-raising).</w:t>
            </w:r>
          </w:p>
          <w:p w14:paraId="690E0BF8" w14:textId="62E5F165" w:rsidR="0090789A" w:rsidRPr="00AC5F43" w:rsidRDefault="0090789A" w:rsidP="00AC5F43">
            <w:pPr>
              <w:rPr>
                <w:rFonts w:ascii="Times New Roman" w:hAnsi="Times New Roman" w:cs="Times New Roman"/>
                <w:sz w:val="20"/>
                <w:szCs w:val="20"/>
              </w:rPr>
            </w:pPr>
          </w:p>
        </w:tc>
        <w:tc>
          <w:tcPr>
            <w:tcW w:w="2437" w:type="dxa"/>
          </w:tcPr>
          <w:p w14:paraId="5AEE1F7B" w14:textId="4194544F" w:rsidR="00AF439F"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0-356</w:t>
            </w:r>
          </w:p>
        </w:tc>
      </w:tr>
      <w:tr w:rsidR="00AF439F" w:rsidRPr="00AC5F43" w14:paraId="47C086A7" w14:textId="77777777" w:rsidTr="0090789A">
        <w:trPr>
          <w:trHeight w:val="58"/>
          <w:jc w:val="center"/>
        </w:trPr>
        <w:tc>
          <w:tcPr>
            <w:tcW w:w="2122" w:type="dxa"/>
          </w:tcPr>
          <w:p w14:paraId="6CFBE5DE" w14:textId="368D1DEA" w:rsidR="00AF439F" w:rsidRPr="00AC5F43" w:rsidRDefault="00AF439F" w:rsidP="00AC5F43">
            <w:pPr>
              <w:rPr>
                <w:rFonts w:ascii="Times New Roman" w:hAnsi="Times New Roman" w:cs="Times New Roman"/>
                <w:sz w:val="20"/>
                <w:szCs w:val="20"/>
                <w:vertAlign w:val="superscript"/>
              </w:rPr>
            </w:pPr>
            <w:r w:rsidRPr="00AC5F43">
              <w:rPr>
                <w:rFonts w:ascii="Times New Roman" w:hAnsi="Times New Roman" w:cs="Times New Roman"/>
                <w:sz w:val="20"/>
                <w:szCs w:val="20"/>
              </w:rPr>
              <w:t>Non-Conventional Protest Event</w:t>
            </w:r>
            <w:r w:rsidR="008B3B4D" w:rsidRPr="00AC5F43">
              <w:rPr>
                <w:rFonts w:ascii="Times New Roman" w:hAnsi="Times New Roman" w:cs="Times New Roman"/>
                <w:sz w:val="20"/>
                <w:szCs w:val="20"/>
                <w:vertAlign w:val="superscript"/>
              </w:rPr>
              <w:t>1</w:t>
            </w:r>
          </w:p>
        </w:tc>
        <w:tc>
          <w:tcPr>
            <w:tcW w:w="1417" w:type="dxa"/>
          </w:tcPr>
          <w:p w14:paraId="16AE5FAD" w14:textId="53762BB2" w:rsidR="00AF439F" w:rsidRPr="00AC5F43" w:rsidRDefault="008B3B4D" w:rsidP="00AC5F43">
            <w:pPr>
              <w:rPr>
                <w:rFonts w:ascii="Times New Roman" w:hAnsi="Times New Roman" w:cs="Times New Roman"/>
                <w:sz w:val="20"/>
                <w:szCs w:val="20"/>
              </w:rPr>
            </w:pPr>
            <w:proofErr w:type="spellStart"/>
            <w:r w:rsidRPr="00AC5F43">
              <w:rPr>
                <w:rFonts w:ascii="Times New Roman" w:hAnsi="Times New Roman" w:cs="Times New Roman"/>
                <w:sz w:val="20"/>
                <w:szCs w:val="20"/>
              </w:rPr>
              <w:t>nonconvprot</w:t>
            </w:r>
            <w:proofErr w:type="spellEnd"/>
          </w:p>
        </w:tc>
        <w:tc>
          <w:tcPr>
            <w:tcW w:w="2268" w:type="dxa"/>
          </w:tcPr>
          <w:p w14:paraId="3A992439" w14:textId="10C52B2E" w:rsidR="00AF439F" w:rsidRPr="00AC5F43" w:rsidRDefault="00AE03E8" w:rsidP="00AC5F43">
            <w:pPr>
              <w:rPr>
                <w:rFonts w:ascii="Times New Roman" w:hAnsi="Times New Roman" w:cs="Times New Roman"/>
                <w:sz w:val="20"/>
                <w:szCs w:val="20"/>
              </w:rPr>
            </w:pPr>
            <w:r>
              <w:rPr>
                <w:rFonts w:ascii="Times New Roman" w:hAnsi="Times New Roman" w:cs="Times New Roman"/>
                <w:sz w:val="20"/>
                <w:szCs w:val="20"/>
              </w:rPr>
              <w:t>Continuous (Numeric)</w:t>
            </w:r>
          </w:p>
        </w:tc>
        <w:tc>
          <w:tcPr>
            <w:tcW w:w="5528" w:type="dxa"/>
          </w:tcPr>
          <w:p w14:paraId="73FA9F1B" w14:textId="77777777" w:rsidR="00AF439F" w:rsidRDefault="005F43E0" w:rsidP="00AC5F43">
            <w:pPr>
              <w:rPr>
                <w:rFonts w:ascii="Times New Roman" w:hAnsi="Times New Roman" w:cs="Times New Roman"/>
                <w:sz w:val="20"/>
                <w:szCs w:val="20"/>
              </w:rPr>
            </w:pPr>
            <w:r>
              <w:rPr>
                <w:rFonts w:ascii="Times New Roman" w:hAnsi="Times New Roman" w:cs="Times New Roman"/>
                <w:sz w:val="20"/>
                <w:szCs w:val="20"/>
              </w:rPr>
              <w:t>Number of non-conventional protest events (demonstrations, camps, direct action).</w:t>
            </w:r>
          </w:p>
          <w:p w14:paraId="200F7746" w14:textId="512B51A9" w:rsidR="0090789A" w:rsidRPr="00AC5F43" w:rsidRDefault="0090789A" w:rsidP="00AC5F43">
            <w:pPr>
              <w:rPr>
                <w:rFonts w:ascii="Times New Roman" w:hAnsi="Times New Roman" w:cs="Times New Roman"/>
                <w:sz w:val="20"/>
                <w:szCs w:val="20"/>
              </w:rPr>
            </w:pPr>
          </w:p>
        </w:tc>
        <w:tc>
          <w:tcPr>
            <w:tcW w:w="2437" w:type="dxa"/>
          </w:tcPr>
          <w:p w14:paraId="0C5F86BC" w14:textId="529E71E4" w:rsidR="00AF439F"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0-97</w:t>
            </w:r>
          </w:p>
        </w:tc>
      </w:tr>
      <w:tr w:rsidR="00AF439F" w:rsidRPr="00AC5F43" w14:paraId="63FC71E8" w14:textId="77777777" w:rsidTr="0090789A">
        <w:trPr>
          <w:trHeight w:val="135"/>
          <w:jc w:val="center"/>
        </w:trPr>
        <w:tc>
          <w:tcPr>
            <w:tcW w:w="2122" w:type="dxa"/>
          </w:tcPr>
          <w:p w14:paraId="3FFAA2E3" w14:textId="0BBEB5C8" w:rsidR="00AF439F" w:rsidRPr="00AC5F43" w:rsidRDefault="00AF439F" w:rsidP="00AC5F43">
            <w:pPr>
              <w:rPr>
                <w:rFonts w:ascii="Times New Roman" w:hAnsi="Times New Roman" w:cs="Times New Roman"/>
                <w:sz w:val="20"/>
                <w:szCs w:val="20"/>
              </w:rPr>
            </w:pPr>
            <w:r w:rsidRPr="00AC5F43">
              <w:rPr>
                <w:rFonts w:ascii="Times New Roman" w:hAnsi="Times New Roman" w:cs="Times New Roman"/>
                <w:sz w:val="20"/>
                <w:szCs w:val="20"/>
              </w:rPr>
              <w:t>Local Political Opportunity Structure Openness (Planning)</w:t>
            </w:r>
          </w:p>
        </w:tc>
        <w:tc>
          <w:tcPr>
            <w:tcW w:w="1417" w:type="dxa"/>
          </w:tcPr>
          <w:p w14:paraId="0D47BFBA" w14:textId="2A09FBD7" w:rsidR="00AF439F" w:rsidRPr="00AC5F43" w:rsidRDefault="008B3B4D" w:rsidP="00AC5F43">
            <w:pPr>
              <w:rPr>
                <w:rFonts w:ascii="Times New Roman" w:hAnsi="Times New Roman" w:cs="Times New Roman"/>
                <w:sz w:val="20"/>
                <w:szCs w:val="20"/>
              </w:rPr>
            </w:pPr>
            <w:proofErr w:type="spellStart"/>
            <w:r w:rsidRPr="00AC5F43">
              <w:rPr>
                <w:rFonts w:ascii="Times New Roman" w:hAnsi="Times New Roman" w:cs="Times New Roman"/>
                <w:sz w:val="20"/>
                <w:szCs w:val="20"/>
              </w:rPr>
              <w:t>lposop</w:t>
            </w:r>
            <w:proofErr w:type="spellEnd"/>
          </w:p>
        </w:tc>
        <w:tc>
          <w:tcPr>
            <w:tcW w:w="2268" w:type="dxa"/>
          </w:tcPr>
          <w:p w14:paraId="1492ED35" w14:textId="56A23781" w:rsidR="00AF439F" w:rsidRPr="00AC5F43" w:rsidRDefault="00AE03E8" w:rsidP="00AC5F43">
            <w:pPr>
              <w:rPr>
                <w:rFonts w:ascii="Times New Roman" w:hAnsi="Times New Roman" w:cs="Times New Roman"/>
                <w:sz w:val="20"/>
                <w:szCs w:val="20"/>
              </w:rPr>
            </w:pPr>
            <w:r>
              <w:rPr>
                <w:rFonts w:ascii="Times New Roman" w:hAnsi="Times New Roman" w:cs="Times New Roman"/>
                <w:sz w:val="20"/>
                <w:szCs w:val="20"/>
              </w:rPr>
              <w:t>Binary (Numeric)</w:t>
            </w:r>
          </w:p>
        </w:tc>
        <w:tc>
          <w:tcPr>
            <w:tcW w:w="5528" w:type="dxa"/>
          </w:tcPr>
          <w:p w14:paraId="4896FC20" w14:textId="77777777" w:rsidR="00AF439F" w:rsidRDefault="005F43E0" w:rsidP="00AC5F43">
            <w:pPr>
              <w:rPr>
                <w:rFonts w:ascii="Times New Roman" w:hAnsi="Times New Roman" w:cs="Times New Roman"/>
                <w:sz w:val="20"/>
                <w:szCs w:val="20"/>
              </w:rPr>
            </w:pPr>
            <w:r>
              <w:rPr>
                <w:rFonts w:ascii="Times New Roman" w:hAnsi="Times New Roman" w:cs="Times New Roman"/>
                <w:sz w:val="20"/>
                <w:szCs w:val="20"/>
              </w:rPr>
              <w:t>Whether the planning process at the local government level is open or closed for public consultation.</w:t>
            </w:r>
          </w:p>
          <w:p w14:paraId="0C6EF372" w14:textId="77777777" w:rsidR="0090789A" w:rsidRDefault="0090789A" w:rsidP="00AC5F43">
            <w:pPr>
              <w:rPr>
                <w:rFonts w:ascii="Times New Roman" w:hAnsi="Times New Roman" w:cs="Times New Roman"/>
                <w:sz w:val="20"/>
                <w:szCs w:val="20"/>
              </w:rPr>
            </w:pPr>
          </w:p>
          <w:p w14:paraId="63A2CB4A" w14:textId="1C4D37FD" w:rsidR="0090789A" w:rsidRPr="00AC5F43" w:rsidRDefault="0090789A" w:rsidP="00AC5F43">
            <w:pPr>
              <w:rPr>
                <w:rFonts w:ascii="Times New Roman" w:hAnsi="Times New Roman" w:cs="Times New Roman"/>
                <w:sz w:val="20"/>
                <w:szCs w:val="20"/>
              </w:rPr>
            </w:pPr>
          </w:p>
        </w:tc>
        <w:tc>
          <w:tcPr>
            <w:tcW w:w="2437" w:type="dxa"/>
          </w:tcPr>
          <w:p w14:paraId="1A58C7F9" w14:textId="6840341D" w:rsidR="00AF439F"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0: Closed</w:t>
            </w:r>
          </w:p>
          <w:p w14:paraId="1D557E24" w14:textId="77777777" w:rsidR="001B5D77"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1: Open</w:t>
            </w:r>
          </w:p>
          <w:p w14:paraId="775DC932" w14:textId="42F96FBA" w:rsidR="001B5D77"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9: Invalid</w:t>
            </w:r>
          </w:p>
        </w:tc>
      </w:tr>
      <w:tr w:rsidR="00AF439F" w:rsidRPr="00AC5F43" w14:paraId="4CF7DE40" w14:textId="77777777" w:rsidTr="0090789A">
        <w:trPr>
          <w:trHeight w:val="319"/>
          <w:jc w:val="center"/>
        </w:trPr>
        <w:tc>
          <w:tcPr>
            <w:tcW w:w="2122" w:type="dxa"/>
          </w:tcPr>
          <w:p w14:paraId="66AABD1A" w14:textId="3284DA8B" w:rsidR="00AF439F" w:rsidRPr="00AC5F43" w:rsidRDefault="00AF439F" w:rsidP="00AC5F43">
            <w:pPr>
              <w:rPr>
                <w:rFonts w:ascii="Times New Roman" w:hAnsi="Times New Roman" w:cs="Times New Roman"/>
                <w:sz w:val="20"/>
                <w:szCs w:val="20"/>
              </w:rPr>
            </w:pPr>
            <w:r w:rsidRPr="00AC5F43">
              <w:rPr>
                <w:rFonts w:ascii="Times New Roman" w:hAnsi="Times New Roman" w:cs="Times New Roman"/>
                <w:sz w:val="20"/>
                <w:szCs w:val="20"/>
              </w:rPr>
              <w:t>National Political Opportunity Structure Openness (General)</w:t>
            </w:r>
          </w:p>
        </w:tc>
        <w:tc>
          <w:tcPr>
            <w:tcW w:w="1417" w:type="dxa"/>
          </w:tcPr>
          <w:p w14:paraId="3F2576E5" w14:textId="680CFB8B" w:rsidR="00AF439F" w:rsidRPr="00AC5F43" w:rsidRDefault="008B3B4D" w:rsidP="00AC5F43">
            <w:pPr>
              <w:rPr>
                <w:rFonts w:ascii="Times New Roman" w:hAnsi="Times New Roman" w:cs="Times New Roman"/>
                <w:sz w:val="20"/>
                <w:szCs w:val="20"/>
              </w:rPr>
            </w:pPr>
            <w:proofErr w:type="spellStart"/>
            <w:r w:rsidRPr="00AC5F43">
              <w:rPr>
                <w:rFonts w:ascii="Times New Roman" w:hAnsi="Times New Roman" w:cs="Times New Roman"/>
                <w:sz w:val="20"/>
                <w:szCs w:val="20"/>
              </w:rPr>
              <w:t>nposop</w:t>
            </w:r>
            <w:proofErr w:type="spellEnd"/>
          </w:p>
        </w:tc>
        <w:tc>
          <w:tcPr>
            <w:tcW w:w="2268" w:type="dxa"/>
          </w:tcPr>
          <w:p w14:paraId="1B4F10FA" w14:textId="5C76DA51" w:rsidR="00AF439F" w:rsidRPr="00AC5F43" w:rsidRDefault="00AE03E8" w:rsidP="00AC5F43">
            <w:pPr>
              <w:rPr>
                <w:rFonts w:ascii="Times New Roman" w:hAnsi="Times New Roman" w:cs="Times New Roman"/>
                <w:sz w:val="20"/>
                <w:szCs w:val="20"/>
              </w:rPr>
            </w:pPr>
            <w:r>
              <w:rPr>
                <w:rFonts w:ascii="Times New Roman" w:hAnsi="Times New Roman" w:cs="Times New Roman"/>
                <w:sz w:val="20"/>
                <w:szCs w:val="20"/>
              </w:rPr>
              <w:t>Binary (Numeric)</w:t>
            </w:r>
          </w:p>
        </w:tc>
        <w:tc>
          <w:tcPr>
            <w:tcW w:w="5528" w:type="dxa"/>
          </w:tcPr>
          <w:p w14:paraId="32C580AD" w14:textId="77777777" w:rsidR="00AF439F" w:rsidRDefault="005F43E0" w:rsidP="00AC5F43">
            <w:pPr>
              <w:rPr>
                <w:rFonts w:ascii="Times New Roman" w:hAnsi="Times New Roman" w:cs="Times New Roman"/>
                <w:sz w:val="20"/>
                <w:szCs w:val="20"/>
              </w:rPr>
            </w:pPr>
            <w:r>
              <w:rPr>
                <w:rFonts w:ascii="Times New Roman" w:hAnsi="Times New Roman" w:cs="Times New Roman"/>
                <w:sz w:val="20"/>
                <w:szCs w:val="20"/>
              </w:rPr>
              <w:t>Whether the national (UK) government is open or closed to debate on fracking.</w:t>
            </w:r>
          </w:p>
          <w:p w14:paraId="434AFBDF" w14:textId="60588616" w:rsidR="0090789A" w:rsidRPr="00AC5F43" w:rsidRDefault="0090789A" w:rsidP="00AC5F43">
            <w:pPr>
              <w:rPr>
                <w:rFonts w:ascii="Times New Roman" w:hAnsi="Times New Roman" w:cs="Times New Roman"/>
                <w:sz w:val="20"/>
                <w:szCs w:val="20"/>
              </w:rPr>
            </w:pPr>
          </w:p>
        </w:tc>
        <w:tc>
          <w:tcPr>
            <w:tcW w:w="2437" w:type="dxa"/>
          </w:tcPr>
          <w:p w14:paraId="2B708519" w14:textId="77777777" w:rsidR="00AF439F"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0: Closed</w:t>
            </w:r>
          </w:p>
          <w:p w14:paraId="2EAD6491" w14:textId="157E1068" w:rsidR="001B5D77"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1: Open</w:t>
            </w:r>
          </w:p>
        </w:tc>
      </w:tr>
      <w:tr w:rsidR="00AF439F" w:rsidRPr="00AC5F43" w14:paraId="3B6D27FA" w14:textId="77777777" w:rsidTr="0090789A">
        <w:trPr>
          <w:trHeight w:val="58"/>
          <w:jc w:val="center"/>
        </w:trPr>
        <w:tc>
          <w:tcPr>
            <w:tcW w:w="2122" w:type="dxa"/>
          </w:tcPr>
          <w:p w14:paraId="5C161357" w14:textId="47FF08F3" w:rsidR="00AF439F" w:rsidRPr="00AC5F43" w:rsidRDefault="00AF439F" w:rsidP="00AC5F43">
            <w:pPr>
              <w:rPr>
                <w:rFonts w:ascii="Times New Roman" w:hAnsi="Times New Roman" w:cs="Times New Roman"/>
                <w:sz w:val="20"/>
                <w:szCs w:val="20"/>
              </w:rPr>
            </w:pPr>
            <w:r w:rsidRPr="00AC5F43">
              <w:rPr>
                <w:rFonts w:ascii="Times New Roman" w:hAnsi="Times New Roman" w:cs="Times New Roman"/>
                <w:sz w:val="20"/>
                <w:szCs w:val="20"/>
              </w:rPr>
              <w:t>Conservative Local Authority</w:t>
            </w:r>
          </w:p>
        </w:tc>
        <w:tc>
          <w:tcPr>
            <w:tcW w:w="1417" w:type="dxa"/>
          </w:tcPr>
          <w:p w14:paraId="55F0E57E" w14:textId="0AFE0A86" w:rsidR="00AF439F" w:rsidRPr="00AC5F43" w:rsidRDefault="008B3B4D" w:rsidP="00AC5F43">
            <w:pPr>
              <w:rPr>
                <w:rFonts w:ascii="Times New Roman" w:hAnsi="Times New Roman" w:cs="Times New Roman"/>
                <w:sz w:val="20"/>
                <w:szCs w:val="20"/>
              </w:rPr>
            </w:pPr>
            <w:proofErr w:type="spellStart"/>
            <w:r w:rsidRPr="00AC5F43">
              <w:rPr>
                <w:rFonts w:ascii="Times New Roman" w:hAnsi="Times New Roman" w:cs="Times New Roman"/>
                <w:sz w:val="20"/>
                <w:szCs w:val="20"/>
              </w:rPr>
              <w:t>concouncil</w:t>
            </w:r>
            <w:proofErr w:type="spellEnd"/>
          </w:p>
        </w:tc>
        <w:tc>
          <w:tcPr>
            <w:tcW w:w="2268" w:type="dxa"/>
          </w:tcPr>
          <w:p w14:paraId="15A0FA67" w14:textId="2AF6E333" w:rsidR="00AF439F" w:rsidRPr="00AC5F43" w:rsidRDefault="00AE03E8" w:rsidP="00AC5F43">
            <w:pPr>
              <w:rPr>
                <w:rFonts w:ascii="Times New Roman" w:hAnsi="Times New Roman" w:cs="Times New Roman"/>
                <w:sz w:val="20"/>
                <w:szCs w:val="20"/>
              </w:rPr>
            </w:pPr>
            <w:r>
              <w:rPr>
                <w:rFonts w:ascii="Times New Roman" w:hAnsi="Times New Roman" w:cs="Times New Roman"/>
                <w:sz w:val="20"/>
                <w:szCs w:val="20"/>
              </w:rPr>
              <w:t>Binary (Numeric)</w:t>
            </w:r>
          </w:p>
        </w:tc>
        <w:tc>
          <w:tcPr>
            <w:tcW w:w="5528" w:type="dxa"/>
          </w:tcPr>
          <w:p w14:paraId="67F5BF07" w14:textId="77777777" w:rsidR="00AF439F" w:rsidRDefault="005F43E0" w:rsidP="00AC5F43">
            <w:pPr>
              <w:rPr>
                <w:rFonts w:ascii="Times New Roman" w:hAnsi="Times New Roman" w:cs="Times New Roman"/>
                <w:sz w:val="20"/>
                <w:szCs w:val="20"/>
              </w:rPr>
            </w:pPr>
            <w:r>
              <w:rPr>
                <w:rFonts w:ascii="Times New Roman" w:hAnsi="Times New Roman" w:cs="Times New Roman"/>
                <w:sz w:val="20"/>
                <w:szCs w:val="20"/>
              </w:rPr>
              <w:t xml:space="preserve">Whether the local authority is administered by the Conservative </w:t>
            </w:r>
            <w:r w:rsidR="00C77C60">
              <w:rPr>
                <w:rFonts w:ascii="Times New Roman" w:hAnsi="Times New Roman" w:cs="Times New Roman"/>
                <w:sz w:val="20"/>
                <w:szCs w:val="20"/>
              </w:rPr>
              <w:t xml:space="preserve">(centre-right) </w:t>
            </w:r>
            <w:r>
              <w:rPr>
                <w:rFonts w:ascii="Times New Roman" w:hAnsi="Times New Roman" w:cs="Times New Roman"/>
                <w:sz w:val="20"/>
                <w:szCs w:val="20"/>
              </w:rPr>
              <w:t>party.</w:t>
            </w:r>
          </w:p>
          <w:p w14:paraId="0F4D5A40" w14:textId="77777777" w:rsidR="0090789A" w:rsidRDefault="0090789A" w:rsidP="00AC5F43">
            <w:pPr>
              <w:rPr>
                <w:rFonts w:ascii="Times New Roman" w:hAnsi="Times New Roman" w:cs="Times New Roman"/>
                <w:sz w:val="20"/>
                <w:szCs w:val="20"/>
              </w:rPr>
            </w:pPr>
          </w:p>
          <w:p w14:paraId="5BB2FCE9" w14:textId="66747420" w:rsidR="0090789A" w:rsidRPr="00AC5F43" w:rsidRDefault="0090789A" w:rsidP="00AC5F43">
            <w:pPr>
              <w:rPr>
                <w:rFonts w:ascii="Times New Roman" w:hAnsi="Times New Roman" w:cs="Times New Roman"/>
                <w:sz w:val="20"/>
                <w:szCs w:val="20"/>
              </w:rPr>
            </w:pPr>
          </w:p>
        </w:tc>
        <w:tc>
          <w:tcPr>
            <w:tcW w:w="2437" w:type="dxa"/>
          </w:tcPr>
          <w:p w14:paraId="356D973E" w14:textId="77777777" w:rsidR="00AF439F"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0: Not Conservative</w:t>
            </w:r>
          </w:p>
          <w:p w14:paraId="0AF4D405" w14:textId="77777777" w:rsidR="001B5D77"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1: Conservative</w:t>
            </w:r>
          </w:p>
          <w:p w14:paraId="7C9D5906" w14:textId="532DCF7B" w:rsidR="001B5D77"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9: Invalid</w:t>
            </w:r>
          </w:p>
        </w:tc>
      </w:tr>
      <w:tr w:rsidR="00AF439F" w:rsidRPr="00AC5F43" w14:paraId="3639A3CC" w14:textId="77777777" w:rsidTr="0090789A">
        <w:trPr>
          <w:trHeight w:val="172"/>
          <w:jc w:val="center"/>
        </w:trPr>
        <w:tc>
          <w:tcPr>
            <w:tcW w:w="2122" w:type="dxa"/>
          </w:tcPr>
          <w:p w14:paraId="5A8227AC" w14:textId="2F962861" w:rsidR="00AF439F" w:rsidRPr="00AC5F43" w:rsidRDefault="00AF439F" w:rsidP="00AC5F43">
            <w:pPr>
              <w:rPr>
                <w:rFonts w:ascii="Times New Roman" w:hAnsi="Times New Roman" w:cs="Times New Roman"/>
                <w:sz w:val="20"/>
                <w:szCs w:val="20"/>
              </w:rPr>
            </w:pPr>
            <w:r w:rsidRPr="00AC5F43">
              <w:rPr>
                <w:rFonts w:ascii="Times New Roman" w:hAnsi="Times New Roman" w:cs="Times New Roman"/>
                <w:sz w:val="20"/>
                <w:szCs w:val="20"/>
              </w:rPr>
              <w:t>National-Level Political Allies</w:t>
            </w:r>
          </w:p>
        </w:tc>
        <w:tc>
          <w:tcPr>
            <w:tcW w:w="1417" w:type="dxa"/>
          </w:tcPr>
          <w:p w14:paraId="4E38DB48" w14:textId="0120C6A2" w:rsidR="00AF439F" w:rsidRPr="00AC5F43" w:rsidRDefault="008B3B4D" w:rsidP="00AC5F43">
            <w:pPr>
              <w:rPr>
                <w:rFonts w:ascii="Times New Roman" w:hAnsi="Times New Roman" w:cs="Times New Roman"/>
                <w:sz w:val="20"/>
                <w:szCs w:val="20"/>
              </w:rPr>
            </w:pPr>
            <w:proofErr w:type="spellStart"/>
            <w:r w:rsidRPr="00AC5F43">
              <w:rPr>
                <w:rFonts w:ascii="Times New Roman" w:hAnsi="Times New Roman" w:cs="Times New Roman"/>
                <w:sz w:val="20"/>
                <w:szCs w:val="20"/>
              </w:rPr>
              <w:t>natpolally</w:t>
            </w:r>
            <w:proofErr w:type="spellEnd"/>
          </w:p>
        </w:tc>
        <w:tc>
          <w:tcPr>
            <w:tcW w:w="2268" w:type="dxa"/>
          </w:tcPr>
          <w:p w14:paraId="76414546" w14:textId="35A235CE" w:rsidR="00AF439F" w:rsidRPr="00AC5F43" w:rsidRDefault="00AE03E8" w:rsidP="00AC5F43">
            <w:pPr>
              <w:rPr>
                <w:rFonts w:ascii="Times New Roman" w:hAnsi="Times New Roman" w:cs="Times New Roman"/>
                <w:sz w:val="20"/>
                <w:szCs w:val="20"/>
              </w:rPr>
            </w:pPr>
            <w:r>
              <w:rPr>
                <w:rFonts w:ascii="Times New Roman" w:hAnsi="Times New Roman" w:cs="Times New Roman"/>
                <w:sz w:val="20"/>
                <w:szCs w:val="20"/>
              </w:rPr>
              <w:t>Binary (Numeric)</w:t>
            </w:r>
          </w:p>
        </w:tc>
        <w:tc>
          <w:tcPr>
            <w:tcW w:w="5528" w:type="dxa"/>
          </w:tcPr>
          <w:p w14:paraId="17A6C7C7" w14:textId="77777777" w:rsidR="00AF439F" w:rsidRDefault="00C77C60" w:rsidP="00AC5F43">
            <w:pPr>
              <w:rPr>
                <w:rFonts w:ascii="Times New Roman" w:hAnsi="Times New Roman" w:cs="Times New Roman"/>
                <w:sz w:val="20"/>
                <w:szCs w:val="20"/>
              </w:rPr>
            </w:pPr>
            <w:r>
              <w:rPr>
                <w:rFonts w:ascii="Times New Roman" w:hAnsi="Times New Roman" w:cs="Times New Roman"/>
                <w:sz w:val="20"/>
                <w:szCs w:val="20"/>
              </w:rPr>
              <w:t>Whether anti-fracking support can be found among national-level elites, such as political parties in opposition.</w:t>
            </w:r>
          </w:p>
          <w:p w14:paraId="410B92C1" w14:textId="01CD1C9F" w:rsidR="0090789A" w:rsidRPr="00AC5F43" w:rsidRDefault="0090789A" w:rsidP="00AC5F43">
            <w:pPr>
              <w:rPr>
                <w:rFonts w:ascii="Times New Roman" w:hAnsi="Times New Roman" w:cs="Times New Roman"/>
                <w:sz w:val="20"/>
                <w:szCs w:val="20"/>
              </w:rPr>
            </w:pPr>
          </w:p>
        </w:tc>
        <w:tc>
          <w:tcPr>
            <w:tcW w:w="2437" w:type="dxa"/>
          </w:tcPr>
          <w:p w14:paraId="63A84A26" w14:textId="77777777" w:rsidR="00AF439F"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0: Absent</w:t>
            </w:r>
          </w:p>
          <w:p w14:paraId="7409C78F" w14:textId="6E6A59B1" w:rsidR="001B5D77"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1: Present</w:t>
            </w:r>
          </w:p>
        </w:tc>
      </w:tr>
      <w:tr w:rsidR="00AF439F" w:rsidRPr="00AC5F43" w14:paraId="2DDB66D9" w14:textId="77777777" w:rsidTr="008D483E">
        <w:trPr>
          <w:trHeight w:val="840"/>
          <w:jc w:val="center"/>
        </w:trPr>
        <w:tc>
          <w:tcPr>
            <w:tcW w:w="2122" w:type="dxa"/>
          </w:tcPr>
          <w:p w14:paraId="5C4DA3D9" w14:textId="2D98A067" w:rsidR="00AF439F" w:rsidRPr="00AC5F43" w:rsidRDefault="00AF439F" w:rsidP="00AC5F43">
            <w:pPr>
              <w:rPr>
                <w:rFonts w:ascii="Times New Roman" w:hAnsi="Times New Roman" w:cs="Times New Roman"/>
                <w:sz w:val="20"/>
                <w:szCs w:val="20"/>
              </w:rPr>
            </w:pPr>
            <w:r w:rsidRPr="00AC5F43">
              <w:rPr>
                <w:rFonts w:ascii="Times New Roman" w:hAnsi="Times New Roman" w:cs="Times New Roman"/>
                <w:sz w:val="20"/>
                <w:szCs w:val="20"/>
              </w:rPr>
              <w:t>Submitted Fracking Site Application</w:t>
            </w:r>
          </w:p>
        </w:tc>
        <w:tc>
          <w:tcPr>
            <w:tcW w:w="1417" w:type="dxa"/>
          </w:tcPr>
          <w:p w14:paraId="29939466" w14:textId="2E02AB40" w:rsidR="00AF439F" w:rsidRPr="00AC5F43" w:rsidRDefault="008B3B4D" w:rsidP="00AC5F43">
            <w:pPr>
              <w:rPr>
                <w:rFonts w:ascii="Times New Roman" w:hAnsi="Times New Roman" w:cs="Times New Roman"/>
                <w:sz w:val="20"/>
                <w:szCs w:val="20"/>
              </w:rPr>
            </w:pPr>
            <w:proofErr w:type="spellStart"/>
            <w:r w:rsidRPr="00AC5F43">
              <w:rPr>
                <w:rFonts w:ascii="Times New Roman" w:hAnsi="Times New Roman" w:cs="Times New Roman"/>
                <w:sz w:val="20"/>
                <w:szCs w:val="20"/>
              </w:rPr>
              <w:t>fraplanapsub</w:t>
            </w:r>
            <w:proofErr w:type="spellEnd"/>
          </w:p>
        </w:tc>
        <w:tc>
          <w:tcPr>
            <w:tcW w:w="2268" w:type="dxa"/>
          </w:tcPr>
          <w:p w14:paraId="1DB0DB5B" w14:textId="6AF78B27" w:rsidR="00AF439F" w:rsidRPr="00AC5F43" w:rsidRDefault="00AE03E8" w:rsidP="00AC5F43">
            <w:pPr>
              <w:rPr>
                <w:rFonts w:ascii="Times New Roman" w:hAnsi="Times New Roman" w:cs="Times New Roman"/>
                <w:sz w:val="20"/>
                <w:szCs w:val="20"/>
              </w:rPr>
            </w:pPr>
            <w:r>
              <w:rPr>
                <w:rFonts w:ascii="Times New Roman" w:hAnsi="Times New Roman" w:cs="Times New Roman"/>
                <w:sz w:val="20"/>
                <w:szCs w:val="20"/>
              </w:rPr>
              <w:t>Binary (Numeric)</w:t>
            </w:r>
          </w:p>
        </w:tc>
        <w:tc>
          <w:tcPr>
            <w:tcW w:w="5528" w:type="dxa"/>
          </w:tcPr>
          <w:p w14:paraId="76B9789E" w14:textId="77777777" w:rsidR="00AF439F" w:rsidRDefault="00C77C60" w:rsidP="00AC5F43">
            <w:pPr>
              <w:rPr>
                <w:rFonts w:ascii="Times New Roman" w:hAnsi="Times New Roman" w:cs="Times New Roman"/>
                <w:sz w:val="20"/>
                <w:szCs w:val="20"/>
              </w:rPr>
            </w:pPr>
            <w:r>
              <w:rPr>
                <w:rFonts w:ascii="Times New Roman" w:hAnsi="Times New Roman" w:cs="Times New Roman"/>
                <w:sz w:val="20"/>
                <w:szCs w:val="20"/>
              </w:rPr>
              <w:t>Whether the local authority has received an application from industry requesting planning permission to build and operate a site related to hydraulic fracturing and shale gas.</w:t>
            </w:r>
          </w:p>
          <w:p w14:paraId="24DC04C8" w14:textId="3314EC69" w:rsidR="0090789A" w:rsidRPr="00AC5F43" w:rsidRDefault="0090789A" w:rsidP="00AC5F43">
            <w:pPr>
              <w:rPr>
                <w:rFonts w:ascii="Times New Roman" w:hAnsi="Times New Roman" w:cs="Times New Roman"/>
                <w:sz w:val="20"/>
                <w:szCs w:val="20"/>
              </w:rPr>
            </w:pPr>
          </w:p>
        </w:tc>
        <w:tc>
          <w:tcPr>
            <w:tcW w:w="2437" w:type="dxa"/>
          </w:tcPr>
          <w:p w14:paraId="56BB9383" w14:textId="77777777" w:rsidR="00AF439F"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0: Absent</w:t>
            </w:r>
          </w:p>
          <w:p w14:paraId="4091EB93" w14:textId="77777777" w:rsidR="001B5D77"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1: Present</w:t>
            </w:r>
          </w:p>
          <w:p w14:paraId="27B03484" w14:textId="5A4A343E" w:rsidR="001B5D77"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9: Invalid</w:t>
            </w:r>
          </w:p>
        </w:tc>
      </w:tr>
      <w:tr w:rsidR="00AF439F" w:rsidRPr="00AC5F43" w14:paraId="38F50948" w14:textId="77777777" w:rsidTr="0090789A">
        <w:trPr>
          <w:trHeight w:val="58"/>
          <w:jc w:val="center"/>
        </w:trPr>
        <w:tc>
          <w:tcPr>
            <w:tcW w:w="2122" w:type="dxa"/>
          </w:tcPr>
          <w:p w14:paraId="550563D4" w14:textId="20A2FA20" w:rsidR="00AF439F" w:rsidRPr="00AC5F43" w:rsidRDefault="00AF439F" w:rsidP="00AC5F43">
            <w:pPr>
              <w:rPr>
                <w:rFonts w:ascii="Times New Roman" w:hAnsi="Times New Roman" w:cs="Times New Roman"/>
                <w:sz w:val="20"/>
                <w:szCs w:val="20"/>
              </w:rPr>
            </w:pPr>
            <w:r w:rsidRPr="00AC5F43">
              <w:rPr>
                <w:rFonts w:ascii="Times New Roman" w:hAnsi="Times New Roman" w:cs="Times New Roman"/>
                <w:sz w:val="20"/>
                <w:szCs w:val="20"/>
              </w:rPr>
              <w:lastRenderedPageBreak/>
              <w:t>Physical Fracking Site Presence</w:t>
            </w:r>
          </w:p>
        </w:tc>
        <w:tc>
          <w:tcPr>
            <w:tcW w:w="1417" w:type="dxa"/>
          </w:tcPr>
          <w:p w14:paraId="4AD3A36B" w14:textId="6CCB2F7C" w:rsidR="00AF439F" w:rsidRPr="00AC5F43" w:rsidRDefault="008B3B4D" w:rsidP="00AC5F43">
            <w:pPr>
              <w:rPr>
                <w:rFonts w:ascii="Times New Roman" w:hAnsi="Times New Roman" w:cs="Times New Roman"/>
                <w:sz w:val="20"/>
                <w:szCs w:val="20"/>
              </w:rPr>
            </w:pPr>
            <w:proofErr w:type="spellStart"/>
            <w:r w:rsidRPr="00AC5F43">
              <w:rPr>
                <w:rFonts w:ascii="Times New Roman" w:hAnsi="Times New Roman" w:cs="Times New Roman"/>
                <w:sz w:val="20"/>
                <w:szCs w:val="20"/>
              </w:rPr>
              <w:t>physite</w:t>
            </w:r>
            <w:proofErr w:type="spellEnd"/>
          </w:p>
        </w:tc>
        <w:tc>
          <w:tcPr>
            <w:tcW w:w="2268" w:type="dxa"/>
          </w:tcPr>
          <w:p w14:paraId="34310CD3" w14:textId="21559310" w:rsidR="00AF439F" w:rsidRPr="00AC5F43" w:rsidRDefault="00AE03E8" w:rsidP="00AC5F43">
            <w:pPr>
              <w:rPr>
                <w:rFonts w:ascii="Times New Roman" w:hAnsi="Times New Roman" w:cs="Times New Roman"/>
                <w:sz w:val="20"/>
                <w:szCs w:val="20"/>
              </w:rPr>
            </w:pPr>
            <w:r>
              <w:rPr>
                <w:rFonts w:ascii="Times New Roman" w:hAnsi="Times New Roman" w:cs="Times New Roman"/>
                <w:sz w:val="20"/>
                <w:szCs w:val="20"/>
              </w:rPr>
              <w:t>Binary (Numeric)</w:t>
            </w:r>
          </w:p>
        </w:tc>
        <w:tc>
          <w:tcPr>
            <w:tcW w:w="5528" w:type="dxa"/>
          </w:tcPr>
          <w:p w14:paraId="1B477599" w14:textId="77777777" w:rsidR="00AF439F" w:rsidRDefault="00C77C60" w:rsidP="00AC5F43">
            <w:pPr>
              <w:rPr>
                <w:rFonts w:ascii="Times New Roman" w:hAnsi="Times New Roman" w:cs="Times New Roman"/>
                <w:sz w:val="20"/>
                <w:szCs w:val="20"/>
              </w:rPr>
            </w:pPr>
            <w:r>
              <w:rPr>
                <w:rFonts w:ascii="Times New Roman" w:hAnsi="Times New Roman" w:cs="Times New Roman"/>
                <w:sz w:val="20"/>
                <w:szCs w:val="20"/>
              </w:rPr>
              <w:t>Whether a physical site intended for hydraulic fracturing has been or is currently under construction.</w:t>
            </w:r>
          </w:p>
          <w:p w14:paraId="3817AE7C" w14:textId="77777777" w:rsidR="0090789A" w:rsidRDefault="0090789A" w:rsidP="00AC5F43">
            <w:pPr>
              <w:rPr>
                <w:rFonts w:ascii="Times New Roman" w:hAnsi="Times New Roman" w:cs="Times New Roman"/>
                <w:sz w:val="20"/>
                <w:szCs w:val="20"/>
              </w:rPr>
            </w:pPr>
          </w:p>
          <w:p w14:paraId="58C5C308" w14:textId="2DDFB27F" w:rsidR="0090789A" w:rsidRPr="00AC5F43" w:rsidRDefault="0090789A" w:rsidP="00AC5F43">
            <w:pPr>
              <w:rPr>
                <w:rFonts w:ascii="Times New Roman" w:hAnsi="Times New Roman" w:cs="Times New Roman"/>
                <w:sz w:val="20"/>
                <w:szCs w:val="20"/>
              </w:rPr>
            </w:pPr>
          </w:p>
        </w:tc>
        <w:tc>
          <w:tcPr>
            <w:tcW w:w="2437" w:type="dxa"/>
          </w:tcPr>
          <w:p w14:paraId="6A8C48C3" w14:textId="77777777" w:rsidR="00AF439F"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0: Absent</w:t>
            </w:r>
          </w:p>
          <w:p w14:paraId="2ED2B481" w14:textId="77777777" w:rsidR="001B5D77"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1: Present</w:t>
            </w:r>
          </w:p>
          <w:p w14:paraId="35D7F594" w14:textId="76B6258A" w:rsidR="001B5D77"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9: Invalid</w:t>
            </w:r>
          </w:p>
        </w:tc>
      </w:tr>
      <w:tr w:rsidR="00AF439F" w:rsidRPr="00AC5F43" w14:paraId="230090C6" w14:textId="77777777" w:rsidTr="0090789A">
        <w:trPr>
          <w:trHeight w:val="58"/>
          <w:jc w:val="center"/>
        </w:trPr>
        <w:tc>
          <w:tcPr>
            <w:tcW w:w="2122" w:type="dxa"/>
          </w:tcPr>
          <w:p w14:paraId="2B71D2D1" w14:textId="76E951C5" w:rsidR="00AF439F" w:rsidRPr="00AC5F43" w:rsidRDefault="00AF439F" w:rsidP="00AC5F43">
            <w:pPr>
              <w:rPr>
                <w:rFonts w:ascii="Times New Roman" w:hAnsi="Times New Roman" w:cs="Times New Roman"/>
                <w:sz w:val="20"/>
                <w:szCs w:val="20"/>
              </w:rPr>
            </w:pPr>
            <w:r w:rsidRPr="00AC5F43">
              <w:rPr>
                <w:rFonts w:ascii="Times New Roman" w:hAnsi="Times New Roman" w:cs="Times New Roman"/>
                <w:sz w:val="20"/>
                <w:szCs w:val="20"/>
              </w:rPr>
              <w:t>Number of Fracking Sites</w:t>
            </w:r>
          </w:p>
        </w:tc>
        <w:tc>
          <w:tcPr>
            <w:tcW w:w="1417" w:type="dxa"/>
          </w:tcPr>
          <w:p w14:paraId="48B17697" w14:textId="71AC00A9" w:rsidR="00AF439F" w:rsidRPr="00AC5F43" w:rsidRDefault="001B5D77" w:rsidP="00AC5F43">
            <w:pPr>
              <w:rPr>
                <w:rFonts w:ascii="Times New Roman" w:hAnsi="Times New Roman" w:cs="Times New Roman"/>
                <w:sz w:val="20"/>
                <w:szCs w:val="20"/>
              </w:rPr>
            </w:pPr>
            <w:proofErr w:type="spellStart"/>
            <w:r w:rsidRPr="00AC5F43">
              <w:rPr>
                <w:rFonts w:ascii="Times New Roman" w:hAnsi="Times New Roman" w:cs="Times New Roman"/>
                <w:sz w:val="20"/>
                <w:szCs w:val="20"/>
              </w:rPr>
              <w:t>numfracksite</w:t>
            </w:r>
            <w:proofErr w:type="spellEnd"/>
          </w:p>
        </w:tc>
        <w:tc>
          <w:tcPr>
            <w:tcW w:w="2268" w:type="dxa"/>
          </w:tcPr>
          <w:p w14:paraId="5B1F5073" w14:textId="77777777" w:rsidR="00AF439F" w:rsidRPr="00AC5F43" w:rsidRDefault="00AF439F" w:rsidP="00AC5F43">
            <w:pPr>
              <w:rPr>
                <w:rFonts w:ascii="Times New Roman" w:hAnsi="Times New Roman" w:cs="Times New Roman"/>
                <w:sz w:val="20"/>
                <w:szCs w:val="20"/>
              </w:rPr>
            </w:pPr>
          </w:p>
        </w:tc>
        <w:tc>
          <w:tcPr>
            <w:tcW w:w="5528" w:type="dxa"/>
          </w:tcPr>
          <w:p w14:paraId="18DC3CC7" w14:textId="77777777" w:rsidR="00AF439F" w:rsidRDefault="00C77C60" w:rsidP="00AC5F43">
            <w:pPr>
              <w:rPr>
                <w:rFonts w:ascii="Times New Roman" w:hAnsi="Times New Roman" w:cs="Times New Roman"/>
                <w:sz w:val="20"/>
                <w:szCs w:val="20"/>
              </w:rPr>
            </w:pPr>
            <w:r>
              <w:rPr>
                <w:rFonts w:ascii="Times New Roman" w:hAnsi="Times New Roman" w:cs="Times New Roman"/>
                <w:sz w:val="20"/>
                <w:szCs w:val="20"/>
              </w:rPr>
              <w:t>The number of industrial developments earmarked for hydraulic fracturing operations to take place.</w:t>
            </w:r>
          </w:p>
          <w:p w14:paraId="5B5E448F" w14:textId="6E4179CC" w:rsidR="0090789A" w:rsidRPr="00AC5F43" w:rsidRDefault="0090789A" w:rsidP="00AC5F43">
            <w:pPr>
              <w:rPr>
                <w:rFonts w:ascii="Times New Roman" w:hAnsi="Times New Roman" w:cs="Times New Roman"/>
                <w:sz w:val="20"/>
                <w:szCs w:val="20"/>
              </w:rPr>
            </w:pPr>
          </w:p>
        </w:tc>
        <w:tc>
          <w:tcPr>
            <w:tcW w:w="2437" w:type="dxa"/>
          </w:tcPr>
          <w:p w14:paraId="4A791AA9" w14:textId="37A1F17A" w:rsidR="00AF439F"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0-2, 9</w:t>
            </w:r>
          </w:p>
        </w:tc>
      </w:tr>
      <w:tr w:rsidR="00AF439F" w:rsidRPr="00AC5F43" w14:paraId="57CA774B" w14:textId="77777777" w:rsidTr="0090789A">
        <w:trPr>
          <w:trHeight w:val="827"/>
          <w:jc w:val="center"/>
        </w:trPr>
        <w:tc>
          <w:tcPr>
            <w:tcW w:w="2122" w:type="dxa"/>
          </w:tcPr>
          <w:p w14:paraId="67BECB6D" w14:textId="18D6BCE2" w:rsidR="00AF439F" w:rsidRPr="00AC5F43" w:rsidRDefault="00AF439F" w:rsidP="00AC5F43">
            <w:pPr>
              <w:rPr>
                <w:rFonts w:ascii="Times New Roman" w:hAnsi="Times New Roman" w:cs="Times New Roman"/>
                <w:sz w:val="20"/>
                <w:szCs w:val="20"/>
              </w:rPr>
            </w:pPr>
            <w:r w:rsidRPr="00AC5F43">
              <w:rPr>
                <w:rFonts w:ascii="Times New Roman" w:hAnsi="Times New Roman" w:cs="Times New Roman"/>
                <w:sz w:val="20"/>
                <w:szCs w:val="20"/>
              </w:rPr>
              <w:t>Occurrence of Hydraulic Fracturing</w:t>
            </w:r>
          </w:p>
        </w:tc>
        <w:tc>
          <w:tcPr>
            <w:tcW w:w="1417" w:type="dxa"/>
          </w:tcPr>
          <w:p w14:paraId="1D8F0A16" w14:textId="43BE1D6B" w:rsidR="00AF439F" w:rsidRPr="00AC5F43" w:rsidRDefault="001B5D77" w:rsidP="00AC5F43">
            <w:pPr>
              <w:rPr>
                <w:rFonts w:ascii="Times New Roman" w:hAnsi="Times New Roman" w:cs="Times New Roman"/>
                <w:sz w:val="20"/>
                <w:szCs w:val="20"/>
              </w:rPr>
            </w:pPr>
            <w:proofErr w:type="spellStart"/>
            <w:r w:rsidRPr="00AC5F43">
              <w:rPr>
                <w:rFonts w:ascii="Times New Roman" w:hAnsi="Times New Roman" w:cs="Times New Roman"/>
                <w:sz w:val="20"/>
                <w:szCs w:val="20"/>
              </w:rPr>
              <w:t>acfrack</w:t>
            </w:r>
            <w:proofErr w:type="spellEnd"/>
          </w:p>
        </w:tc>
        <w:tc>
          <w:tcPr>
            <w:tcW w:w="2268" w:type="dxa"/>
          </w:tcPr>
          <w:p w14:paraId="1382C0A4" w14:textId="2153A7B5" w:rsidR="00AF439F" w:rsidRPr="00AC5F43" w:rsidRDefault="00AE03E8" w:rsidP="00AC5F43">
            <w:pPr>
              <w:rPr>
                <w:rFonts w:ascii="Times New Roman" w:hAnsi="Times New Roman" w:cs="Times New Roman"/>
                <w:sz w:val="20"/>
                <w:szCs w:val="20"/>
              </w:rPr>
            </w:pPr>
            <w:r>
              <w:rPr>
                <w:rFonts w:ascii="Times New Roman" w:hAnsi="Times New Roman" w:cs="Times New Roman"/>
                <w:sz w:val="20"/>
                <w:szCs w:val="20"/>
              </w:rPr>
              <w:t>Binary (Numeric)</w:t>
            </w:r>
          </w:p>
        </w:tc>
        <w:tc>
          <w:tcPr>
            <w:tcW w:w="5528" w:type="dxa"/>
          </w:tcPr>
          <w:p w14:paraId="4B4B2C42" w14:textId="77777777" w:rsidR="00AF439F" w:rsidRDefault="00C77C60" w:rsidP="00AC5F43">
            <w:pPr>
              <w:rPr>
                <w:rFonts w:ascii="Times New Roman" w:hAnsi="Times New Roman" w:cs="Times New Roman"/>
                <w:sz w:val="20"/>
                <w:szCs w:val="20"/>
              </w:rPr>
            </w:pPr>
            <w:r>
              <w:rPr>
                <w:rFonts w:ascii="Times New Roman" w:hAnsi="Times New Roman" w:cs="Times New Roman"/>
                <w:sz w:val="20"/>
                <w:szCs w:val="20"/>
              </w:rPr>
              <w:t>Whether hydraulic fracturing, as the process of high-pressure liquid injection into the ground to break rock layers to release shale gas, has been conducted.</w:t>
            </w:r>
          </w:p>
          <w:p w14:paraId="1A251478" w14:textId="0878A15E" w:rsidR="0090789A" w:rsidRPr="00AC5F43" w:rsidRDefault="0090789A" w:rsidP="00AC5F43">
            <w:pPr>
              <w:rPr>
                <w:rFonts w:ascii="Times New Roman" w:hAnsi="Times New Roman" w:cs="Times New Roman"/>
                <w:sz w:val="20"/>
                <w:szCs w:val="20"/>
              </w:rPr>
            </w:pPr>
          </w:p>
        </w:tc>
        <w:tc>
          <w:tcPr>
            <w:tcW w:w="2437" w:type="dxa"/>
          </w:tcPr>
          <w:p w14:paraId="08E8D076" w14:textId="77777777" w:rsidR="00AF439F"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0: Absent</w:t>
            </w:r>
          </w:p>
          <w:p w14:paraId="736CE527" w14:textId="77777777" w:rsidR="001B5D77"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1: Present</w:t>
            </w:r>
          </w:p>
          <w:p w14:paraId="1B8EFE9C" w14:textId="755F83A2" w:rsidR="001B5D77"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9: Invalid</w:t>
            </w:r>
          </w:p>
        </w:tc>
      </w:tr>
      <w:tr w:rsidR="00AF439F" w:rsidRPr="00AC5F43" w14:paraId="4C1AB20A" w14:textId="77777777" w:rsidTr="0090789A">
        <w:trPr>
          <w:trHeight w:val="58"/>
          <w:jc w:val="center"/>
        </w:trPr>
        <w:tc>
          <w:tcPr>
            <w:tcW w:w="2122" w:type="dxa"/>
          </w:tcPr>
          <w:p w14:paraId="0D4F632C" w14:textId="48DDC01F" w:rsidR="00AF439F" w:rsidRPr="00AC5F43" w:rsidRDefault="00AF439F" w:rsidP="00AC5F43">
            <w:pPr>
              <w:rPr>
                <w:rFonts w:ascii="Times New Roman" w:hAnsi="Times New Roman" w:cs="Times New Roman"/>
                <w:sz w:val="20"/>
                <w:szCs w:val="20"/>
              </w:rPr>
            </w:pPr>
            <w:r w:rsidRPr="00AC5F43">
              <w:rPr>
                <w:rFonts w:ascii="Times New Roman" w:hAnsi="Times New Roman" w:cs="Times New Roman"/>
                <w:sz w:val="20"/>
                <w:szCs w:val="20"/>
              </w:rPr>
              <w:t>General Election (National Level)</w:t>
            </w:r>
          </w:p>
        </w:tc>
        <w:tc>
          <w:tcPr>
            <w:tcW w:w="1417" w:type="dxa"/>
          </w:tcPr>
          <w:p w14:paraId="399C4A2E" w14:textId="58A1C8B2" w:rsidR="00AF439F" w:rsidRPr="00AC5F43" w:rsidRDefault="001B5D77" w:rsidP="00AC5F43">
            <w:pPr>
              <w:rPr>
                <w:rFonts w:ascii="Times New Roman" w:hAnsi="Times New Roman" w:cs="Times New Roman"/>
                <w:sz w:val="20"/>
                <w:szCs w:val="20"/>
              </w:rPr>
            </w:pPr>
            <w:proofErr w:type="spellStart"/>
            <w:r w:rsidRPr="00AC5F43">
              <w:rPr>
                <w:rFonts w:ascii="Times New Roman" w:hAnsi="Times New Roman" w:cs="Times New Roman"/>
                <w:sz w:val="20"/>
                <w:szCs w:val="20"/>
              </w:rPr>
              <w:t>genelec</w:t>
            </w:r>
            <w:proofErr w:type="spellEnd"/>
          </w:p>
        </w:tc>
        <w:tc>
          <w:tcPr>
            <w:tcW w:w="2268" w:type="dxa"/>
          </w:tcPr>
          <w:p w14:paraId="3BD68D38" w14:textId="601F06C5" w:rsidR="00AF439F" w:rsidRPr="00AC5F43" w:rsidRDefault="00AE03E8" w:rsidP="00AC5F43">
            <w:pPr>
              <w:rPr>
                <w:rFonts w:ascii="Times New Roman" w:hAnsi="Times New Roman" w:cs="Times New Roman"/>
                <w:sz w:val="20"/>
                <w:szCs w:val="20"/>
              </w:rPr>
            </w:pPr>
            <w:r>
              <w:rPr>
                <w:rFonts w:ascii="Times New Roman" w:hAnsi="Times New Roman" w:cs="Times New Roman"/>
                <w:sz w:val="20"/>
                <w:szCs w:val="20"/>
              </w:rPr>
              <w:t>Binary (Numeric)</w:t>
            </w:r>
          </w:p>
        </w:tc>
        <w:tc>
          <w:tcPr>
            <w:tcW w:w="5528" w:type="dxa"/>
          </w:tcPr>
          <w:p w14:paraId="580145C5" w14:textId="77777777" w:rsidR="00AF439F" w:rsidRDefault="00C77C60" w:rsidP="00AC5F43">
            <w:pPr>
              <w:rPr>
                <w:rFonts w:ascii="Times New Roman" w:hAnsi="Times New Roman" w:cs="Times New Roman"/>
                <w:sz w:val="20"/>
                <w:szCs w:val="20"/>
              </w:rPr>
            </w:pPr>
            <w:r>
              <w:rPr>
                <w:rFonts w:ascii="Times New Roman" w:hAnsi="Times New Roman" w:cs="Times New Roman"/>
                <w:sz w:val="20"/>
                <w:szCs w:val="20"/>
              </w:rPr>
              <w:t>Years in which there was – and was not – a general election in the UK (national level).</w:t>
            </w:r>
          </w:p>
          <w:p w14:paraId="30F47443" w14:textId="25D76369" w:rsidR="0090789A" w:rsidRPr="00AC5F43" w:rsidRDefault="0090789A" w:rsidP="00AC5F43">
            <w:pPr>
              <w:rPr>
                <w:rFonts w:ascii="Times New Roman" w:hAnsi="Times New Roman" w:cs="Times New Roman"/>
                <w:sz w:val="20"/>
                <w:szCs w:val="20"/>
              </w:rPr>
            </w:pPr>
          </w:p>
        </w:tc>
        <w:tc>
          <w:tcPr>
            <w:tcW w:w="2437" w:type="dxa"/>
          </w:tcPr>
          <w:p w14:paraId="5EB74C99" w14:textId="77777777" w:rsidR="00AF439F"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0: No Election</w:t>
            </w:r>
          </w:p>
          <w:p w14:paraId="2D1CFCCB" w14:textId="6E2C38D5" w:rsidR="001B5D77"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1: Election</w:t>
            </w:r>
          </w:p>
        </w:tc>
      </w:tr>
      <w:tr w:rsidR="00AF439F" w:rsidRPr="00AC5F43" w14:paraId="66895EDE" w14:textId="77777777" w:rsidTr="0090789A">
        <w:trPr>
          <w:trHeight w:val="58"/>
          <w:jc w:val="center"/>
        </w:trPr>
        <w:tc>
          <w:tcPr>
            <w:tcW w:w="2122" w:type="dxa"/>
          </w:tcPr>
          <w:p w14:paraId="372D0F9C" w14:textId="065958A2" w:rsidR="00AF439F" w:rsidRPr="00AC5F43" w:rsidRDefault="00AF439F" w:rsidP="00AC5F43">
            <w:pPr>
              <w:rPr>
                <w:rFonts w:ascii="Times New Roman" w:hAnsi="Times New Roman" w:cs="Times New Roman"/>
                <w:sz w:val="20"/>
                <w:szCs w:val="20"/>
              </w:rPr>
            </w:pPr>
            <w:r w:rsidRPr="00AC5F43">
              <w:rPr>
                <w:rFonts w:ascii="Times New Roman" w:hAnsi="Times New Roman" w:cs="Times New Roman"/>
                <w:sz w:val="20"/>
                <w:szCs w:val="20"/>
              </w:rPr>
              <w:t>Local Election Occurrence</w:t>
            </w:r>
          </w:p>
        </w:tc>
        <w:tc>
          <w:tcPr>
            <w:tcW w:w="1417" w:type="dxa"/>
          </w:tcPr>
          <w:p w14:paraId="56BCB5AD" w14:textId="5E2F343B" w:rsidR="00AF439F" w:rsidRPr="00AC5F43" w:rsidRDefault="001B5D77" w:rsidP="00AC5F43">
            <w:pPr>
              <w:rPr>
                <w:rFonts w:ascii="Times New Roman" w:hAnsi="Times New Roman" w:cs="Times New Roman"/>
                <w:sz w:val="20"/>
                <w:szCs w:val="20"/>
              </w:rPr>
            </w:pPr>
            <w:proofErr w:type="spellStart"/>
            <w:r w:rsidRPr="00AC5F43">
              <w:rPr>
                <w:rFonts w:ascii="Times New Roman" w:hAnsi="Times New Roman" w:cs="Times New Roman"/>
                <w:sz w:val="20"/>
                <w:szCs w:val="20"/>
              </w:rPr>
              <w:t>locelec</w:t>
            </w:r>
            <w:proofErr w:type="spellEnd"/>
          </w:p>
        </w:tc>
        <w:tc>
          <w:tcPr>
            <w:tcW w:w="2268" w:type="dxa"/>
          </w:tcPr>
          <w:p w14:paraId="20929E2B" w14:textId="192AEB87" w:rsidR="00AF439F" w:rsidRPr="00AC5F43" w:rsidRDefault="00AE03E8" w:rsidP="00AC5F43">
            <w:pPr>
              <w:rPr>
                <w:rFonts w:ascii="Times New Roman" w:hAnsi="Times New Roman" w:cs="Times New Roman"/>
                <w:sz w:val="20"/>
                <w:szCs w:val="20"/>
              </w:rPr>
            </w:pPr>
            <w:r>
              <w:rPr>
                <w:rFonts w:ascii="Times New Roman" w:hAnsi="Times New Roman" w:cs="Times New Roman"/>
                <w:sz w:val="20"/>
                <w:szCs w:val="20"/>
              </w:rPr>
              <w:t>Binary (Numeric)</w:t>
            </w:r>
          </w:p>
        </w:tc>
        <w:tc>
          <w:tcPr>
            <w:tcW w:w="5528" w:type="dxa"/>
          </w:tcPr>
          <w:p w14:paraId="672F8430" w14:textId="77777777" w:rsidR="00AF439F" w:rsidRDefault="00C77C60" w:rsidP="00AC5F43">
            <w:pPr>
              <w:rPr>
                <w:rFonts w:ascii="Times New Roman" w:hAnsi="Times New Roman" w:cs="Times New Roman"/>
                <w:sz w:val="20"/>
                <w:szCs w:val="20"/>
              </w:rPr>
            </w:pPr>
            <w:r>
              <w:rPr>
                <w:rFonts w:ascii="Times New Roman" w:hAnsi="Times New Roman" w:cs="Times New Roman"/>
                <w:sz w:val="20"/>
                <w:szCs w:val="20"/>
              </w:rPr>
              <w:t>Years in which there was – and was not – elections for local authority bodies.</w:t>
            </w:r>
          </w:p>
          <w:p w14:paraId="027BB92C" w14:textId="77777777" w:rsidR="0090789A" w:rsidRDefault="0090789A" w:rsidP="00AC5F43">
            <w:pPr>
              <w:rPr>
                <w:rFonts w:ascii="Times New Roman" w:hAnsi="Times New Roman" w:cs="Times New Roman"/>
                <w:sz w:val="20"/>
                <w:szCs w:val="20"/>
              </w:rPr>
            </w:pPr>
          </w:p>
          <w:p w14:paraId="33CA95D0" w14:textId="04021664" w:rsidR="0090789A" w:rsidRPr="00AC5F43" w:rsidRDefault="0090789A" w:rsidP="00AC5F43">
            <w:pPr>
              <w:rPr>
                <w:rFonts w:ascii="Times New Roman" w:hAnsi="Times New Roman" w:cs="Times New Roman"/>
                <w:sz w:val="20"/>
                <w:szCs w:val="20"/>
              </w:rPr>
            </w:pPr>
          </w:p>
        </w:tc>
        <w:tc>
          <w:tcPr>
            <w:tcW w:w="2437" w:type="dxa"/>
          </w:tcPr>
          <w:p w14:paraId="7008E17B" w14:textId="77777777" w:rsidR="00AF439F"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0: No Election</w:t>
            </w:r>
          </w:p>
          <w:p w14:paraId="3F7F6B23" w14:textId="77777777" w:rsidR="001B5D77"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1: Election</w:t>
            </w:r>
          </w:p>
          <w:p w14:paraId="7DE21D42" w14:textId="6804ADA5" w:rsidR="001B5D77"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9: Invalid</w:t>
            </w:r>
          </w:p>
        </w:tc>
      </w:tr>
      <w:tr w:rsidR="00AF439F" w:rsidRPr="00AC5F43" w14:paraId="624BB966" w14:textId="77777777" w:rsidTr="008D483E">
        <w:trPr>
          <w:trHeight w:val="1380"/>
          <w:jc w:val="center"/>
        </w:trPr>
        <w:tc>
          <w:tcPr>
            <w:tcW w:w="2122" w:type="dxa"/>
          </w:tcPr>
          <w:p w14:paraId="645EB43C" w14:textId="3BC8BD0F" w:rsidR="00AF439F" w:rsidRPr="00AC5F43" w:rsidRDefault="00AF439F" w:rsidP="00AC5F43">
            <w:pPr>
              <w:rPr>
                <w:rFonts w:ascii="Times New Roman" w:hAnsi="Times New Roman" w:cs="Times New Roman"/>
                <w:sz w:val="20"/>
                <w:szCs w:val="20"/>
                <w:vertAlign w:val="superscript"/>
              </w:rPr>
            </w:pPr>
            <w:r w:rsidRPr="00AC5F43">
              <w:rPr>
                <w:rFonts w:ascii="Times New Roman" w:hAnsi="Times New Roman" w:cs="Times New Roman"/>
                <w:sz w:val="20"/>
                <w:szCs w:val="20"/>
              </w:rPr>
              <w:t>Gross Disposable Household Income (GDHI), pounds million</w:t>
            </w:r>
            <w:r w:rsidR="008B3B4D" w:rsidRPr="00AC5F43">
              <w:rPr>
                <w:rFonts w:ascii="Times New Roman" w:hAnsi="Times New Roman" w:cs="Times New Roman"/>
                <w:sz w:val="20"/>
                <w:szCs w:val="20"/>
                <w:vertAlign w:val="superscript"/>
              </w:rPr>
              <w:t>2</w:t>
            </w:r>
          </w:p>
        </w:tc>
        <w:tc>
          <w:tcPr>
            <w:tcW w:w="1417" w:type="dxa"/>
          </w:tcPr>
          <w:p w14:paraId="20354FDE" w14:textId="0036DD1D" w:rsidR="00AF439F" w:rsidRPr="00AC5F43" w:rsidRDefault="001B5D77" w:rsidP="00AC5F43">
            <w:pPr>
              <w:rPr>
                <w:rFonts w:ascii="Times New Roman" w:hAnsi="Times New Roman" w:cs="Times New Roman"/>
                <w:sz w:val="20"/>
                <w:szCs w:val="20"/>
              </w:rPr>
            </w:pPr>
            <w:proofErr w:type="spellStart"/>
            <w:r w:rsidRPr="00AC5F43">
              <w:rPr>
                <w:rFonts w:ascii="Times New Roman" w:hAnsi="Times New Roman" w:cs="Times New Roman"/>
                <w:sz w:val="20"/>
                <w:szCs w:val="20"/>
              </w:rPr>
              <w:t>gdhi</w:t>
            </w:r>
            <w:proofErr w:type="spellEnd"/>
          </w:p>
        </w:tc>
        <w:tc>
          <w:tcPr>
            <w:tcW w:w="2268" w:type="dxa"/>
          </w:tcPr>
          <w:p w14:paraId="3845CAF8" w14:textId="2E663F61" w:rsidR="00AF439F" w:rsidRPr="00AC5F43" w:rsidRDefault="00AE03E8" w:rsidP="00AC5F43">
            <w:pPr>
              <w:rPr>
                <w:rFonts w:ascii="Times New Roman" w:hAnsi="Times New Roman" w:cs="Times New Roman"/>
                <w:sz w:val="20"/>
                <w:szCs w:val="20"/>
              </w:rPr>
            </w:pPr>
            <w:r>
              <w:rPr>
                <w:rFonts w:ascii="Times New Roman" w:hAnsi="Times New Roman" w:cs="Times New Roman"/>
                <w:sz w:val="20"/>
                <w:szCs w:val="20"/>
              </w:rPr>
              <w:t>Continuous (Numeric)</w:t>
            </w:r>
          </w:p>
        </w:tc>
        <w:tc>
          <w:tcPr>
            <w:tcW w:w="5528" w:type="dxa"/>
          </w:tcPr>
          <w:p w14:paraId="57928700" w14:textId="59A8B185" w:rsidR="00AF439F" w:rsidRDefault="00C77C60" w:rsidP="00AC5F43">
            <w:pPr>
              <w:rPr>
                <w:rFonts w:ascii="Times New Roman" w:hAnsi="Times New Roman" w:cs="Times New Roman"/>
                <w:sz w:val="20"/>
                <w:szCs w:val="20"/>
              </w:rPr>
            </w:pPr>
            <w:r>
              <w:rPr>
                <w:rFonts w:ascii="Times New Roman" w:hAnsi="Times New Roman" w:cs="Times New Roman"/>
                <w:sz w:val="20"/>
                <w:szCs w:val="20"/>
              </w:rPr>
              <w:t>A measure of annual gross disposable household income supplied by the ONS at the ITL</w:t>
            </w:r>
            <w:r w:rsidR="00D424CC">
              <w:rPr>
                <w:rFonts w:ascii="Times New Roman" w:hAnsi="Times New Roman" w:cs="Times New Roman"/>
                <w:sz w:val="20"/>
                <w:szCs w:val="20"/>
              </w:rPr>
              <w:t>3</w:t>
            </w:r>
            <w:r>
              <w:rPr>
                <w:rFonts w:ascii="Times New Roman" w:hAnsi="Times New Roman" w:cs="Times New Roman"/>
                <w:sz w:val="20"/>
                <w:szCs w:val="20"/>
              </w:rPr>
              <w:t xml:space="preserve"> level and current basic prices</w:t>
            </w:r>
            <w:r w:rsidR="00D424CC">
              <w:rPr>
                <w:rFonts w:ascii="Times New Roman" w:hAnsi="Times New Roman" w:cs="Times New Roman"/>
                <w:sz w:val="20"/>
                <w:szCs w:val="20"/>
              </w:rPr>
              <w:t>, in pounds million</w:t>
            </w:r>
            <w:r>
              <w:rPr>
                <w:rFonts w:ascii="Times New Roman" w:hAnsi="Times New Roman" w:cs="Times New Roman"/>
                <w:sz w:val="20"/>
                <w:szCs w:val="20"/>
              </w:rPr>
              <w:t>. ITL</w:t>
            </w:r>
            <w:r w:rsidR="00D424CC">
              <w:rPr>
                <w:rFonts w:ascii="Times New Roman" w:hAnsi="Times New Roman" w:cs="Times New Roman"/>
                <w:sz w:val="20"/>
                <w:szCs w:val="20"/>
              </w:rPr>
              <w:t>3</w:t>
            </w:r>
            <w:r>
              <w:rPr>
                <w:rFonts w:ascii="Times New Roman" w:hAnsi="Times New Roman" w:cs="Times New Roman"/>
                <w:sz w:val="20"/>
                <w:szCs w:val="20"/>
              </w:rPr>
              <w:t xml:space="preserve"> levels refer to the specific areas under each case county that experience</w:t>
            </w:r>
            <w:r w:rsidR="00D424CC">
              <w:rPr>
                <w:rFonts w:ascii="Times New Roman" w:hAnsi="Times New Roman" w:cs="Times New Roman"/>
                <w:sz w:val="20"/>
                <w:szCs w:val="20"/>
              </w:rPr>
              <w:t>d</w:t>
            </w:r>
            <w:r>
              <w:rPr>
                <w:rFonts w:ascii="Times New Roman" w:hAnsi="Times New Roman" w:cs="Times New Roman"/>
                <w:sz w:val="20"/>
                <w:szCs w:val="20"/>
              </w:rPr>
              <w:t xml:space="preserve"> fracking, namely: </w:t>
            </w:r>
            <w:proofErr w:type="spellStart"/>
            <w:r>
              <w:rPr>
                <w:rFonts w:ascii="Times New Roman" w:hAnsi="Times New Roman" w:cs="Times New Roman"/>
                <w:sz w:val="20"/>
                <w:szCs w:val="20"/>
              </w:rPr>
              <w:t>Fy</w:t>
            </w:r>
            <w:r w:rsidR="008E697A">
              <w:rPr>
                <w:rFonts w:ascii="Times New Roman" w:hAnsi="Times New Roman" w:cs="Times New Roman"/>
                <w:sz w:val="20"/>
                <w:szCs w:val="20"/>
              </w:rPr>
              <w:t>d</w:t>
            </w:r>
            <w:r>
              <w:rPr>
                <w:rFonts w:ascii="Times New Roman" w:hAnsi="Times New Roman" w:cs="Times New Roman"/>
                <w:sz w:val="20"/>
                <w:szCs w:val="20"/>
              </w:rPr>
              <w:t>le</w:t>
            </w:r>
            <w:proofErr w:type="spellEnd"/>
            <w:r>
              <w:rPr>
                <w:rFonts w:ascii="Times New Roman" w:hAnsi="Times New Roman" w:cs="Times New Roman"/>
                <w:sz w:val="20"/>
                <w:szCs w:val="20"/>
              </w:rPr>
              <w:t xml:space="preserve"> (Lancashire); Ryedale (North Yorkshire); and, Rotherham (South Yorkshire).</w:t>
            </w:r>
          </w:p>
          <w:p w14:paraId="68886555" w14:textId="2F9C542E" w:rsidR="0090789A" w:rsidRPr="00AC5F43" w:rsidRDefault="0090789A" w:rsidP="00AC5F43">
            <w:pPr>
              <w:rPr>
                <w:rFonts w:ascii="Times New Roman" w:hAnsi="Times New Roman" w:cs="Times New Roman"/>
                <w:sz w:val="20"/>
                <w:szCs w:val="20"/>
              </w:rPr>
            </w:pPr>
          </w:p>
        </w:tc>
        <w:tc>
          <w:tcPr>
            <w:tcW w:w="2437" w:type="dxa"/>
          </w:tcPr>
          <w:p w14:paraId="53A45488" w14:textId="7EB99FD7" w:rsidR="00AF439F"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919-4419, 9999</w:t>
            </w:r>
          </w:p>
        </w:tc>
      </w:tr>
      <w:tr w:rsidR="00AF439F" w:rsidRPr="00AC5F43" w14:paraId="1A7CA445" w14:textId="77777777" w:rsidTr="0090789A">
        <w:trPr>
          <w:trHeight w:val="58"/>
          <w:jc w:val="center"/>
        </w:trPr>
        <w:tc>
          <w:tcPr>
            <w:tcW w:w="2122" w:type="dxa"/>
          </w:tcPr>
          <w:p w14:paraId="1594BA12" w14:textId="7B6BE60B" w:rsidR="00AF439F" w:rsidRPr="00AC5F43" w:rsidRDefault="00AF439F" w:rsidP="00AC5F43">
            <w:pPr>
              <w:rPr>
                <w:rFonts w:ascii="Times New Roman" w:hAnsi="Times New Roman" w:cs="Times New Roman"/>
                <w:sz w:val="20"/>
                <w:szCs w:val="20"/>
              </w:rPr>
            </w:pPr>
            <w:r w:rsidRPr="00AC5F43">
              <w:rPr>
                <w:rFonts w:ascii="Times New Roman" w:hAnsi="Times New Roman" w:cs="Times New Roman"/>
                <w:sz w:val="20"/>
                <w:szCs w:val="20"/>
              </w:rPr>
              <w:t>GDHI (Binary Based on Yearly Mean Scores)</w:t>
            </w:r>
          </w:p>
        </w:tc>
        <w:tc>
          <w:tcPr>
            <w:tcW w:w="1417" w:type="dxa"/>
          </w:tcPr>
          <w:p w14:paraId="05B311DE" w14:textId="53A3B074" w:rsidR="00AF439F" w:rsidRPr="00AC5F43" w:rsidRDefault="001B5D77" w:rsidP="00AC5F43">
            <w:pPr>
              <w:rPr>
                <w:rFonts w:ascii="Times New Roman" w:hAnsi="Times New Roman" w:cs="Times New Roman"/>
                <w:sz w:val="20"/>
                <w:szCs w:val="20"/>
              </w:rPr>
            </w:pPr>
            <w:proofErr w:type="spellStart"/>
            <w:r w:rsidRPr="00AC5F43">
              <w:rPr>
                <w:rFonts w:ascii="Times New Roman" w:hAnsi="Times New Roman" w:cs="Times New Roman"/>
                <w:sz w:val="20"/>
                <w:szCs w:val="20"/>
              </w:rPr>
              <w:t>gdhimean</w:t>
            </w:r>
            <w:proofErr w:type="spellEnd"/>
          </w:p>
        </w:tc>
        <w:tc>
          <w:tcPr>
            <w:tcW w:w="2268" w:type="dxa"/>
          </w:tcPr>
          <w:p w14:paraId="41C13682" w14:textId="40C46A30" w:rsidR="00AF439F" w:rsidRPr="00AC5F43" w:rsidRDefault="00AE03E8" w:rsidP="00AC5F43">
            <w:pPr>
              <w:rPr>
                <w:rFonts w:ascii="Times New Roman" w:hAnsi="Times New Roman" w:cs="Times New Roman"/>
                <w:sz w:val="20"/>
                <w:szCs w:val="20"/>
              </w:rPr>
            </w:pPr>
            <w:r>
              <w:rPr>
                <w:rFonts w:ascii="Times New Roman" w:hAnsi="Times New Roman" w:cs="Times New Roman"/>
                <w:sz w:val="20"/>
                <w:szCs w:val="20"/>
              </w:rPr>
              <w:t>Binary (Numeric)</w:t>
            </w:r>
          </w:p>
        </w:tc>
        <w:tc>
          <w:tcPr>
            <w:tcW w:w="5528" w:type="dxa"/>
          </w:tcPr>
          <w:p w14:paraId="5F6B9ADD" w14:textId="155DB652" w:rsidR="00AF439F" w:rsidRDefault="00C77C60" w:rsidP="00AC5F43">
            <w:pPr>
              <w:rPr>
                <w:rFonts w:ascii="Times New Roman" w:hAnsi="Times New Roman" w:cs="Times New Roman"/>
                <w:sz w:val="20"/>
                <w:szCs w:val="20"/>
              </w:rPr>
            </w:pPr>
            <w:r>
              <w:rPr>
                <w:rFonts w:ascii="Times New Roman" w:hAnsi="Times New Roman" w:cs="Times New Roman"/>
                <w:sz w:val="20"/>
                <w:szCs w:val="20"/>
              </w:rPr>
              <w:t>GDHI</w:t>
            </w:r>
            <w:r w:rsidR="00D424CC">
              <w:rPr>
                <w:rFonts w:ascii="Times New Roman" w:hAnsi="Times New Roman" w:cs="Times New Roman"/>
                <w:sz w:val="20"/>
                <w:szCs w:val="20"/>
              </w:rPr>
              <w:t xml:space="preserve"> re-organised based around the mean income calculated </w:t>
            </w:r>
            <w:r w:rsidR="008E697A">
              <w:rPr>
                <w:rFonts w:ascii="Times New Roman" w:hAnsi="Times New Roman" w:cs="Times New Roman"/>
                <w:sz w:val="20"/>
                <w:szCs w:val="20"/>
              </w:rPr>
              <w:t>using</w:t>
            </w:r>
            <w:r w:rsidR="00D424CC">
              <w:rPr>
                <w:rFonts w:ascii="Times New Roman" w:hAnsi="Times New Roman" w:cs="Times New Roman"/>
                <w:sz w:val="20"/>
                <w:szCs w:val="20"/>
              </w:rPr>
              <w:t xml:space="preserve"> each local area’s GDHI amount for each respective year.</w:t>
            </w:r>
          </w:p>
          <w:p w14:paraId="12E77B17" w14:textId="77777777" w:rsidR="0090789A" w:rsidRDefault="0090789A" w:rsidP="00AC5F43">
            <w:pPr>
              <w:rPr>
                <w:rFonts w:ascii="Times New Roman" w:hAnsi="Times New Roman" w:cs="Times New Roman"/>
                <w:sz w:val="20"/>
                <w:szCs w:val="20"/>
              </w:rPr>
            </w:pPr>
          </w:p>
          <w:p w14:paraId="2C54F04B" w14:textId="227E0E90" w:rsidR="0090789A" w:rsidRPr="00AC5F43" w:rsidRDefault="0090789A" w:rsidP="00AC5F43">
            <w:pPr>
              <w:rPr>
                <w:rFonts w:ascii="Times New Roman" w:hAnsi="Times New Roman" w:cs="Times New Roman"/>
                <w:sz w:val="20"/>
                <w:szCs w:val="20"/>
              </w:rPr>
            </w:pPr>
          </w:p>
        </w:tc>
        <w:tc>
          <w:tcPr>
            <w:tcW w:w="2437" w:type="dxa"/>
          </w:tcPr>
          <w:p w14:paraId="5F55F293" w14:textId="77777777" w:rsidR="00AF439F"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0: Below Mean</w:t>
            </w:r>
          </w:p>
          <w:p w14:paraId="52EFD6BD" w14:textId="2D0C37A1" w:rsidR="001B5D77"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1: A</w:t>
            </w:r>
            <w:r w:rsidR="00843638" w:rsidRPr="00AC5F43">
              <w:rPr>
                <w:rFonts w:ascii="Times New Roman" w:hAnsi="Times New Roman" w:cs="Times New Roman"/>
                <w:sz w:val="20"/>
                <w:szCs w:val="20"/>
              </w:rPr>
              <w:t>t or A</w:t>
            </w:r>
            <w:r w:rsidRPr="00AC5F43">
              <w:rPr>
                <w:rFonts w:ascii="Times New Roman" w:hAnsi="Times New Roman" w:cs="Times New Roman"/>
                <w:sz w:val="20"/>
                <w:szCs w:val="20"/>
              </w:rPr>
              <w:t>bove Mean</w:t>
            </w:r>
          </w:p>
          <w:p w14:paraId="519349A2" w14:textId="3EAB2F7F" w:rsidR="001B5D77"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9: Invalid</w:t>
            </w:r>
          </w:p>
        </w:tc>
      </w:tr>
      <w:tr w:rsidR="00AF439F" w:rsidRPr="00AC5F43" w14:paraId="0709C39A" w14:textId="77777777" w:rsidTr="0090789A">
        <w:trPr>
          <w:trHeight w:val="411"/>
          <w:jc w:val="center"/>
        </w:trPr>
        <w:tc>
          <w:tcPr>
            <w:tcW w:w="2122" w:type="dxa"/>
          </w:tcPr>
          <w:p w14:paraId="3AB6AB6E" w14:textId="1F09C9EF" w:rsidR="00AF439F" w:rsidRPr="00AC5F43" w:rsidRDefault="00AF439F" w:rsidP="00AC5F43">
            <w:pPr>
              <w:rPr>
                <w:rFonts w:ascii="Times New Roman" w:hAnsi="Times New Roman" w:cs="Times New Roman"/>
                <w:sz w:val="20"/>
                <w:szCs w:val="20"/>
                <w:vertAlign w:val="superscript"/>
              </w:rPr>
            </w:pPr>
            <w:r w:rsidRPr="00AC5F43">
              <w:rPr>
                <w:rFonts w:ascii="Times New Roman" w:hAnsi="Times New Roman" w:cs="Times New Roman"/>
                <w:sz w:val="20"/>
                <w:szCs w:val="20"/>
              </w:rPr>
              <w:t>Out-of-Work Benefits Claimant Rates (% Local Population)</w:t>
            </w:r>
            <w:r w:rsidR="008B3B4D" w:rsidRPr="00AC5F43">
              <w:rPr>
                <w:rFonts w:ascii="Times New Roman" w:hAnsi="Times New Roman" w:cs="Times New Roman"/>
                <w:sz w:val="20"/>
                <w:szCs w:val="20"/>
                <w:vertAlign w:val="superscript"/>
              </w:rPr>
              <w:t>3</w:t>
            </w:r>
          </w:p>
        </w:tc>
        <w:tc>
          <w:tcPr>
            <w:tcW w:w="1417" w:type="dxa"/>
          </w:tcPr>
          <w:p w14:paraId="0CDB75ED" w14:textId="6CB7855E" w:rsidR="00AF439F" w:rsidRPr="00AC5F43" w:rsidRDefault="001B5D77" w:rsidP="00AC5F43">
            <w:pPr>
              <w:rPr>
                <w:rFonts w:ascii="Times New Roman" w:hAnsi="Times New Roman" w:cs="Times New Roman"/>
                <w:sz w:val="20"/>
                <w:szCs w:val="20"/>
              </w:rPr>
            </w:pPr>
            <w:proofErr w:type="spellStart"/>
            <w:r w:rsidRPr="00AC5F43">
              <w:rPr>
                <w:rFonts w:ascii="Times New Roman" w:hAnsi="Times New Roman" w:cs="Times New Roman"/>
                <w:sz w:val="20"/>
                <w:szCs w:val="20"/>
              </w:rPr>
              <w:t>owben</w:t>
            </w:r>
            <w:proofErr w:type="spellEnd"/>
          </w:p>
        </w:tc>
        <w:tc>
          <w:tcPr>
            <w:tcW w:w="2268" w:type="dxa"/>
          </w:tcPr>
          <w:p w14:paraId="5A47CC34" w14:textId="4888B424" w:rsidR="00AF439F" w:rsidRPr="00AC5F43" w:rsidRDefault="00AE03E8" w:rsidP="00AC5F43">
            <w:pPr>
              <w:rPr>
                <w:rFonts w:ascii="Times New Roman" w:hAnsi="Times New Roman" w:cs="Times New Roman"/>
                <w:sz w:val="20"/>
                <w:szCs w:val="20"/>
              </w:rPr>
            </w:pPr>
            <w:r>
              <w:rPr>
                <w:rFonts w:ascii="Times New Roman" w:hAnsi="Times New Roman" w:cs="Times New Roman"/>
                <w:sz w:val="20"/>
                <w:szCs w:val="20"/>
              </w:rPr>
              <w:t>Discrete</w:t>
            </w:r>
            <w:r w:rsidR="00334841">
              <w:rPr>
                <w:rFonts w:ascii="Times New Roman" w:hAnsi="Times New Roman" w:cs="Times New Roman"/>
                <w:sz w:val="20"/>
                <w:szCs w:val="20"/>
              </w:rPr>
              <w:t xml:space="preserve"> (Numeric)</w:t>
            </w:r>
          </w:p>
        </w:tc>
        <w:tc>
          <w:tcPr>
            <w:tcW w:w="5528" w:type="dxa"/>
          </w:tcPr>
          <w:p w14:paraId="68A4009A" w14:textId="70419438" w:rsidR="00AF439F" w:rsidRDefault="00D424CC" w:rsidP="00AC5F43">
            <w:pPr>
              <w:rPr>
                <w:rFonts w:ascii="Times New Roman" w:hAnsi="Times New Roman" w:cs="Times New Roman"/>
                <w:sz w:val="20"/>
                <w:szCs w:val="20"/>
              </w:rPr>
            </w:pPr>
            <w:r>
              <w:rPr>
                <w:rFonts w:ascii="Times New Roman" w:hAnsi="Times New Roman" w:cs="Times New Roman"/>
                <w:sz w:val="20"/>
                <w:szCs w:val="20"/>
              </w:rPr>
              <w:t>The percentage of the local population that claims out-of-work benefits (Job Seekers Allowance, later Universal Credit from 201</w:t>
            </w:r>
            <w:r w:rsidR="008E697A">
              <w:rPr>
                <w:rFonts w:ascii="Times New Roman" w:hAnsi="Times New Roman" w:cs="Times New Roman"/>
                <w:sz w:val="20"/>
                <w:szCs w:val="20"/>
              </w:rPr>
              <w:t>3</w:t>
            </w:r>
            <w:r>
              <w:rPr>
                <w:rFonts w:ascii="Times New Roman" w:hAnsi="Times New Roman" w:cs="Times New Roman"/>
                <w:sz w:val="20"/>
                <w:szCs w:val="20"/>
              </w:rPr>
              <w:t xml:space="preserve"> onwards). Figures are from the ONS and based on the ITL3 level. Note that </w:t>
            </w:r>
            <w:r w:rsidR="00BD5072">
              <w:rPr>
                <w:rFonts w:ascii="Times New Roman" w:hAnsi="Times New Roman" w:cs="Times New Roman"/>
                <w:sz w:val="20"/>
                <w:szCs w:val="20"/>
              </w:rPr>
              <w:t>national-level figures relate specifically to Great Britain and not</w:t>
            </w:r>
            <w:r w:rsidR="008E697A">
              <w:rPr>
                <w:rFonts w:ascii="Times New Roman" w:hAnsi="Times New Roman" w:cs="Times New Roman"/>
                <w:sz w:val="20"/>
                <w:szCs w:val="20"/>
              </w:rPr>
              <w:t xml:space="preserve"> to</w:t>
            </w:r>
            <w:r w:rsidR="00BD5072">
              <w:rPr>
                <w:rFonts w:ascii="Times New Roman" w:hAnsi="Times New Roman" w:cs="Times New Roman"/>
                <w:sz w:val="20"/>
                <w:szCs w:val="20"/>
              </w:rPr>
              <w:t xml:space="preserve"> the whole United Kingdom.</w:t>
            </w:r>
          </w:p>
          <w:p w14:paraId="0F71CF32" w14:textId="3FC1D4C5" w:rsidR="0090789A" w:rsidRPr="00AC5F43" w:rsidRDefault="0090789A" w:rsidP="00AC5F43">
            <w:pPr>
              <w:rPr>
                <w:rFonts w:ascii="Times New Roman" w:hAnsi="Times New Roman" w:cs="Times New Roman"/>
                <w:sz w:val="20"/>
                <w:szCs w:val="20"/>
              </w:rPr>
            </w:pPr>
          </w:p>
        </w:tc>
        <w:tc>
          <w:tcPr>
            <w:tcW w:w="2437" w:type="dxa"/>
          </w:tcPr>
          <w:p w14:paraId="1C265EA6" w14:textId="58D7F035" w:rsidR="00AF439F"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0.9-5.3</w:t>
            </w:r>
          </w:p>
        </w:tc>
      </w:tr>
      <w:tr w:rsidR="00AF439F" w:rsidRPr="00AC5F43" w14:paraId="11856AE8" w14:textId="77777777" w:rsidTr="0090789A">
        <w:trPr>
          <w:trHeight w:val="58"/>
          <w:jc w:val="center"/>
        </w:trPr>
        <w:tc>
          <w:tcPr>
            <w:tcW w:w="2122" w:type="dxa"/>
          </w:tcPr>
          <w:p w14:paraId="1CA18E64" w14:textId="4A737334" w:rsidR="00AF439F" w:rsidRPr="00AC5F43" w:rsidRDefault="00AF439F" w:rsidP="00AC5F43">
            <w:pPr>
              <w:rPr>
                <w:rFonts w:ascii="Times New Roman" w:hAnsi="Times New Roman" w:cs="Times New Roman"/>
                <w:sz w:val="20"/>
                <w:szCs w:val="20"/>
              </w:rPr>
            </w:pPr>
            <w:r w:rsidRPr="00AC5F43">
              <w:rPr>
                <w:rFonts w:ascii="Times New Roman" w:hAnsi="Times New Roman" w:cs="Times New Roman"/>
                <w:sz w:val="20"/>
                <w:szCs w:val="20"/>
              </w:rPr>
              <w:t>Out-of-Work Benefits Claimants (GB Baseline Comparison)</w:t>
            </w:r>
          </w:p>
        </w:tc>
        <w:tc>
          <w:tcPr>
            <w:tcW w:w="1417" w:type="dxa"/>
          </w:tcPr>
          <w:p w14:paraId="7CE04294" w14:textId="361F54E8" w:rsidR="00AF439F" w:rsidRPr="00AC5F43" w:rsidRDefault="001B5D77" w:rsidP="00AC5F43">
            <w:pPr>
              <w:rPr>
                <w:rFonts w:ascii="Times New Roman" w:hAnsi="Times New Roman" w:cs="Times New Roman"/>
                <w:sz w:val="20"/>
                <w:szCs w:val="20"/>
              </w:rPr>
            </w:pPr>
            <w:proofErr w:type="spellStart"/>
            <w:r w:rsidRPr="00AC5F43">
              <w:rPr>
                <w:rFonts w:ascii="Times New Roman" w:hAnsi="Times New Roman" w:cs="Times New Roman"/>
                <w:sz w:val="20"/>
                <w:szCs w:val="20"/>
              </w:rPr>
              <w:t>owbenbase</w:t>
            </w:r>
            <w:proofErr w:type="spellEnd"/>
          </w:p>
        </w:tc>
        <w:tc>
          <w:tcPr>
            <w:tcW w:w="2268" w:type="dxa"/>
          </w:tcPr>
          <w:p w14:paraId="42672712" w14:textId="74E9FF53" w:rsidR="00AF439F" w:rsidRPr="00AC5F43" w:rsidRDefault="00334841" w:rsidP="00AC5F43">
            <w:pPr>
              <w:rPr>
                <w:rFonts w:ascii="Times New Roman" w:hAnsi="Times New Roman" w:cs="Times New Roman"/>
                <w:sz w:val="20"/>
                <w:szCs w:val="20"/>
              </w:rPr>
            </w:pPr>
            <w:r>
              <w:rPr>
                <w:rFonts w:ascii="Times New Roman" w:hAnsi="Times New Roman" w:cs="Times New Roman"/>
                <w:sz w:val="20"/>
                <w:szCs w:val="20"/>
              </w:rPr>
              <w:t>Binary (Numeric)</w:t>
            </w:r>
          </w:p>
        </w:tc>
        <w:tc>
          <w:tcPr>
            <w:tcW w:w="5528" w:type="dxa"/>
          </w:tcPr>
          <w:p w14:paraId="7FB77EC0" w14:textId="77777777" w:rsidR="00AF439F" w:rsidRDefault="00D424CC" w:rsidP="00AC5F43">
            <w:pPr>
              <w:rPr>
                <w:rFonts w:ascii="Times New Roman" w:hAnsi="Times New Roman" w:cs="Times New Roman"/>
                <w:sz w:val="20"/>
                <w:szCs w:val="20"/>
              </w:rPr>
            </w:pPr>
            <w:r>
              <w:rPr>
                <w:rFonts w:ascii="Times New Roman" w:hAnsi="Times New Roman" w:cs="Times New Roman"/>
                <w:sz w:val="20"/>
                <w:szCs w:val="20"/>
              </w:rPr>
              <w:t>Out-of-work benefits re-organised around the average claimant levels for Great Britain, as a percentage of the national population.</w:t>
            </w:r>
          </w:p>
          <w:p w14:paraId="0A52A865" w14:textId="482DFB47" w:rsidR="0090789A" w:rsidRPr="00AC5F43" w:rsidRDefault="0090789A" w:rsidP="00AC5F43">
            <w:pPr>
              <w:rPr>
                <w:rFonts w:ascii="Times New Roman" w:hAnsi="Times New Roman" w:cs="Times New Roman"/>
                <w:sz w:val="20"/>
                <w:szCs w:val="20"/>
              </w:rPr>
            </w:pPr>
          </w:p>
        </w:tc>
        <w:tc>
          <w:tcPr>
            <w:tcW w:w="2437" w:type="dxa"/>
          </w:tcPr>
          <w:p w14:paraId="48035BDF" w14:textId="77777777" w:rsidR="00AF439F"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0: Below Baseline</w:t>
            </w:r>
          </w:p>
          <w:p w14:paraId="5D9D6E4D" w14:textId="77777777" w:rsidR="001B5D77" w:rsidRPr="00AC5F43" w:rsidRDefault="001B5D77" w:rsidP="00AC5F43">
            <w:pPr>
              <w:rPr>
                <w:rFonts w:ascii="Times New Roman" w:hAnsi="Times New Roman" w:cs="Times New Roman"/>
                <w:sz w:val="20"/>
                <w:szCs w:val="20"/>
              </w:rPr>
            </w:pPr>
            <w:r w:rsidRPr="00AC5F43">
              <w:rPr>
                <w:rFonts w:ascii="Times New Roman" w:hAnsi="Times New Roman" w:cs="Times New Roman"/>
                <w:sz w:val="20"/>
                <w:szCs w:val="20"/>
              </w:rPr>
              <w:t>1: At or Above Baseline</w:t>
            </w:r>
          </w:p>
          <w:p w14:paraId="2012EFC7" w14:textId="7B06075B" w:rsidR="00843638" w:rsidRPr="00AC5F43" w:rsidRDefault="00843638" w:rsidP="00AC5F43">
            <w:pPr>
              <w:rPr>
                <w:rFonts w:ascii="Times New Roman" w:hAnsi="Times New Roman" w:cs="Times New Roman"/>
                <w:sz w:val="20"/>
                <w:szCs w:val="20"/>
              </w:rPr>
            </w:pPr>
            <w:r w:rsidRPr="00AC5F43">
              <w:rPr>
                <w:rFonts w:ascii="Times New Roman" w:hAnsi="Times New Roman" w:cs="Times New Roman"/>
                <w:sz w:val="20"/>
                <w:szCs w:val="20"/>
              </w:rPr>
              <w:t>9: Invalid</w:t>
            </w:r>
          </w:p>
        </w:tc>
      </w:tr>
      <w:tr w:rsidR="00AF439F" w:rsidRPr="00AC5F43" w14:paraId="2DEF68DD" w14:textId="77777777" w:rsidTr="008D483E">
        <w:trPr>
          <w:trHeight w:val="828"/>
          <w:jc w:val="center"/>
        </w:trPr>
        <w:tc>
          <w:tcPr>
            <w:tcW w:w="2122" w:type="dxa"/>
          </w:tcPr>
          <w:p w14:paraId="4662EFF1" w14:textId="5594955D" w:rsidR="00AF439F" w:rsidRPr="00AC5F43" w:rsidRDefault="00AF439F" w:rsidP="00AC5F43">
            <w:pPr>
              <w:rPr>
                <w:rFonts w:ascii="Times New Roman" w:hAnsi="Times New Roman" w:cs="Times New Roman"/>
                <w:sz w:val="20"/>
                <w:szCs w:val="20"/>
                <w:vertAlign w:val="superscript"/>
              </w:rPr>
            </w:pPr>
            <w:r w:rsidRPr="00AC5F43">
              <w:rPr>
                <w:rFonts w:ascii="Times New Roman" w:hAnsi="Times New Roman" w:cs="Times New Roman"/>
                <w:sz w:val="20"/>
                <w:szCs w:val="20"/>
              </w:rPr>
              <w:lastRenderedPageBreak/>
              <w:t>Economically Active (% Local Population)</w:t>
            </w:r>
            <w:r w:rsidR="008B3B4D" w:rsidRPr="00AC5F43">
              <w:rPr>
                <w:rFonts w:ascii="Times New Roman" w:hAnsi="Times New Roman" w:cs="Times New Roman"/>
                <w:sz w:val="20"/>
                <w:szCs w:val="20"/>
                <w:vertAlign w:val="superscript"/>
              </w:rPr>
              <w:t>3</w:t>
            </w:r>
          </w:p>
        </w:tc>
        <w:tc>
          <w:tcPr>
            <w:tcW w:w="1417" w:type="dxa"/>
          </w:tcPr>
          <w:p w14:paraId="5C9BCA17" w14:textId="5F052D2E" w:rsidR="00AF439F" w:rsidRPr="00AC5F43" w:rsidRDefault="001B5D77" w:rsidP="00AC5F43">
            <w:pPr>
              <w:rPr>
                <w:rFonts w:ascii="Times New Roman" w:hAnsi="Times New Roman" w:cs="Times New Roman"/>
                <w:sz w:val="20"/>
                <w:szCs w:val="20"/>
              </w:rPr>
            </w:pPr>
            <w:proofErr w:type="spellStart"/>
            <w:r w:rsidRPr="00AC5F43">
              <w:rPr>
                <w:rFonts w:ascii="Times New Roman" w:hAnsi="Times New Roman" w:cs="Times New Roman"/>
                <w:sz w:val="20"/>
                <w:szCs w:val="20"/>
              </w:rPr>
              <w:t>econact</w:t>
            </w:r>
            <w:proofErr w:type="spellEnd"/>
          </w:p>
        </w:tc>
        <w:tc>
          <w:tcPr>
            <w:tcW w:w="2268" w:type="dxa"/>
          </w:tcPr>
          <w:p w14:paraId="5FA4B084" w14:textId="0C5EF4AD" w:rsidR="00AF439F" w:rsidRPr="00AC5F43" w:rsidRDefault="00AE03E8" w:rsidP="00AC5F43">
            <w:pPr>
              <w:rPr>
                <w:rFonts w:ascii="Times New Roman" w:hAnsi="Times New Roman" w:cs="Times New Roman"/>
                <w:sz w:val="20"/>
                <w:szCs w:val="20"/>
              </w:rPr>
            </w:pPr>
            <w:r>
              <w:rPr>
                <w:rFonts w:ascii="Times New Roman" w:hAnsi="Times New Roman" w:cs="Times New Roman"/>
                <w:sz w:val="20"/>
                <w:szCs w:val="20"/>
              </w:rPr>
              <w:t>Discrete</w:t>
            </w:r>
            <w:r w:rsidR="00334841">
              <w:rPr>
                <w:rFonts w:ascii="Times New Roman" w:hAnsi="Times New Roman" w:cs="Times New Roman"/>
                <w:sz w:val="20"/>
                <w:szCs w:val="20"/>
              </w:rPr>
              <w:t xml:space="preserve"> (Numeric)</w:t>
            </w:r>
          </w:p>
        </w:tc>
        <w:tc>
          <w:tcPr>
            <w:tcW w:w="5528" w:type="dxa"/>
          </w:tcPr>
          <w:p w14:paraId="3B8AFE94" w14:textId="77777777" w:rsidR="00AF439F" w:rsidRDefault="00BD5072" w:rsidP="00AC5F43">
            <w:pPr>
              <w:rPr>
                <w:rFonts w:ascii="Times New Roman" w:hAnsi="Times New Roman" w:cs="Times New Roman"/>
                <w:sz w:val="20"/>
                <w:szCs w:val="20"/>
              </w:rPr>
            </w:pPr>
            <w:r>
              <w:rPr>
                <w:rFonts w:ascii="Times New Roman" w:hAnsi="Times New Roman" w:cs="Times New Roman"/>
                <w:sz w:val="20"/>
                <w:szCs w:val="20"/>
              </w:rPr>
              <w:t>The percentage of the local ITL3 population that are economically active; that is, employed (including self-employment). National-level figures refer to Great Britain only. ONS-derived.</w:t>
            </w:r>
          </w:p>
          <w:p w14:paraId="4C14A1D4" w14:textId="48D055B9" w:rsidR="0090789A" w:rsidRPr="00AC5F43" w:rsidRDefault="0090789A" w:rsidP="00AC5F43">
            <w:pPr>
              <w:rPr>
                <w:rFonts w:ascii="Times New Roman" w:hAnsi="Times New Roman" w:cs="Times New Roman"/>
                <w:sz w:val="20"/>
                <w:szCs w:val="20"/>
              </w:rPr>
            </w:pPr>
          </w:p>
        </w:tc>
        <w:tc>
          <w:tcPr>
            <w:tcW w:w="2437" w:type="dxa"/>
          </w:tcPr>
          <w:p w14:paraId="4E910EBE" w14:textId="6766AB9D" w:rsidR="00AF439F" w:rsidRPr="00AC5F43" w:rsidRDefault="00843638" w:rsidP="00AC5F43">
            <w:pPr>
              <w:rPr>
                <w:rFonts w:ascii="Times New Roman" w:hAnsi="Times New Roman" w:cs="Times New Roman"/>
                <w:sz w:val="20"/>
                <w:szCs w:val="20"/>
              </w:rPr>
            </w:pPr>
            <w:r w:rsidRPr="00AC5F43">
              <w:rPr>
                <w:rFonts w:ascii="Times New Roman" w:hAnsi="Times New Roman" w:cs="Times New Roman"/>
                <w:sz w:val="20"/>
                <w:szCs w:val="20"/>
              </w:rPr>
              <w:t>74-87.5</w:t>
            </w:r>
          </w:p>
        </w:tc>
      </w:tr>
      <w:tr w:rsidR="00AF439F" w:rsidRPr="00AC5F43" w14:paraId="4438D5D4" w14:textId="77777777" w:rsidTr="0090789A">
        <w:trPr>
          <w:trHeight w:val="58"/>
          <w:jc w:val="center"/>
        </w:trPr>
        <w:tc>
          <w:tcPr>
            <w:tcW w:w="2122" w:type="dxa"/>
          </w:tcPr>
          <w:p w14:paraId="5496B7F5" w14:textId="530743C0" w:rsidR="00AF439F" w:rsidRPr="00AC5F43" w:rsidRDefault="00AF439F" w:rsidP="00AC5F43">
            <w:pPr>
              <w:rPr>
                <w:rFonts w:ascii="Times New Roman" w:hAnsi="Times New Roman" w:cs="Times New Roman"/>
                <w:sz w:val="20"/>
                <w:szCs w:val="20"/>
              </w:rPr>
            </w:pPr>
            <w:r w:rsidRPr="00AC5F43">
              <w:rPr>
                <w:rFonts w:ascii="Times New Roman" w:hAnsi="Times New Roman" w:cs="Times New Roman"/>
                <w:sz w:val="20"/>
                <w:szCs w:val="20"/>
              </w:rPr>
              <w:t>Economically Active (GB Baseline Comparison)</w:t>
            </w:r>
          </w:p>
        </w:tc>
        <w:tc>
          <w:tcPr>
            <w:tcW w:w="1417" w:type="dxa"/>
          </w:tcPr>
          <w:p w14:paraId="351C0B65" w14:textId="50EFC87E" w:rsidR="00AF439F" w:rsidRPr="00AC5F43" w:rsidRDefault="001B5D77" w:rsidP="00AC5F43">
            <w:pPr>
              <w:rPr>
                <w:rFonts w:ascii="Times New Roman" w:hAnsi="Times New Roman" w:cs="Times New Roman"/>
                <w:sz w:val="20"/>
                <w:szCs w:val="20"/>
              </w:rPr>
            </w:pPr>
            <w:proofErr w:type="spellStart"/>
            <w:r w:rsidRPr="00AC5F43">
              <w:rPr>
                <w:rFonts w:ascii="Times New Roman" w:hAnsi="Times New Roman" w:cs="Times New Roman"/>
                <w:sz w:val="20"/>
                <w:szCs w:val="20"/>
              </w:rPr>
              <w:t>econactbase</w:t>
            </w:r>
            <w:proofErr w:type="spellEnd"/>
          </w:p>
        </w:tc>
        <w:tc>
          <w:tcPr>
            <w:tcW w:w="2268" w:type="dxa"/>
          </w:tcPr>
          <w:p w14:paraId="0FEDEFEB" w14:textId="4F1B70BE" w:rsidR="00AF439F" w:rsidRPr="00AC5F43" w:rsidRDefault="00334841" w:rsidP="00AC5F43">
            <w:pPr>
              <w:rPr>
                <w:rFonts w:ascii="Times New Roman" w:hAnsi="Times New Roman" w:cs="Times New Roman"/>
                <w:sz w:val="20"/>
                <w:szCs w:val="20"/>
              </w:rPr>
            </w:pPr>
            <w:r>
              <w:rPr>
                <w:rFonts w:ascii="Times New Roman" w:hAnsi="Times New Roman" w:cs="Times New Roman"/>
                <w:sz w:val="20"/>
                <w:szCs w:val="20"/>
              </w:rPr>
              <w:t>Binary (Numeric)</w:t>
            </w:r>
          </w:p>
        </w:tc>
        <w:tc>
          <w:tcPr>
            <w:tcW w:w="5528" w:type="dxa"/>
          </w:tcPr>
          <w:p w14:paraId="2E2652C4" w14:textId="77777777" w:rsidR="00AF439F" w:rsidRDefault="00BD5072" w:rsidP="00AC5F43">
            <w:pPr>
              <w:rPr>
                <w:rFonts w:ascii="Times New Roman" w:hAnsi="Times New Roman" w:cs="Times New Roman"/>
                <w:sz w:val="20"/>
                <w:szCs w:val="20"/>
              </w:rPr>
            </w:pPr>
            <w:r>
              <w:rPr>
                <w:rFonts w:ascii="Times New Roman" w:hAnsi="Times New Roman" w:cs="Times New Roman"/>
                <w:sz w:val="20"/>
                <w:szCs w:val="20"/>
              </w:rPr>
              <w:t>A re-organisation of economic activity data centred on the percentage of the population that are economically active at the Great Britain level.</w:t>
            </w:r>
          </w:p>
          <w:p w14:paraId="3619D620" w14:textId="67720018" w:rsidR="0090789A" w:rsidRPr="00AC5F43" w:rsidRDefault="0090789A" w:rsidP="00AC5F43">
            <w:pPr>
              <w:rPr>
                <w:rFonts w:ascii="Times New Roman" w:hAnsi="Times New Roman" w:cs="Times New Roman"/>
                <w:sz w:val="20"/>
                <w:szCs w:val="20"/>
              </w:rPr>
            </w:pPr>
          </w:p>
        </w:tc>
        <w:tc>
          <w:tcPr>
            <w:tcW w:w="2437" w:type="dxa"/>
          </w:tcPr>
          <w:p w14:paraId="42F4C51D" w14:textId="77777777" w:rsidR="00AF439F" w:rsidRPr="00AC5F43" w:rsidRDefault="00843638" w:rsidP="00AC5F43">
            <w:pPr>
              <w:rPr>
                <w:rFonts w:ascii="Times New Roman" w:hAnsi="Times New Roman" w:cs="Times New Roman"/>
                <w:sz w:val="20"/>
                <w:szCs w:val="20"/>
              </w:rPr>
            </w:pPr>
            <w:r w:rsidRPr="00AC5F43">
              <w:rPr>
                <w:rFonts w:ascii="Times New Roman" w:hAnsi="Times New Roman" w:cs="Times New Roman"/>
                <w:sz w:val="20"/>
                <w:szCs w:val="20"/>
              </w:rPr>
              <w:t>0: Below Baseline</w:t>
            </w:r>
          </w:p>
          <w:p w14:paraId="70CB1F4E" w14:textId="77777777" w:rsidR="00843638" w:rsidRPr="00AC5F43" w:rsidRDefault="00843638" w:rsidP="00AC5F43">
            <w:pPr>
              <w:rPr>
                <w:rFonts w:ascii="Times New Roman" w:hAnsi="Times New Roman" w:cs="Times New Roman"/>
                <w:sz w:val="20"/>
                <w:szCs w:val="20"/>
              </w:rPr>
            </w:pPr>
            <w:r w:rsidRPr="00AC5F43">
              <w:rPr>
                <w:rFonts w:ascii="Times New Roman" w:hAnsi="Times New Roman" w:cs="Times New Roman"/>
                <w:sz w:val="20"/>
                <w:szCs w:val="20"/>
              </w:rPr>
              <w:t>1: At or Above Baseline</w:t>
            </w:r>
          </w:p>
          <w:p w14:paraId="1838559B" w14:textId="7888991E" w:rsidR="00843638" w:rsidRPr="00AC5F43" w:rsidRDefault="00843638" w:rsidP="00AC5F43">
            <w:pPr>
              <w:rPr>
                <w:rFonts w:ascii="Times New Roman" w:hAnsi="Times New Roman" w:cs="Times New Roman"/>
                <w:sz w:val="20"/>
                <w:szCs w:val="20"/>
              </w:rPr>
            </w:pPr>
            <w:r w:rsidRPr="00AC5F43">
              <w:rPr>
                <w:rFonts w:ascii="Times New Roman" w:hAnsi="Times New Roman" w:cs="Times New Roman"/>
                <w:sz w:val="20"/>
                <w:szCs w:val="20"/>
              </w:rPr>
              <w:t>9: Invalid</w:t>
            </w:r>
          </w:p>
        </w:tc>
      </w:tr>
      <w:tr w:rsidR="00AF439F" w:rsidRPr="00AC5F43" w14:paraId="496E1865" w14:textId="77777777" w:rsidTr="0090789A">
        <w:trPr>
          <w:trHeight w:val="595"/>
          <w:jc w:val="center"/>
        </w:trPr>
        <w:tc>
          <w:tcPr>
            <w:tcW w:w="2122" w:type="dxa"/>
          </w:tcPr>
          <w:p w14:paraId="536FFA89" w14:textId="744F7E7C" w:rsidR="00AF439F" w:rsidRPr="00AC5F43" w:rsidRDefault="00AF439F" w:rsidP="00AC5F43">
            <w:pPr>
              <w:rPr>
                <w:rFonts w:ascii="Times New Roman" w:hAnsi="Times New Roman" w:cs="Times New Roman"/>
                <w:sz w:val="20"/>
                <w:szCs w:val="20"/>
              </w:rPr>
            </w:pPr>
            <w:r w:rsidRPr="00AC5F43">
              <w:rPr>
                <w:rFonts w:ascii="Times New Roman" w:hAnsi="Times New Roman" w:cs="Times New Roman"/>
                <w:sz w:val="20"/>
                <w:szCs w:val="20"/>
              </w:rPr>
              <w:t>Local Area Geographic Classification</w:t>
            </w:r>
          </w:p>
        </w:tc>
        <w:tc>
          <w:tcPr>
            <w:tcW w:w="1417" w:type="dxa"/>
          </w:tcPr>
          <w:p w14:paraId="09EB2F6B" w14:textId="01D524E6" w:rsidR="00AF439F" w:rsidRPr="00AC5F43" w:rsidRDefault="001B5D77" w:rsidP="00AC5F43">
            <w:pPr>
              <w:rPr>
                <w:rFonts w:ascii="Times New Roman" w:hAnsi="Times New Roman" w:cs="Times New Roman"/>
                <w:sz w:val="20"/>
                <w:szCs w:val="20"/>
              </w:rPr>
            </w:pPr>
            <w:proofErr w:type="spellStart"/>
            <w:r w:rsidRPr="00AC5F43">
              <w:rPr>
                <w:rFonts w:ascii="Times New Roman" w:hAnsi="Times New Roman" w:cs="Times New Roman"/>
                <w:sz w:val="20"/>
                <w:szCs w:val="20"/>
              </w:rPr>
              <w:t>geoclass</w:t>
            </w:r>
            <w:proofErr w:type="spellEnd"/>
          </w:p>
        </w:tc>
        <w:tc>
          <w:tcPr>
            <w:tcW w:w="2268" w:type="dxa"/>
          </w:tcPr>
          <w:p w14:paraId="1E86C097" w14:textId="1FCE6D9C" w:rsidR="00AF439F" w:rsidRPr="00AC5F43" w:rsidRDefault="00334841" w:rsidP="00AC5F43">
            <w:pPr>
              <w:rPr>
                <w:rFonts w:ascii="Times New Roman" w:hAnsi="Times New Roman" w:cs="Times New Roman"/>
                <w:sz w:val="20"/>
                <w:szCs w:val="20"/>
              </w:rPr>
            </w:pPr>
            <w:r>
              <w:rPr>
                <w:rFonts w:ascii="Times New Roman" w:hAnsi="Times New Roman" w:cs="Times New Roman"/>
                <w:sz w:val="20"/>
                <w:szCs w:val="20"/>
              </w:rPr>
              <w:t>Nominal</w:t>
            </w:r>
            <w:r w:rsidR="008414BE" w:rsidRPr="00AC5F43">
              <w:rPr>
                <w:rFonts w:ascii="Times New Roman" w:hAnsi="Times New Roman" w:cs="Times New Roman"/>
                <w:sz w:val="20"/>
                <w:szCs w:val="20"/>
              </w:rPr>
              <w:t xml:space="preserve"> (String)</w:t>
            </w:r>
          </w:p>
        </w:tc>
        <w:tc>
          <w:tcPr>
            <w:tcW w:w="5528" w:type="dxa"/>
          </w:tcPr>
          <w:p w14:paraId="6879818B" w14:textId="77777777" w:rsidR="00AF439F" w:rsidRDefault="00BD5072" w:rsidP="00AC5F43">
            <w:pPr>
              <w:rPr>
                <w:rFonts w:ascii="Times New Roman" w:hAnsi="Times New Roman" w:cs="Times New Roman"/>
                <w:sz w:val="20"/>
                <w:szCs w:val="20"/>
              </w:rPr>
            </w:pPr>
            <w:r>
              <w:rPr>
                <w:rFonts w:ascii="Times New Roman" w:hAnsi="Times New Roman" w:cs="Times New Roman"/>
                <w:sz w:val="20"/>
                <w:szCs w:val="20"/>
              </w:rPr>
              <w:t>Classification of rurality or urban locational characteristics</w:t>
            </w:r>
            <w:r w:rsidR="00537E1C">
              <w:rPr>
                <w:rFonts w:ascii="Times New Roman" w:hAnsi="Times New Roman" w:cs="Times New Roman"/>
                <w:sz w:val="20"/>
                <w:szCs w:val="20"/>
              </w:rPr>
              <w:t>, based on UK Government information</w:t>
            </w:r>
            <w:r>
              <w:rPr>
                <w:rFonts w:ascii="Times New Roman" w:hAnsi="Times New Roman" w:cs="Times New Roman"/>
                <w:sz w:val="20"/>
                <w:szCs w:val="20"/>
              </w:rPr>
              <w:t>.</w:t>
            </w:r>
          </w:p>
          <w:p w14:paraId="7619F6DF" w14:textId="77777777" w:rsidR="0090789A" w:rsidRDefault="0090789A" w:rsidP="00AC5F43">
            <w:pPr>
              <w:rPr>
                <w:rFonts w:ascii="Times New Roman" w:hAnsi="Times New Roman" w:cs="Times New Roman"/>
                <w:sz w:val="20"/>
                <w:szCs w:val="20"/>
              </w:rPr>
            </w:pPr>
          </w:p>
          <w:p w14:paraId="49B8040F" w14:textId="77777777" w:rsidR="0090789A" w:rsidRDefault="0090789A" w:rsidP="00AC5F43">
            <w:pPr>
              <w:rPr>
                <w:rFonts w:ascii="Times New Roman" w:hAnsi="Times New Roman" w:cs="Times New Roman"/>
                <w:sz w:val="20"/>
                <w:szCs w:val="20"/>
              </w:rPr>
            </w:pPr>
          </w:p>
          <w:p w14:paraId="3297147B" w14:textId="76D4246F" w:rsidR="0090789A" w:rsidRPr="00AC5F43" w:rsidRDefault="0090789A" w:rsidP="00AC5F43">
            <w:pPr>
              <w:rPr>
                <w:rFonts w:ascii="Times New Roman" w:hAnsi="Times New Roman" w:cs="Times New Roman"/>
                <w:sz w:val="20"/>
                <w:szCs w:val="20"/>
              </w:rPr>
            </w:pPr>
          </w:p>
        </w:tc>
        <w:tc>
          <w:tcPr>
            <w:tcW w:w="2437" w:type="dxa"/>
          </w:tcPr>
          <w:p w14:paraId="68F9924A" w14:textId="2D9C0C32" w:rsidR="00843638" w:rsidRPr="00AC5F43" w:rsidRDefault="00843638" w:rsidP="00AC5F43">
            <w:pPr>
              <w:rPr>
                <w:rFonts w:ascii="Times New Roman" w:hAnsi="Times New Roman" w:cs="Times New Roman"/>
                <w:sz w:val="20"/>
                <w:szCs w:val="20"/>
              </w:rPr>
            </w:pPr>
            <w:r w:rsidRPr="00AC5F43">
              <w:rPr>
                <w:rFonts w:ascii="Times New Roman" w:hAnsi="Times New Roman" w:cs="Times New Roman"/>
                <w:sz w:val="20"/>
                <w:szCs w:val="20"/>
              </w:rPr>
              <w:t>Urban with Minor Conurbation</w:t>
            </w:r>
            <w:r w:rsidR="005F43E0">
              <w:rPr>
                <w:rFonts w:ascii="Times New Roman" w:hAnsi="Times New Roman" w:cs="Times New Roman"/>
                <w:sz w:val="20"/>
                <w:szCs w:val="20"/>
              </w:rPr>
              <w:t>;</w:t>
            </w:r>
            <w:r w:rsidRPr="00AC5F43">
              <w:rPr>
                <w:rFonts w:ascii="Times New Roman" w:hAnsi="Times New Roman" w:cs="Times New Roman"/>
                <w:sz w:val="20"/>
                <w:szCs w:val="20"/>
              </w:rPr>
              <w:t xml:space="preserve"> Urban with City and Town</w:t>
            </w:r>
            <w:r w:rsidR="005F43E0">
              <w:rPr>
                <w:rFonts w:ascii="Times New Roman" w:hAnsi="Times New Roman" w:cs="Times New Roman"/>
                <w:sz w:val="20"/>
                <w:szCs w:val="20"/>
              </w:rPr>
              <w:t>;</w:t>
            </w:r>
            <w:r w:rsidRPr="00AC5F43">
              <w:rPr>
                <w:rFonts w:ascii="Times New Roman" w:hAnsi="Times New Roman" w:cs="Times New Roman"/>
                <w:sz w:val="20"/>
                <w:szCs w:val="20"/>
              </w:rPr>
              <w:t xml:space="preserve"> Mainly Rural</w:t>
            </w:r>
            <w:r w:rsidR="005F43E0">
              <w:rPr>
                <w:rFonts w:ascii="Times New Roman" w:hAnsi="Times New Roman" w:cs="Times New Roman"/>
                <w:sz w:val="20"/>
                <w:szCs w:val="20"/>
              </w:rPr>
              <w:t>;</w:t>
            </w:r>
            <w:r w:rsidRPr="00AC5F43">
              <w:rPr>
                <w:rFonts w:ascii="Times New Roman" w:hAnsi="Times New Roman" w:cs="Times New Roman"/>
                <w:sz w:val="20"/>
                <w:szCs w:val="20"/>
              </w:rPr>
              <w:t xml:space="preserve"> Undefined</w:t>
            </w:r>
          </w:p>
        </w:tc>
      </w:tr>
      <w:tr w:rsidR="00AF439F" w:rsidRPr="00AC5F43" w14:paraId="457D117A" w14:textId="77777777" w:rsidTr="0090789A">
        <w:trPr>
          <w:trHeight w:val="143"/>
          <w:jc w:val="center"/>
        </w:trPr>
        <w:tc>
          <w:tcPr>
            <w:tcW w:w="2122" w:type="dxa"/>
          </w:tcPr>
          <w:p w14:paraId="1FAAA9AB" w14:textId="6E6F7CAF" w:rsidR="00AF439F" w:rsidRPr="00AC5F43" w:rsidRDefault="00AF439F" w:rsidP="00AC5F43">
            <w:pPr>
              <w:rPr>
                <w:rFonts w:ascii="Times New Roman" w:hAnsi="Times New Roman" w:cs="Times New Roman"/>
                <w:sz w:val="20"/>
                <w:szCs w:val="20"/>
              </w:rPr>
            </w:pPr>
            <w:r w:rsidRPr="00AC5F43">
              <w:rPr>
                <w:rFonts w:ascii="Times New Roman" w:hAnsi="Times New Roman" w:cs="Times New Roman"/>
                <w:sz w:val="20"/>
                <w:szCs w:val="20"/>
              </w:rPr>
              <w:t>Local Area Geographic Classification (Binary Measure)</w:t>
            </w:r>
          </w:p>
        </w:tc>
        <w:tc>
          <w:tcPr>
            <w:tcW w:w="1417" w:type="dxa"/>
          </w:tcPr>
          <w:p w14:paraId="713BC9D4" w14:textId="48E56ED1" w:rsidR="00AF439F" w:rsidRPr="00AC5F43" w:rsidRDefault="001B5D77" w:rsidP="00AC5F43">
            <w:pPr>
              <w:rPr>
                <w:rFonts w:ascii="Times New Roman" w:hAnsi="Times New Roman" w:cs="Times New Roman"/>
                <w:sz w:val="20"/>
                <w:szCs w:val="20"/>
              </w:rPr>
            </w:pPr>
            <w:proofErr w:type="spellStart"/>
            <w:r w:rsidRPr="00AC5F43">
              <w:rPr>
                <w:rFonts w:ascii="Times New Roman" w:hAnsi="Times New Roman" w:cs="Times New Roman"/>
                <w:sz w:val="20"/>
                <w:szCs w:val="20"/>
              </w:rPr>
              <w:t>geoclassbin</w:t>
            </w:r>
            <w:proofErr w:type="spellEnd"/>
          </w:p>
        </w:tc>
        <w:tc>
          <w:tcPr>
            <w:tcW w:w="2268" w:type="dxa"/>
          </w:tcPr>
          <w:p w14:paraId="1DBAB983" w14:textId="23B7738F" w:rsidR="00AF439F" w:rsidRPr="00AC5F43" w:rsidRDefault="00AE03E8" w:rsidP="00AC5F43">
            <w:pPr>
              <w:rPr>
                <w:rFonts w:ascii="Times New Roman" w:hAnsi="Times New Roman" w:cs="Times New Roman"/>
                <w:sz w:val="20"/>
                <w:szCs w:val="20"/>
              </w:rPr>
            </w:pPr>
            <w:r>
              <w:rPr>
                <w:rFonts w:ascii="Times New Roman" w:hAnsi="Times New Roman" w:cs="Times New Roman"/>
                <w:sz w:val="20"/>
                <w:szCs w:val="20"/>
              </w:rPr>
              <w:t>Binary (numeric)</w:t>
            </w:r>
          </w:p>
        </w:tc>
        <w:tc>
          <w:tcPr>
            <w:tcW w:w="5528" w:type="dxa"/>
          </w:tcPr>
          <w:p w14:paraId="340FF31F" w14:textId="77777777" w:rsidR="00AF439F" w:rsidRDefault="00BD5072" w:rsidP="00AC5F43">
            <w:pPr>
              <w:rPr>
                <w:rFonts w:ascii="Times New Roman" w:hAnsi="Times New Roman" w:cs="Times New Roman"/>
                <w:sz w:val="20"/>
                <w:szCs w:val="20"/>
              </w:rPr>
            </w:pPr>
            <w:r>
              <w:rPr>
                <w:rFonts w:ascii="Times New Roman" w:hAnsi="Times New Roman" w:cs="Times New Roman"/>
                <w:sz w:val="20"/>
                <w:szCs w:val="20"/>
              </w:rPr>
              <w:t>A re-organisation of rural-urban classification data.</w:t>
            </w:r>
          </w:p>
          <w:p w14:paraId="7D2A0580" w14:textId="77777777" w:rsidR="0090789A" w:rsidRDefault="0090789A" w:rsidP="00AC5F43">
            <w:pPr>
              <w:rPr>
                <w:rFonts w:ascii="Times New Roman" w:hAnsi="Times New Roman" w:cs="Times New Roman"/>
                <w:sz w:val="20"/>
                <w:szCs w:val="20"/>
              </w:rPr>
            </w:pPr>
          </w:p>
          <w:p w14:paraId="452479A6" w14:textId="77777777" w:rsidR="0090789A" w:rsidRDefault="0090789A" w:rsidP="00AC5F43">
            <w:pPr>
              <w:rPr>
                <w:rFonts w:ascii="Times New Roman" w:hAnsi="Times New Roman" w:cs="Times New Roman"/>
                <w:sz w:val="20"/>
                <w:szCs w:val="20"/>
              </w:rPr>
            </w:pPr>
          </w:p>
          <w:p w14:paraId="1F6B94DC" w14:textId="09CCA8AD" w:rsidR="0090789A" w:rsidRPr="00AC5F43" w:rsidRDefault="0090789A" w:rsidP="00AC5F43">
            <w:pPr>
              <w:rPr>
                <w:rFonts w:ascii="Times New Roman" w:hAnsi="Times New Roman" w:cs="Times New Roman"/>
                <w:sz w:val="20"/>
                <w:szCs w:val="20"/>
              </w:rPr>
            </w:pPr>
          </w:p>
        </w:tc>
        <w:tc>
          <w:tcPr>
            <w:tcW w:w="2437" w:type="dxa"/>
          </w:tcPr>
          <w:p w14:paraId="586F7477" w14:textId="16FE5FAB" w:rsidR="00AF439F" w:rsidRPr="00AC5F43" w:rsidRDefault="00843638" w:rsidP="00AC5F43">
            <w:pPr>
              <w:rPr>
                <w:rFonts w:ascii="Times New Roman" w:hAnsi="Times New Roman" w:cs="Times New Roman"/>
                <w:sz w:val="20"/>
                <w:szCs w:val="20"/>
              </w:rPr>
            </w:pPr>
            <w:r w:rsidRPr="00AC5F43">
              <w:rPr>
                <w:rFonts w:ascii="Times New Roman" w:hAnsi="Times New Roman" w:cs="Times New Roman"/>
                <w:sz w:val="20"/>
                <w:szCs w:val="20"/>
              </w:rPr>
              <w:t>0: Urban</w:t>
            </w:r>
          </w:p>
          <w:p w14:paraId="19B3787D" w14:textId="77777777" w:rsidR="00843638" w:rsidRPr="00AC5F43" w:rsidRDefault="00843638" w:rsidP="00AC5F43">
            <w:pPr>
              <w:rPr>
                <w:rFonts w:ascii="Times New Roman" w:hAnsi="Times New Roman" w:cs="Times New Roman"/>
                <w:sz w:val="20"/>
                <w:szCs w:val="20"/>
              </w:rPr>
            </w:pPr>
            <w:r w:rsidRPr="00AC5F43">
              <w:rPr>
                <w:rFonts w:ascii="Times New Roman" w:hAnsi="Times New Roman" w:cs="Times New Roman"/>
                <w:sz w:val="20"/>
                <w:szCs w:val="20"/>
              </w:rPr>
              <w:t>1: Rural</w:t>
            </w:r>
          </w:p>
          <w:p w14:paraId="7D3A6D39" w14:textId="249595E9" w:rsidR="00843638" w:rsidRPr="00AC5F43" w:rsidRDefault="00843638" w:rsidP="00AC5F43">
            <w:pPr>
              <w:rPr>
                <w:rFonts w:ascii="Times New Roman" w:hAnsi="Times New Roman" w:cs="Times New Roman"/>
                <w:sz w:val="20"/>
                <w:szCs w:val="20"/>
              </w:rPr>
            </w:pPr>
            <w:r w:rsidRPr="00AC5F43">
              <w:rPr>
                <w:rFonts w:ascii="Times New Roman" w:hAnsi="Times New Roman" w:cs="Times New Roman"/>
                <w:sz w:val="20"/>
                <w:szCs w:val="20"/>
              </w:rPr>
              <w:t>9: Invalid</w:t>
            </w:r>
          </w:p>
        </w:tc>
      </w:tr>
      <w:tr w:rsidR="00AF439F" w:rsidRPr="00AC5F43" w14:paraId="78BB76E8" w14:textId="77777777" w:rsidTr="008D483E">
        <w:trPr>
          <w:trHeight w:val="144"/>
          <w:jc w:val="center"/>
        </w:trPr>
        <w:tc>
          <w:tcPr>
            <w:tcW w:w="2122" w:type="dxa"/>
          </w:tcPr>
          <w:p w14:paraId="6A145334" w14:textId="25E2F755" w:rsidR="00AF439F" w:rsidRPr="00AC5F43" w:rsidRDefault="00AF439F" w:rsidP="00AC5F43">
            <w:pPr>
              <w:rPr>
                <w:rFonts w:ascii="Times New Roman" w:hAnsi="Times New Roman" w:cs="Times New Roman"/>
                <w:sz w:val="20"/>
                <w:szCs w:val="20"/>
              </w:rPr>
            </w:pPr>
            <w:r w:rsidRPr="00AC5F43">
              <w:rPr>
                <w:rFonts w:ascii="Times New Roman" w:hAnsi="Times New Roman" w:cs="Times New Roman"/>
                <w:sz w:val="20"/>
                <w:szCs w:val="20"/>
              </w:rPr>
              <w:t>Local Authority Structure</w:t>
            </w:r>
          </w:p>
        </w:tc>
        <w:tc>
          <w:tcPr>
            <w:tcW w:w="1417" w:type="dxa"/>
          </w:tcPr>
          <w:p w14:paraId="28C8E296" w14:textId="2DF858CF" w:rsidR="00AF439F" w:rsidRPr="00AC5F43" w:rsidRDefault="001B5D77" w:rsidP="00AC5F43">
            <w:pPr>
              <w:rPr>
                <w:rFonts w:ascii="Times New Roman" w:hAnsi="Times New Roman" w:cs="Times New Roman"/>
                <w:sz w:val="20"/>
                <w:szCs w:val="20"/>
              </w:rPr>
            </w:pPr>
            <w:proofErr w:type="spellStart"/>
            <w:r w:rsidRPr="00AC5F43">
              <w:rPr>
                <w:rFonts w:ascii="Times New Roman" w:hAnsi="Times New Roman" w:cs="Times New Roman"/>
                <w:sz w:val="20"/>
                <w:szCs w:val="20"/>
              </w:rPr>
              <w:t>latype</w:t>
            </w:r>
            <w:proofErr w:type="spellEnd"/>
          </w:p>
        </w:tc>
        <w:tc>
          <w:tcPr>
            <w:tcW w:w="2268" w:type="dxa"/>
          </w:tcPr>
          <w:p w14:paraId="3DA94F29" w14:textId="630DD2B5" w:rsidR="00AF439F" w:rsidRPr="00AC5F43" w:rsidRDefault="00AE03E8" w:rsidP="00AC5F43">
            <w:pPr>
              <w:rPr>
                <w:rFonts w:ascii="Times New Roman" w:hAnsi="Times New Roman" w:cs="Times New Roman"/>
                <w:sz w:val="20"/>
                <w:szCs w:val="20"/>
              </w:rPr>
            </w:pPr>
            <w:r>
              <w:rPr>
                <w:rFonts w:ascii="Times New Roman" w:hAnsi="Times New Roman" w:cs="Times New Roman"/>
                <w:sz w:val="20"/>
                <w:szCs w:val="20"/>
              </w:rPr>
              <w:t>Nominal</w:t>
            </w:r>
            <w:r w:rsidR="008414BE" w:rsidRPr="00AC5F43">
              <w:rPr>
                <w:rFonts w:ascii="Times New Roman" w:hAnsi="Times New Roman" w:cs="Times New Roman"/>
                <w:sz w:val="20"/>
                <w:szCs w:val="20"/>
              </w:rPr>
              <w:t xml:space="preserve"> (String)</w:t>
            </w:r>
          </w:p>
        </w:tc>
        <w:tc>
          <w:tcPr>
            <w:tcW w:w="5528" w:type="dxa"/>
          </w:tcPr>
          <w:p w14:paraId="10EA7E24" w14:textId="77777777" w:rsidR="00AF439F" w:rsidRDefault="00537E1C" w:rsidP="00AC5F43">
            <w:pPr>
              <w:rPr>
                <w:rFonts w:ascii="Times New Roman" w:hAnsi="Times New Roman" w:cs="Times New Roman"/>
                <w:sz w:val="20"/>
                <w:szCs w:val="20"/>
              </w:rPr>
            </w:pPr>
            <w:r>
              <w:rPr>
                <w:rFonts w:ascii="Times New Roman" w:hAnsi="Times New Roman" w:cs="Times New Roman"/>
                <w:sz w:val="20"/>
                <w:szCs w:val="20"/>
              </w:rPr>
              <w:t>The organisational structure of local authorities.</w:t>
            </w:r>
          </w:p>
          <w:p w14:paraId="09BB1B83" w14:textId="77777777" w:rsidR="0090789A" w:rsidRDefault="0090789A" w:rsidP="00AC5F43">
            <w:pPr>
              <w:rPr>
                <w:rFonts w:ascii="Times New Roman" w:hAnsi="Times New Roman" w:cs="Times New Roman"/>
                <w:sz w:val="20"/>
                <w:szCs w:val="20"/>
              </w:rPr>
            </w:pPr>
          </w:p>
          <w:p w14:paraId="2D889A41" w14:textId="77777777" w:rsidR="0090789A" w:rsidRDefault="0090789A" w:rsidP="00AC5F43">
            <w:pPr>
              <w:rPr>
                <w:rFonts w:ascii="Times New Roman" w:hAnsi="Times New Roman" w:cs="Times New Roman"/>
                <w:sz w:val="20"/>
                <w:szCs w:val="20"/>
              </w:rPr>
            </w:pPr>
          </w:p>
          <w:p w14:paraId="234EBA5A" w14:textId="689391E7" w:rsidR="0090789A" w:rsidRPr="00AC5F43" w:rsidRDefault="0090789A" w:rsidP="00AC5F43">
            <w:pPr>
              <w:rPr>
                <w:rFonts w:ascii="Times New Roman" w:hAnsi="Times New Roman" w:cs="Times New Roman"/>
                <w:sz w:val="20"/>
                <w:szCs w:val="20"/>
              </w:rPr>
            </w:pPr>
          </w:p>
        </w:tc>
        <w:tc>
          <w:tcPr>
            <w:tcW w:w="2437" w:type="dxa"/>
          </w:tcPr>
          <w:p w14:paraId="1E4FDC19" w14:textId="3CF3F917" w:rsidR="00843638" w:rsidRPr="00AC5F43" w:rsidRDefault="00843638" w:rsidP="00AC5F43">
            <w:pPr>
              <w:rPr>
                <w:rFonts w:ascii="Times New Roman" w:hAnsi="Times New Roman" w:cs="Times New Roman"/>
                <w:sz w:val="20"/>
                <w:szCs w:val="20"/>
              </w:rPr>
            </w:pPr>
            <w:r w:rsidRPr="00AC5F43">
              <w:rPr>
                <w:rFonts w:ascii="Times New Roman" w:hAnsi="Times New Roman" w:cs="Times New Roman"/>
                <w:sz w:val="20"/>
                <w:szCs w:val="20"/>
              </w:rPr>
              <w:t>County Council</w:t>
            </w:r>
            <w:r w:rsidR="005F43E0">
              <w:rPr>
                <w:rFonts w:ascii="Times New Roman" w:hAnsi="Times New Roman" w:cs="Times New Roman"/>
                <w:sz w:val="20"/>
                <w:szCs w:val="20"/>
              </w:rPr>
              <w:t xml:space="preserve">; </w:t>
            </w:r>
            <w:r w:rsidRPr="00AC5F43">
              <w:rPr>
                <w:rFonts w:ascii="Times New Roman" w:hAnsi="Times New Roman" w:cs="Times New Roman"/>
                <w:sz w:val="20"/>
                <w:szCs w:val="20"/>
              </w:rPr>
              <w:t>Metropolitan Borough Council</w:t>
            </w:r>
            <w:r w:rsidR="005F43E0">
              <w:rPr>
                <w:rFonts w:ascii="Times New Roman" w:hAnsi="Times New Roman" w:cs="Times New Roman"/>
                <w:sz w:val="20"/>
                <w:szCs w:val="20"/>
              </w:rPr>
              <w:t>;</w:t>
            </w:r>
            <w:r w:rsidRPr="00AC5F43">
              <w:rPr>
                <w:rFonts w:ascii="Times New Roman" w:hAnsi="Times New Roman" w:cs="Times New Roman"/>
                <w:sz w:val="20"/>
                <w:szCs w:val="20"/>
              </w:rPr>
              <w:t xml:space="preserve"> Undefined</w:t>
            </w:r>
          </w:p>
        </w:tc>
      </w:tr>
      <w:tr w:rsidR="00843638" w:rsidRPr="00AC5F43" w14:paraId="0F373DC8" w14:textId="77777777" w:rsidTr="0090789A">
        <w:trPr>
          <w:trHeight w:val="58"/>
          <w:jc w:val="center"/>
        </w:trPr>
        <w:tc>
          <w:tcPr>
            <w:tcW w:w="2122" w:type="dxa"/>
          </w:tcPr>
          <w:p w14:paraId="4ACD9B97" w14:textId="72D6AD2A" w:rsidR="00843638" w:rsidRPr="00AC5F43" w:rsidRDefault="00843638" w:rsidP="00AC5F43">
            <w:pPr>
              <w:rPr>
                <w:rFonts w:ascii="Times New Roman" w:hAnsi="Times New Roman" w:cs="Times New Roman"/>
                <w:sz w:val="20"/>
                <w:szCs w:val="20"/>
              </w:rPr>
            </w:pPr>
            <w:r w:rsidRPr="00AC5F43">
              <w:rPr>
                <w:rFonts w:ascii="Times New Roman" w:hAnsi="Times New Roman" w:cs="Times New Roman"/>
                <w:sz w:val="20"/>
                <w:szCs w:val="20"/>
              </w:rPr>
              <w:t>Local Authority Structure (Binary)</w:t>
            </w:r>
          </w:p>
        </w:tc>
        <w:tc>
          <w:tcPr>
            <w:tcW w:w="1417" w:type="dxa"/>
          </w:tcPr>
          <w:p w14:paraId="4CD6CCB1" w14:textId="4A10FE30" w:rsidR="00843638" w:rsidRPr="00AC5F43" w:rsidRDefault="00843638" w:rsidP="00AC5F43">
            <w:pPr>
              <w:rPr>
                <w:rFonts w:ascii="Times New Roman" w:hAnsi="Times New Roman" w:cs="Times New Roman"/>
                <w:sz w:val="20"/>
                <w:szCs w:val="20"/>
              </w:rPr>
            </w:pPr>
            <w:proofErr w:type="spellStart"/>
            <w:r w:rsidRPr="00AC5F43">
              <w:rPr>
                <w:rFonts w:ascii="Times New Roman" w:hAnsi="Times New Roman" w:cs="Times New Roman"/>
                <w:sz w:val="20"/>
                <w:szCs w:val="20"/>
              </w:rPr>
              <w:t>latypebin</w:t>
            </w:r>
            <w:proofErr w:type="spellEnd"/>
          </w:p>
        </w:tc>
        <w:tc>
          <w:tcPr>
            <w:tcW w:w="2268" w:type="dxa"/>
          </w:tcPr>
          <w:p w14:paraId="67777E29" w14:textId="62A558B5" w:rsidR="00843638" w:rsidRPr="00AC5F43" w:rsidRDefault="00AE03E8" w:rsidP="00AC5F43">
            <w:pPr>
              <w:rPr>
                <w:rFonts w:ascii="Times New Roman" w:hAnsi="Times New Roman" w:cs="Times New Roman"/>
                <w:sz w:val="20"/>
                <w:szCs w:val="20"/>
              </w:rPr>
            </w:pPr>
            <w:r>
              <w:rPr>
                <w:rFonts w:ascii="Times New Roman" w:hAnsi="Times New Roman" w:cs="Times New Roman"/>
                <w:sz w:val="20"/>
                <w:szCs w:val="20"/>
              </w:rPr>
              <w:t>Binary (Numeric)</w:t>
            </w:r>
          </w:p>
        </w:tc>
        <w:tc>
          <w:tcPr>
            <w:tcW w:w="5528" w:type="dxa"/>
          </w:tcPr>
          <w:p w14:paraId="27DEF395" w14:textId="77777777" w:rsidR="00843638" w:rsidRDefault="00537E1C" w:rsidP="00AC5F43">
            <w:pPr>
              <w:rPr>
                <w:rFonts w:ascii="Times New Roman" w:hAnsi="Times New Roman" w:cs="Times New Roman"/>
                <w:sz w:val="20"/>
                <w:szCs w:val="20"/>
              </w:rPr>
            </w:pPr>
            <w:r>
              <w:rPr>
                <w:rFonts w:ascii="Times New Roman" w:hAnsi="Times New Roman" w:cs="Times New Roman"/>
                <w:sz w:val="20"/>
                <w:szCs w:val="20"/>
              </w:rPr>
              <w:t>Local authority structures re-organised into a binary measure.</w:t>
            </w:r>
          </w:p>
          <w:p w14:paraId="61ED78DA" w14:textId="77777777" w:rsidR="0090789A" w:rsidRDefault="0090789A" w:rsidP="00AC5F43">
            <w:pPr>
              <w:rPr>
                <w:rFonts w:ascii="Times New Roman" w:hAnsi="Times New Roman" w:cs="Times New Roman"/>
                <w:sz w:val="20"/>
                <w:szCs w:val="20"/>
              </w:rPr>
            </w:pPr>
          </w:p>
          <w:p w14:paraId="7E237D1B" w14:textId="77777777" w:rsidR="0090789A" w:rsidRDefault="0090789A" w:rsidP="00AC5F43">
            <w:pPr>
              <w:rPr>
                <w:rFonts w:ascii="Times New Roman" w:hAnsi="Times New Roman" w:cs="Times New Roman"/>
                <w:sz w:val="20"/>
                <w:szCs w:val="20"/>
              </w:rPr>
            </w:pPr>
          </w:p>
          <w:p w14:paraId="74FC6A90" w14:textId="77777777" w:rsidR="0090789A" w:rsidRDefault="0090789A" w:rsidP="00AC5F43">
            <w:pPr>
              <w:rPr>
                <w:rFonts w:ascii="Times New Roman" w:hAnsi="Times New Roman" w:cs="Times New Roman"/>
                <w:sz w:val="20"/>
                <w:szCs w:val="20"/>
              </w:rPr>
            </w:pPr>
          </w:p>
          <w:p w14:paraId="6E2FDF41" w14:textId="65AB7BBA" w:rsidR="0090789A" w:rsidRPr="00AC5F43" w:rsidRDefault="0090789A" w:rsidP="00AC5F43">
            <w:pPr>
              <w:rPr>
                <w:rFonts w:ascii="Times New Roman" w:hAnsi="Times New Roman" w:cs="Times New Roman"/>
                <w:sz w:val="20"/>
                <w:szCs w:val="20"/>
              </w:rPr>
            </w:pPr>
          </w:p>
        </w:tc>
        <w:tc>
          <w:tcPr>
            <w:tcW w:w="2437" w:type="dxa"/>
          </w:tcPr>
          <w:p w14:paraId="75EBBD28" w14:textId="77777777" w:rsidR="00843638" w:rsidRPr="00AC5F43" w:rsidRDefault="00843638" w:rsidP="00AC5F43">
            <w:pPr>
              <w:rPr>
                <w:rFonts w:ascii="Times New Roman" w:hAnsi="Times New Roman" w:cs="Times New Roman"/>
                <w:sz w:val="20"/>
                <w:szCs w:val="20"/>
              </w:rPr>
            </w:pPr>
            <w:r w:rsidRPr="00AC5F43">
              <w:rPr>
                <w:rFonts w:ascii="Times New Roman" w:hAnsi="Times New Roman" w:cs="Times New Roman"/>
                <w:sz w:val="20"/>
                <w:szCs w:val="20"/>
              </w:rPr>
              <w:t>0: County Council</w:t>
            </w:r>
          </w:p>
          <w:p w14:paraId="6FC49B71" w14:textId="77777777" w:rsidR="00843638" w:rsidRPr="00AC5F43" w:rsidRDefault="00843638" w:rsidP="00AC5F43">
            <w:pPr>
              <w:rPr>
                <w:rFonts w:ascii="Times New Roman" w:hAnsi="Times New Roman" w:cs="Times New Roman"/>
                <w:sz w:val="20"/>
                <w:szCs w:val="20"/>
              </w:rPr>
            </w:pPr>
            <w:r w:rsidRPr="00AC5F43">
              <w:rPr>
                <w:rFonts w:ascii="Times New Roman" w:hAnsi="Times New Roman" w:cs="Times New Roman"/>
                <w:sz w:val="20"/>
                <w:szCs w:val="20"/>
              </w:rPr>
              <w:t>1: Metropolitan Borough Council</w:t>
            </w:r>
          </w:p>
          <w:p w14:paraId="3D94C430" w14:textId="0F04E5EB" w:rsidR="00843638" w:rsidRPr="00AC5F43" w:rsidRDefault="00843638" w:rsidP="00AC5F43">
            <w:pPr>
              <w:rPr>
                <w:rFonts w:ascii="Times New Roman" w:hAnsi="Times New Roman" w:cs="Times New Roman"/>
                <w:sz w:val="20"/>
                <w:szCs w:val="20"/>
              </w:rPr>
            </w:pPr>
            <w:r w:rsidRPr="00AC5F43">
              <w:rPr>
                <w:rFonts w:ascii="Times New Roman" w:hAnsi="Times New Roman" w:cs="Times New Roman"/>
                <w:sz w:val="20"/>
                <w:szCs w:val="20"/>
              </w:rPr>
              <w:t>9: Invalid</w:t>
            </w:r>
          </w:p>
        </w:tc>
      </w:tr>
    </w:tbl>
    <w:p w14:paraId="0CEEF984" w14:textId="77777777" w:rsidR="00AF439F" w:rsidRDefault="00AF439F" w:rsidP="00AF439F">
      <w:pPr>
        <w:jc w:val="both"/>
        <w:rPr>
          <w:rFonts w:ascii="Times New Roman" w:hAnsi="Times New Roman" w:cs="Times New Roman"/>
          <w:sz w:val="24"/>
          <w:szCs w:val="24"/>
        </w:rPr>
      </w:pPr>
    </w:p>
    <w:p w14:paraId="716657AB" w14:textId="77777777" w:rsidR="00AC5F43" w:rsidRDefault="00AC5F43" w:rsidP="00AF439F">
      <w:pPr>
        <w:jc w:val="both"/>
        <w:rPr>
          <w:rFonts w:ascii="Times New Roman" w:hAnsi="Times New Roman" w:cs="Times New Roman"/>
          <w:b/>
          <w:bCs/>
          <w:sz w:val="24"/>
          <w:szCs w:val="24"/>
        </w:rPr>
        <w:sectPr w:rsidR="00AC5F43" w:rsidSect="00AA683C">
          <w:pgSz w:w="16838" w:h="11906" w:orient="landscape"/>
          <w:pgMar w:top="1418" w:right="1418" w:bottom="1418" w:left="1418" w:header="709" w:footer="709" w:gutter="0"/>
          <w:cols w:space="708"/>
          <w:docGrid w:linePitch="360"/>
        </w:sectPr>
      </w:pPr>
    </w:p>
    <w:p w14:paraId="7FC4A77B" w14:textId="5CE1E191" w:rsidR="00AF439F" w:rsidRDefault="008B3B4D" w:rsidP="00AF439F">
      <w:pPr>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Supplementary </w:t>
      </w:r>
      <w:r w:rsidR="00AF439F">
        <w:rPr>
          <w:rFonts w:ascii="Times New Roman" w:hAnsi="Times New Roman" w:cs="Times New Roman"/>
          <w:b/>
          <w:bCs/>
          <w:sz w:val="24"/>
          <w:szCs w:val="24"/>
        </w:rPr>
        <w:t>Data Sources</w:t>
      </w:r>
    </w:p>
    <w:p w14:paraId="76839632" w14:textId="58B241B2" w:rsidR="00D10912" w:rsidRPr="00D10912" w:rsidRDefault="00D10912" w:rsidP="00AF439F">
      <w:pPr>
        <w:jc w:val="both"/>
        <w:rPr>
          <w:rFonts w:ascii="Times New Roman" w:hAnsi="Times New Roman" w:cs="Times New Roman"/>
          <w:i/>
          <w:iCs/>
          <w:sz w:val="24"/>
          <w:szCs w:val="24"/>
        </w:rPr>
      </w:pPr>
      <w:r w:rsidRPr="00D10912">
        <w:rPr>
          <w:rFonts w:ascii="Times New Roman" w:hAnsi="Times New Roman" w:cs="Times New Roman"/>
          <w:i/>
          <w:iCs/>
          <w:sz w:val="24"/>
          <w:szCs w:val="24"/>
        </w:rPr>
        <w:t>(See above table)</w:t>
      </w:r>
    </w:p>
    <w:p w14:paraId="45DDC088" w14:textId="1C3C0422" w:rsidR="00AF439F" w:rsidRPr="008B3B4D" w:rsidRDefault="008B3B4D" w:rsidP="00AF439F">
      <w:pPr>
        <w:jc w:val="both"/>
        <w:rPr>
          <w:rFonts w:ascii="Times New Roman" w:hAnsi="Times New Roman" w:cs="Times New Roman"/>
          <w:sz w:val="24"/>
          <w:szCs w:val="24"/>
        </w:rPr>
      </w:pPr>
      <w:r>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Pr="008B3B4D">
        <w:rPr>
          <w:rFonts w:ascii="Times New Roman" w:hAnsi="Times New Roman" w:cs="Times New Roman"/>
          <w:sz w:val="24"/>
          <w:szCs w:val="24"/>
        </w:rPr>
        <w:t>Garland, J</w:t>
      </w:r>
      <w:r>
        <w:rPr>
          <w:rFonts w:ascii="Times New Roman" w:hAnsi="Times New Roman" w:cs="Times New Roman"/>
          <w:sz w:val="24"/>
          <w:szCs w:val="24"/>
        </w:rPr>
        <w:t>.</w:t>
      </w:r>
      <w:r w:rsidRPr="008B3B4D">
        <w:rPr>
          <w:rFonts w:ascii="Times New Roman" w:hAnsi="Times New Roman" w:cs="Times New Roman"/>
          <w:sz w:val="24"/>
          <w:szCs w:val="24"/>
        </w:rPr>
        <w:t xml:space="preserve">, Saunders, </w:t>
      </w:r>
      <w:r>
        <w:rPr>
          <w:rFonts w:ascii="Times New Roman" w:hAnsi="Times New Roman" w:cs="Times New Roman"/>
          <w:sz w:val="24"/>
          <w:szCs w:val="24"/>
        </w:rPr>
        <w:t xml:space="preserve">C., </w:t>
      </w:r>
      <w:r w:rsidRPr="008B3B4D">
        <w:rPr>
          <w:rFonts w:ascii="Times New Roman" w:hAnsi="Times New Roman" w:cs="Times New Roman"/>
          <w:sz w:val="24"/>
          <w:szCs w:val="24"/>
        </w:rPr>
        <w:t xml:space="preserve">Olcese, </w:t>
      </w:r>
      <w:r>
        <w:rPr>
          <w:rFonts w:ascii="Times New Roman" w:hAnsi="Times New Roman" w:cs="Times New Roman"/>
          <w:sz w:val="24"/>
          <w:szCs w:val="24"/>
        </w:rPr>
        <w:t xml:space="preserve">C. </w:t>
      </w:r>
      <w:r w:rsidRPr="008B3B4D">
        <w:rPr>
          <w:rFonts w:ascii="Times New Roman" w:hAnsi="Times New Roman" w:cs="Times New Roman"/>
          <w:sz w:val="24"/>
          <w:szCs w:val="24"/>
        </w:rPr>
        <w:t>and Tedesco</w:t>
      </w:r>
      <w:r>
        <w:rPr>
          <w:rFonts w:ascii="Times New Roman" w:hAnsi="Times New Roman" w:cs="Times New Roman"/>
          <w:sz w:val="24"/>
          <w:szCs w:val="24"/>
        </w:rPr>
        <w:t>, D</w:t>
      </w:r>
      <w:r w:rsidRPr="008B3B4D">
        <w:rPr>
          <w:rFonts w:ascii="Times New Roman" w:hAnsi="Times New Roman" w:cs="Times New Roman"/>
          <w:sz w:val="24"/>
          <w:szCs w:val="24"/>
        </w:rPr>
        <w:t xml:space="preserve">. </w:t>
      </w:r>
      <w:r>
        <w:rPr>
          <w:rFonts w:ascii="Times New Roman" w:hAnsi="Times New Roman" w:cs="Times New Roman"/>
          <w:sz w:val="24"/>
          <w:szCs w:val="24"/>
        </w:rPr>
        <w:t>(</w:t>
      </w:r>
      <w:r w:rsidRPr="008B3B4D">
        <w:rPr>
          <w:rFonts w:ascii="Times New Roman" w:hAnsi="Times New Roman" w:cs="Times New Roman"/>
          <w:sz w:val="24"/>
          <w:szCs w:val="24"/>
        </w:rPr>
        <w:t>2023</w:t>
      </w:r>
      <w:r>
        <w:rPr>
          <w:rFonts w:ascii="Times New Roman" w:hAnsi="Times New Roman" w:cs="Times New Roman"/>
          <w:sz w:val="24"/>
          <w:szCs w:val="24"/>
        </w:rPr>
        <w:t>)</w:t>
      </w:r>
      <w:r w:rsidRPr="008B3B4D">
        <w:rPr>
          <w:rFonts w:ascii="Times New Roman" w:hAnsi="Times New Roman" w:cs="Times New Roman"/>
          <w:sz w:val="24"/>
          <w:szCs w:val="24"/>
        </w:rPr>
        <w:t xml:space="preserve">. Anti-Fracking Campaigns in the United Kingdom: The Influence of Local Opportunity Structures on Protest. </w:t>
      </w:r>
      <w:r w:rsidRPr="008B3B4D">
        <w:rPr>
          <w:rFonts w:ascii="Times New Roman" w:hAnsi="Times New Roman" w:cs="Times New Roman"/>
          <w:i/>
          <w:iCs/>
          <w:sz w:val="24"/>
          <w:szCs w:val="24"/>
        </w:rPr>
        <w:t>Social Movement Studies</w:t>
      </w:r>
      <w:r>
        <w:rPr>
          <w:rFonts w:ascii="Times New Roman" w:hAnsi="Times New Roman" w:cs="Times New Roman"/>
          <w:sz w:val="24"/>
          <w:szCs w:val="24"/>
        </w:rPr>
        <w:t>.</w:t>
      </w:r>
      <w:r w:rsidRPr="008B3B4D">
        <w:rPr>
          <w:rFonts w:ascii="Times New Roman" w:hAnsi="Times New Roman" w:cs="Times New Roman"/>
          <w:sz w:val="24"/>
          <w:szCs w:val="24"/>
        </w:rPr>
        <w:t xml:space="preserve"> 22(2):211</w:t>
      </w:r>
      <w:r>
        <w:rPr>
          <w:rFonts w:ascii="Times New Roman" w:hAnsi="Times New Roman" w:cs="Times New Roman"/>
          <w:sz w:val="24"/>
          <w:szCs w:val="24"/>
        </w:rPr>
        <w:t>-</w:t>
      </w:r>
      <w:r w:rsidRPr="008B3B4D">
        <w:rPr>
          <w:rFonts w:ascii="Times New Roman" w:hAnsi="Times New Roman" w:cs="Times New Roman"/>
          <w:sz w:val="24"/>
          <w:szCs w:val="24"/>
        </w:rPr>
        <w:t>31. https://doi.org/10.1080/14742837.2022.2031956.</w:t>
      </w:r>
    </w:p>
    <w:p w14:paraId="346DAC97" w14:textId="320EF932" w:rsidR="00AF439F" w:rsidRPr="008B3B4D" w:rsidRDefault="008B3B4D" w:rsidP="00AF439F">
      <w:pPr>
        <w:jc w:val="both"/>
        <w:rPr>
          <w:rFonts w:ascii="Times New Roman" w:hAnsi="Times New Roman" w:cs="Times New Roman"/>
          <w:sz w:val="24"/>
          <w:szCs w:val="24"/>
        </w:rPr>
      </w:pPr>
      <w:r>
        <w:rPr>
          <w:rFonts w:ascii="Times New Roman" w:hAnsi="Times New Roman" w:cs="Times New Roman"/>
          <w:sz w:val="24"/>
          <w:szCs w:val="24"/>
          <w:vertAlign w:val="superscript"/>
        </w:rPr>
        <w:t xml:space="preserve">2 </w:t>
      </w:r>
      <w:r w:rsidRPr="008B3B4D">
        <w:rPr>
          <w:rFonts w:ascii="Times New Roman" w:hAnsi="Times New Roman" w:cs="Times New Roman"/>
          <w:sz w:val="24"/>
          <w:szCs w:val="24"/>
        </w:rPr>
        <w:t xml:space="preserve">Office for National Statistics (ONS) </w:t>
      </w:r>
      <w:r>
        <w:rPr>
          <w:rFonts w:ascii="Times New Roman" w:hAnsi="Times New Roman" w:cs="Times New Roman"/>
          <w:sz w:val="24"/>
          <w:szCs w:val="24"/>
        </w:rPr>
        <w:t>(</w:t>
      </w:r>
      <w:r w:rsidRPr="008B3B4D">
        <w:rPr>
          <w:rFonts w:ascii="Times New Roman" w:hAnsi="Times New Roman" w:cs="Times New Roman"/>
          <w:sz w:val="24"/>
          <w:szCs w:val="24"/>
        </w:rPr>
        <w:t>2023</w:t>
      </w:r>
      <w:r>
        <w:rPr>
          <w:rFonts w:ascii="Times New Roman" w:hAnsi="Times New Roman" w:cs="Times New Roman"/>
          <w:sz w:val="24"/>
          <w:szCs w:val="24"/>
        </w:rPr>
        <w:t>)</w:t>
      </w:r>
      <w:r w:rsidRPr="008B3B4D">
        <w:rPr>
          <w:rFonts w:ascii="Times New Roman" w:hAnsi="Times New Roman" w:cs="Times New Roman"/>
          <w:sz w:val="24"/>
          <w:szCs w:val="24"/>
        </w:rPr>
        <w:t xml:space="preserve">. </w:t>
      </w:r>
      <w:r w:rsidRPr="008B3B4D">
        <w:rPr>
          <w:rFonts w:ascii="Times New Roman" w:hAnsi="Times New Roman" w:cs="Times New Roman"/>
          <w:i/>
          <w:iCs/>
          <w:sz w:val="24"/>
          <w:szCs w:val="24"/>
        </w:rPr>
        <w:t>Regional Gross Disposable Household Income: Local Authorities by ITL1 Region</w:t>
      </w:r>
      <w:r w:rsidRPr="008B3B4D">
        <w:rPr>
          <w:rFonts w:ascii="Times New Roman" w:hAnsi="Times New Roman" w:cs="Times New Roman"/>
          <w:sz w:val="24"/>
          <w:szCs w:val="24"/>
        </w:rPr>
        <w:t xml:space="preserve">. </w:t>
      </w:r>
      <w:r>
        <w:rPr>
          <w:rFonts w:ascii="Times New Roman" w:hAnsi="Times New Roman" w:cs="Times New Roman"/>
          <w:sz w:val="24"/>
          <w:szCs w:val="24"/>
        </w:rPr>
        <w:t xml:space="preserve">Available: </w:t>
      </w:r>
      <w:r w:rsidRPr="008B3B4D">
        <w:rPr>
          <w:rFonts w:ascii="Times New Roman" w:hAnsi="Times New Roman" w:cs="Times New Roman"/>
          <w:sz w:val="24"/>
          <w:szCs w:val="24"/>
        </w:rPr>
        <w:t>https://www.ons.gov.uk/economy/regionalaccounts/grossdisposablehouseholdincome/datasets/regionalgrossdisposablehouseholdincomelocalauthoritiesbyitl1region (ac</w:t>
      </w:r>
      <w:r>
        <w:rPr>
          <w:rFonts w:ascii="Times New Roman" w:hAnsi="Times New Roman" w:cs="Times New Roman"/>
          <w:sz w:val="24"/>
          <w:szCs w:val="24"/>
        </w:rPr>
        <w:t>cessed 25</w:t>
      </w:r>
      <w:r w:rsidRPr="008B3B4D">
        <w:rPr>
          <w:rFonts w:ascii="Times New Roman" w:hAnsi="Times New Roman" w:cs="Times New Roman"/>
          <w:sz w:val="24"/>
          <w:szCs w:val="24"/>
          <w:vertAlign w:val="superscript"/>
        </w:rPr>
        <w:t>th</w:t>
      </w:r>
      <w:r>
        <w:rPr>
          <w:rFonts w:ascii="Times New Roman" w:hAnsi="Times New Roman" w:cs="Times New Roman"/>
          <w:sz w:val="24"/>
          <w:szCs w:val="24"/>
        </w:rPr>
        <w:t xml:space="preserve"> February 2024</w:t>
      </w:r>
      <w:r w:rsidRPr="008B3B4D">
        <w:rPr>
          <w:rFonts w:ascii="Times New Roman" w:hAnsi="Times New Roman" w:cs="Times New Roman"/>
          <w:sz w:val="24"/>
          <w:szCs w:val="24"/>
        </w:rPr>
        <w:t>).</w:t>
      </w:r>
    </w:p>
    <w:p w14:paraId="2E05E174" w14:textId="5CBE5248" w:rsidR="00AF439F" w:rsidRPr="008B3B4D" w:rsidRDefault="008B3B4D" w:rsidP="00AF439F">
      <w:pPr>
        <w:jc w:val="both"/>
        <w:rPr>
          <w:rFonts w:ascii="Times New Roman" w:hAnsi="Times New Roman" w:cs="Times New Roman"/>
          <w:sz w:val="24"/>
          <w:szCs w:val="24"/>
        </w:rPr>
      </w:pPr>
      <w:r>
        <w:rPr>
          <w:rFonts w:ascii="Times New Roman" w:hAnsi="Times New Roman" w:cs="Times New Roman"/>
          <w:sz w:val="24"/>
          <w:szCs w:val="24"/>
          <w:vertAlign w:val="superscript"/>
        </w:rPr>
        <w:t>3</w:t>
      </w:r>
      <w:r>
        <w:rPr>
          <w:rFonts w:ascii="Times New Roman" w:hAnsi="Times New Roman" w:cs="Times New Roman"/>
          <w:sz w:val="24"/>
          <w:szCs w:val="24"/>
        </w:rPr>
        <w:t xml:space="preserve"> </w:t>
      </w:r>
      <w:r w:rsidRPr="008B3B4D">
        <w:rPr>
          <w:rFonts w:ascii="Times New Roman" w:hAnsi="Times New Roman" w:cs="Times New Roman"/>
          <w:sz w:val="24"/>
          <w:szCs w:val="24"/>
        </w:rPr>
        <w:t xml:space="preserve">Office for National Statistics (ONS) </w:t>
      </w:r>
      <w:r>
        <w:rPr>
          <w:rFonts w:ascii="Times New Roman" w:hAnsi="Times New Roman" w:cs="Times New Roman"/>
          <w:sz w:val="24"/>
          <w:szCs w:val="24"/>
        </w:rPr>
        <w:t>(</w:t>
      </w:r>
      <w:r w:rsidRPr="008B3B4D">
        <w:rPr>
          <w:rFonts w:ascii="Times New Roman" w:hAnsi="Times New Roman" w:cs="Times New Roman"/>
          <w:sz w:val="24"/>
          <w:szCs w:val="24"/>
        </w:rPr>
        <w:t>2023</w:t>
      </w:r>
      <w:r>
        <w:rPr>
          <w:rFonts w:ascii="Times New Roman" w:hAnsi="Times New Roman" w:cs="Times New Roman"/>
          <w:sz w:val="24"/>
          <w:szCs w:val="24"/>
        </w:rPr>
        <w:t>)</w:t>
      </w:r>
      <w:r w:rsidRPr="008B3B4D">
        <w:rPr>
          <w:rFonts w:ascii="Times New Roman" w:hAnsi="Times New Roman" w:cs="Times New Roman"/>
          <w:sz w:val="24"/>
          <w:szCs w:val="24"/>
        </w:rPr>
        <w:t xml:space="preserve">. </w:t>
      </w:r>
      <w:r w:rsidRPr="008B3B4D">
        <w:rPr>
          <w:rFonts w:ascii="Times New Roman" w:hAnsi="Times New Roman" w:cs="Times New Roman"/>
          <w:i/>
          <w:iCs/>
          <w:sz w:val="24"/>
          <w:szCs w:val="24"/>
        </w:rPr>
        <w:t>Local Authority Profile</w:t>
      </w:r>
      <w:r w:rsidRPr="008B3B4D">
        <w:rPr>
          <w:rFonts w:ascii="Times New Roman" w:hAnsi="Times New Roman" w:cs="Times New Roman"/>
          <w:sz w:val="24"/>
          <w:szCs w:val="24"/>
        </w:rPr>
        <w:t xml:space="preserve">. </w:t>
      </w:r>
      <w:r>
        <w:rPr>
          <w:rFonts w:ascii="Times New Roman" w:hAnsi="Times New Roman" w:cs="Times New Roman"/>
          <w:sz w:val="24"/>
          <w:szCs w:val="24"/>
        </w:rPr>
        <w:t>Available:</w:t>
      </w:r>
      <w:r w:rsidRPr="008B3B4D">
        <w:rPr>
          <w:rFonts w:ascii="Times New Roman" w:hAnsi="Times New Roman" w:cs="Times New Roman"/>
          <w:sz w:val="24"/>
          <w:szCs w:val="24"/>
        </w:rPr>
        <w:t xml:space="preserve"> https://www.nomisweb.co.uk/reports/lmp/la/contents.aspx</w:t>
      </w:r>
      <w:r>
        <w:rPr>
          <w:rFonts w:ascii="Times New Roman" w:hAnsi="Times New Roman" w:cs="Times New Roman"/>
          <w:sz w:val="24"/>
          <w:szCs w:val="24"/>
        </w:rPr>
        <w:t xml:space="preserve"> (accessed 25</w:t>
      </w:r>
      <w:r w:rsidRPr="008B3B4D">
        <w:rPr>
          <w:rFonts w:ascii="Times New Roman" w:hAnsi="Times New Roman" w:cs="Times New Roman"/>
          <w:sz w:val="24"/>
          <w:szCs w:val="24"/>
          <w:vertAlign w:val="superscript"/>
        </w:rPr>
        <w:t>th</w:t>
      </w:r>
      <w:r w:rsidRPr="008B3B4D">
        <w:rPr>
          <w:rFonts w:ascii="Times New Roman" w:hAnsi="Times New Roman" w:cs="Times New Roman"/>
          <w:sz w:val="24"/>
          <w:szCs w:val="24"/>
        </w:rPr>
        <w:t xml:space="preserve"> </w:t>
      </w:r>
      <w:r>
        <w:rPr>
          <w:rFonts w:ascii="Times New Roman" w:hAnsi="Times New Roman" w:cs="Times New Roman"/>
          <w:sz w:val="24"/>
          <w:szCs w:val="24"/>
        </w:rPr>
        <w:t>February 2024)</w:t>
      </w:r>
      <w:r w:rsidRPr="008B3B4D">
        <w:rPr>
          <w:rFonts w:ascii="Times New Roman" w:hAnsi="Times New Roman" w:cs="Times New Roman"/>
          <w:sz w:val="24"/>
          <w:szCs w:val="24"/>
        </w:rPr>
        <w:t>.</w:t>
      </w:r>
    </w:p>
    <w:p w14:paraId="0EEF1EEC" w14:textId="77777777" w:rsidR="00AF439F" w:rsidRDefault="00AF439F" w:rsidP="00AF439F">
      <w:pPr>
        <w:jc w:val="both"/>
        <w:rPr>
          <w:rFonts w:ascii="Times New Roman" w:hAnsi="Times New Roman" w:cs="Times New Roman"/>
          <w:sz w:val="24"/>
          <w:szCs w:val="24"/>
        </w:rPr>
      </w:pPr>
    </w:p>
    <w:p w14:paraId="535E95A2" w14:textId="7FCC6AC5" w:rsidR="005056B4" w:rsidRDefault="005056B4" w:rsidP="00AF439F">
      <w:pPr>
        <w:jc w:val="both"/>
        <w:rPr>
          <w:rFonts w:ascii="Times New Roman" w:hAnsi="Times New Roman" w:cs="Times New Roman"/>
          <w:sz w:val="24"/>
          <w:szCs w:val="24"/>
        </w:rPr>
      </w:pPr>
      <w:r>
        <w:rPr>
          <w:rFonts w:ascii="Times New Roman" w:hAnsi="Times New Roman" w:cs="Times New Roman"/>
          <w:b/>
          <w:bCs/>
          <w:sz w:val="24"/>
          <w:szCs w:val="24"/>
        </w:rPr>
        <w:t>References</w:t>
      </w:r>
    </w:p>
    <w:p w14:paraId="78F4105E" w14:textId="3C94A7E9" w:rsidR="004B0042" w:rsidRDefault="004B0042" w:rsidP="00AF439F">
      <w:pPr>
        <w:jc w:val="both"/>
        <w:rPr>
          <w:rFonts w:ascii="Times New Roman" w:hAnsi="Times New Roman" w:cs="Times New Roman"/>
          <w:sz w:val="24"/>
          <w:szCs w:val="24"/>
        </w:rPr>
      </w:pPr>
      <w:r w:rsidRPr="004B0042">
        <w:rPr>
          <w:rFonts w:ascii="Times New Roman" w:hAnsi="Times New Roman" w:cs="Times New Roman"/>
          <w:sz w:val="24"/>
          <w:szCs w:val="24"/>
        </w:rPr>
        <w:t>Earl, J</w:t>
      </w:r>
      <w:r>
        <w:rPr>
          <w:rFonts w:ascii="Times New Roman" w:hAnsi="Times New Roman" w:cs="Times New Roman"/>
          <w:sz w:val="24"/>
          <w:szCs w:val="24"/>
        </w:rPr>
        <w:t>.</w:t>
      </w:r>
      <w:r w:rsidRPr="004B0042">
        <w:rPr>
          <w:rFonts w:ascii="Times New Roman" w:hAnsi="Times New Roman" w:cs="Times New Roman"/>
          <w:sz w:val="24"/>
          <w:szCs w:val="24"/>
        </w:rPr>
        <w:t>, Soule,</w:t>
      </w:r>
      <w:r>
        <w:rPr>
          <w:rFonts w:ascii="Times New Roman" w:hAnsi="Times New Roman" w:cs="Times New Roman"/>
          <w:sz w:val="24"/>
          <w:szCs w:val="24"/>
        </w:rPr>
        <w:t xml:space="preserve"> S.</w:t>
      </w:r>
      <w:r w:rsidRPr="004B0042">
        <w:rPr>
          <w:rFonts w:ascii="Times New Roman" w:hAnsi="Times New Roman" w:cs="Times New Roman"/>
          <w:sz w:val="24"/>
          <w:szCs w:val="24"/>
        </w:rPr>
        <w:t xml:space="preserve"> and McCarthy</w:t>
      </w:r>
      <w:r>
        <w:rPr>
          <w:rFonts w:ascii="Times New Roman" w:hAnsi="Times New Roman" w:cs="Times New Roman"/>
          <w:sz w:val="24"/>
          <w:szCs w:val="24"/>
        </w:rPr>
        <w:t>, J</w:t>
      </w:r>
      <w:r w:rsidRPr="004B0042">
        <w:rPr>
          <w:rFonts w:ascii="Times New Roman" w:hAnsi="Times New Roman" w:cs="Times New Roman"/>
          <w:sz w:val="24"/>
          <w:szCs w:val="24"/>
        </w:rPr>
        <w:t xml:space="preserve">. </w:t>
      </w:r>
      <w:r>
        <w:rPr>
          <w:rFonts w:ascii="Times New Roman" w:hAnsi="Times New Roman" w:cs="Times New Roman"/>
          <w:sz w:val="24"/>
          <w:szCs w:val="24"/>
        </w:rPr>
        <w:t>(</w:t>
      </w:r>
      <w:r w:rsidRPr="004B0042">
        <w:rPr>
          <w:rFonts w:ascii="Times New Roman" w:hAnsi="Times New Roman" w:cs="Times New Roman"/>
          <w:sz w:val="24"/>
          <w:szCs w:val="24"/>
        </w:rPr>
        <w:t>2003</w:t>
      </w:r>
      <w:r>
        <w:rPr>
          <w:rFonts w:ascii="Times New Roman" w:hAnsi="Times New Roman" w:cs="Times New Roman"/>
          <w:sz w:val="24"/>
          <w:szCs w:val="24"/>
        </w:rPr>
        <w:t>)</w:t>
      </w:r>
      <w:r w:rsidRPr="004B0042">
        <w:rPr>
          <w:rFonts w:ascii="Times New Roman" w:hAnsi="Times New Roman" w:cs="Times New Roman"/>
          <w:sz w:val="24"/>
          <w:szCs w:val="24"/>
        </w:rPr>
        <w:t xml:space="preserve">. Protest Under Fire? Explaining the Policing of Protest. </w:t>
      </w:r>
      <w:r w:rsidRPr="004B0042">
        <w:rPr>
          <w:rFonts w:ascii="Times New Roman" w:hAnsi="Times New Roman" w:cs="Times New Roman"/>
          <w:i/>
          <w:iCs/>
          <w:sz w:val="24"/>
          <w:szCs w:val="24"/>
        </w:rPr>
        <w:t>American Sociological Review</w:t>
      </w:r>
      <w:r>
        <w:rPr>
          <w:rFonts w:ascii="Times New Roman" w:hAnsi="Times New Roman" w:cs="Times New Roman"/>
          <w:sz w:val="24"/>
          <w:szCs w:val="24"/>
        </w:rPr>
        <w:t xml:space="preserve">. </w:t>
      </w:r>
      <w:r w:rsidRPr="004B0042">
        <w:rPr>
          <w:rFonts w:ascii="Times New Roman" w:hAnsi="Times New Roman" w:cs="Times New Roman"/>
          <w:sz w:val="24"/>
          <w:szCs w:val="24"/>
        </w:rPr>
        <w:t>68(4):581</w:t>
      </w:r>
      <w:r>
        <w:rPr>
          <w:rFonts w:ascii="Times New Roman" w:hAnsi="Times New Roman" w:cs="Times New Roman"/>
          <w:sz w:val="24"/>
          <w:szCs w:val="24"/>
        </w:rPr>
        <w:t>-</w:t>
      </w:r>
      <w:r w:rsidRPr="004B0042">
        <w:rPr>
          <w:rFonts w:ascii="Times New Roman" w:hAnsi="Times New Roman" w:cs="Times New Roman"/>
          <w:sz w:val="24"/>
          <w:szCs w:val="24"/>
        </w:rPr>
        <w:t>606. https://doi.org/10.2307/1519740.</w:t>
      </w:r>
    </w:p>
    <w:p w14:paraId="0CAD6805" w14:textId="688CB476" w:rsidR="004B0042" w:rsidRDefault="005056B4" w:rsidP="00AF439F">
      <w:pPr>
        <w:jc w:val="both"/>
        <w:rPr>
          <w:rFonts w:ascii="Times New Roman" w:hAnsi="Times New Roman" w:cs="Times New Roman"/>
          <w:sz w:val="24"/>
          <w:szCs w:val="24"/>
        </w:rPr>
      </w:pPr>
      <w:r w:rsidRPr="008B3B4D">
        <w:rPr>
          <w:rFonts w:ascii="Times New Roman" w:hAnsi="Times New Roman" w:cs="Times New Roman"/>
          <w:sz w:val="24"/>
          <w:szCs w:val="24"/>
        </w:rPr>
        <w:t>Garland, J</w:t>
      </w:r>
      <w:r>
        <w:rPr>
          <w:rFonts w:ascii="Times New Roman" w:hAnsi="Times New Roman" w:cs="Times New Roman"/>
          <w:sz w:val="24"/>
          <w:szCs w:val="24"/>
        </w:rPr>
        <w:t>.</w:t>
      </w:r>
      <w:r w:rsidRPr="008B3B4D">
        <w:rPr>
          <w:rFonts w:ascii="Times New Roman" w:hAnsi="Times New Roman" w:cs="Times New Roman"/>
          <w:sz w:val="24"/>
          <w:szCs w:val="24"/>
        </w:rPr>
        <w:t xml:space="preserve">, Saunders, </w:t>
      </w:r>
      <w:r>
        <w:rPr>
          <w:rFonts w:ascii="Times New Roman" w:hAnsi="Times New Roman" w:cs="Times New Roman"/>
          <w:sz w:val="24"/>
          <w:szCs w:val="24"/>
        </w:rPr>
        <w:t xml:space="preserve">C., </w:t>
      </w:r>
      <w:r w:rsidRPr="008B3B4D">
        <w:rPr>
          <w:rFonts w:ascii="Times New Roman" w:hAnsi="Times New Roman" w:cs="Times New Roman"/>
          <w:sz w:val="24"/>
          <w:szCs w:val="24"/>
        </w:rPr>
        <w:t xml:space="preserve">Olcese, </w:t>
      </w:r>
      <w:r>
        <w:rPr>
          <w:rFonts w:ascii="Times New Roman" w:hAnsi="Times New Roman" w:cs="Times New Roman"/>
          <w:sz w:val="24"/>
          <w:szCs w:val="24"/>
        </w:rPr>
        <w:t xml:space="preserve">C. </w:t>
      </w:r>
      <w:r w:rsidRPr="008B3B4D">
        <w:rPr>
          <w:rFonts w:ascii="Times New Roman" w:hAnsi="Times New Roman" w:cs="Times New Roman"/>
          <w:sz w:val="24"/>
          <w:szCs w:val="24"/>
        </w:rPr>
        <w:t>and Tedesco</w:t>
      </w:r>
      <w:r>
        <w:rPr>
          <w:rFonts w:ascii="Times New Roman" w:hAnsi="Times New Roman" w:cs="Times New Roman"/>
          <w:sz w:val="24"/>
          <w:szCs w:val="24"/>
        </w:rPr>
        <w:t>, D</w:t>
      </w:r>
      <w:r w:rsidRPr="008B3B4D">
        <w:rPr>
          <w:rFonts w:ascii="Times New Roman" w:hAnsi="Times New Roman" w:cs="Times New Roman"/>
          <w:sz w:val="24"/>
          <w:szCs w:val="24"/>
        </w:rPr>
        <w:t xml:space="preserve">. </w:t>
      </w:r>
      <w:r>
        <w:rPr>
          <w:rFonts w:ascii="Times New Roman" w:hAnsi="Times New Roman" w:cs="Times New Roman"/>
          <w:sz w:val="24"/>
          <w:szCs w:val="24"/>
        </w:rPr>
        <w:t>(</w:t>
      </w:r>
      <w:r w:rsidRPr="008B3B4D">
        <w:rPr>
          <w:rFonts w:ascii="Times New Roman" w:hAnsi="Times New Roman" w:cs="Times New Roman"/>
          <w:sz w:val="24"/>
          <w:szCs w:val="24"/>
        </w:rPr>
        <w:t>2023</w:t>
      </w:r>
      <w:r>
        <w:rPr>
          <w:rFonts w:ascii="Times New Roman" w:hAnsi="Times New Roman" w:cs="Times New Roman"/>
          <w:sz w:val="24"/>
          <w:szCs w:val="24"/>
        </w:rPr>
        <w:t>)</w:t>
      </w:r>
      <w:r w:rsidRPr="008B3B4D">
        <w:rPr>
          <w:rFonts w:ascii="Times New Roman" w:hAnsi="Times New Roman" w:cs="Times New Roman"/>
          <w:sz w:val="24"/>
          <w:szCs w:val="24"/>
        </w:rPr>
        <w:t xml:space="preserve">. Anti-Fracking Campaigns in the United Kingdom: The Influence of Local Opportunity Structures on Protest. </w:t>
      </w:r>
      <w:r w:rsidRPr="008B3B4D">
        <w:rPr>
          <w:rFonts w:ascii="Times New Roman" w:hAnsi="Times New Roman" w:cs="Times New Roman"/>
          <w:i/>
          <w:iCs/>
          <w:sz w:val="24"/>
          <w:szCs w:val="24"/>
        </w:rPr>
        <w:t>Social Movement Studies</w:t>
      </w:r>
      <w:r>
        <w:rPr>
          <w:rFonts w:ascii="Times New Roman" w:hAnsi="Times New Roman" w:cs="Times New Roman"/>
          <w:sz w:val="24"/>
          <w:szCs w:val="24"/>
        </w:rPr>
        <w:t>.</w:t>
      </w:r>
      <w:r w:rsidRPr="008B3B4D">
        <w:rPr>
          <w:rFonts w:ascii="Times New Roman" w:hAnsi="Times New Roman" w:cs="Times New Roman"/>
          <w:sz w:val="24"/>
          <w:szCs w:val="24"/>
        </w:rPr>
        <w:t xml:space="preserve"> 22(2):211</w:t>
      </w:r>
      <w:r>
        <w:rPr>
          <w:rFonts w:ascii="Times New Roman" w:hAnsi="Times New Roman" w:cs="Times New Roman"/>
          <w:sz w:val="24"/>
          <w:szCs w:val="24"/>
        </w:rPr>
        <w:t>-</w:t>
      </w:r>
      <w:r w:rsidRPr="008B3B4D">
        <w:rPr>
          <w:rFonts w:ascii="Times New Roman" w:hAnsi="Times New Roman" w:cs="Times New Roman"/>
          <w:sz w:val="24"/>
          <w:szCs w:val="24"/>
        </w:rPr>
        <w:t xml:space="preserve">31. </w:t>
      </w:r>
      <w:r w:rsidR="004B0042" w:rsidRPr="004B0042">
        <w:rPr>
          <w:rFonts w:ascii="Times New Roman" w:hAnsi="Times New Roman" w:cs="Times New Roman"/>
          <w:sz w:val="24"/>
          <w:szCs w:val="24"/>
        </w:rPr>
        <w:t>https://doi.org/10.1080/14742837.2022.2031956</w:t>
      </w:r>
      <w:r w:rsidRPr="008B3B4D">
        <w:rPr>
          <w:rFonts w:ascii="Times New Roman" w:hAnsi="Times New Roman" w:cs="Times New Roman"/>
          <w:sz w:val="24"/>
          <w:szCs w:val="24"/>
        </w:rPr>
        <w:t>.</w:t>
      </w:r>
    </w:p>
    <w:p w14:paraId="02965FEB" w14:textId="2DFA59E8" w:rsidR="004B0042" w:rsidRDefault="004B0042" w:rsidP="00AF439F">
      <w:pPr>
        <w:jc w:val="both"/>
        <w:rPr>
          <w:rFonts w:ascii="Times New Roman" w:hAnsi="Times New Roman" w:cs="Times New Roman"/>
          <w:sz w:val="24"/>
          <w:szCs w:val="24"/>
        </w:rPr>
      </w:pPr>
      <w:r w:rsidRPr="004B0042">
        <w:rPr>
          <w:rFonts w:ascii="Times New Roman" w:hAnsi="Times New Roman" w:cs="Times New Roman"/>
          <w:sz w:val="24"/>
          <w:szCs w:val="24"/>
        </w:rPr>
        <w:t>Koopmans, R</w:t>
      </w:r>
      <w:r w:rsidR="00AC5F43">
        <w:rPr>
          <w:rFonts w:ascii="Times New Roman" w:hAnsi="Times New Roman" w:cs="Times New Roman"/>
          <w:sz w:val="24"/>
          <w:szCs w:val="24"/>
        </w:rPr>
        <w:t>.</w:t>
      </w:r>
      <w:r w:rsidRPr="004B0042">
        <w:rPr>
          <w:rFonts w:ascii="Times New Roman" w:hAnsi="Times New Roman" w:cs="Times New Roman"/>
          <w:sz w:val="24"/>
          <w:szCs w:val="24"/>
        </w:rPr>
        <w:t>, an</w:t>
      </w:r>
      <w:r w:rsidR="00AC5F43">
        <w:rPr>
          <w:rFonts w:ascii="Times New Roman" w:hAnsi="Times New Roman" w:cs="Times New Roman"/>
          <w:sz w:val="24"/>
          <w:szCs w:val="24"/>
        </w:rPr>
        <w:t>d</w:t>
      </w:r>
      <w:r w:rsidRPr="004B0042">
        <w:rPr>
          <w:rFonts w:ascii="Times New Roman" w:hAnsi="Times New Roman" w:cs="Times New Roman"/>
          <w:sz w:val="24"/>
          <w:szCs w:val="24"/>
        </w:rPr>
        <w:t xml:space="preserve"> </w:t>
      </w:r>
      <w:proofErr w:type="spellStart"/>
      <w:r w:rsidRPr="004B0042">
        <w:rPr>
          <w:rFonts w:ascii="Times New Roman" w:hAnsi="Times New Roman" w:cs="Times New Roman"/>
          <w:sz w:val="24"/>
          <w:szCs w:val="24"/>
        </w:rPr>
        <w:t>Rucht</w:t>
      </w:r>
      <w:proofErr w:type="spellEnd"/>
      <w:r w:rsidR="00AC5F43">
        <w:rPr>
          <w:rFonts w:ascii="Times New Roman" w:hAnsi="Times New Roman" w:cs="Times New Roman"/>
          <w:sz w:val="24"/>
          <w:szCs w:val="24"/>
        </w:rPr>
        <w:t>, D</w:t>
      </w:r>
      <w:r w:rsidRPr="004B0042">
        <w:rPr>
          <w:rFonts w:ascii="Times New Roman" w:hAnsi="Times New Roman" w:cs="Times New Roman"/>
          <w:sz w:val="24"/>
          <w:szCs w:val="24"/>
        </w:rPr>
        <w:t xml:space="preserve">. </w:t>
      </w:r>
      <w:r w:rsidR="00AC5F43">
        <w:rPr>
          <w:rFonts w:ascii="Times New Roman" w:hAnsi="Times New Roman" w:cs="Times New Roman"/>
          <w:sz w:val="24"/>
          <w:szCs w:val="24"/>
        </w:rPr>
        <w:t>(</w:t>
      </w:r>
      <w:r w:rsidRPr="004B0042">
        <w:rPr>
          <w:rFonts w:ascii="Times New Roman" w:hAnsi="Times New Roman" w:cs="Times New Roman"/>
          <w:sz w:val="24"/>
          <w:szCs w:val="24"/>
        </w:rPr>
        <w:t>2002</w:t>
      </w:r>
      <w:r w:rsidR="00AC5F43">
        <w:rPr>
          <w:rFonts w:ascii="Times New Roman" w:hAnsi="Times New Roman" w:cs="Times New Roman"/>
          <w:sz w:val="24"/>
          <w:szCs w:val="24"/>
        </w:rPr>
        <w:t>)</w:t>
      </w:r>
      <w:r w:rsidRPr="004B0042">
        <w:rPr>
          <w:rFonts w:ascii="Times New Roman" w:hAnsi="Times New Roman" w:cs="Times New Roman"/>
          <w:sz w:val="24"/>
          <w:szCs w:val="24"/>
        </w:rPr>
        <w:t>. Protest Event Analysis. In</w:t>
      </w:r>
      <w:r w:rsidR="00AC5F43" w:rsidRPr="00AC5F43">
        <w:rPr>
          <w:rFonts w:ascii="Times New Roman" w:hAnsi="Times New Roman" w:cs="Times New Roman"/>
          <w:sz w:val="24"/>
          <w:szCs w:val="24"/>
        </w:rPr>
        <w:t xml:space="preserve">: </w:t>
      </w:r>
      <w:proofErr w:type="spellStart"/>
      <w:r w:rsidR="00AC5F43" w:rsidRPr="00AC5F43">
        <w:rPr>
          <w:rFonts w:ascii="Times New Roman" w:hAnsi="Times New Roman" w:cs="Times New Roman"/>
          <w:sz w:val="24"/>
          <w:szCs w:val="24"/>
        </w:rPr>
        <w:t>Klandermans</w:t>
      </w:r>
      <w:proofErr w:type="spellEnd"/>
      <w:r w:rsidR="00AC5F43" w:rsidRPr="00AC5F43">
        <w:rPr>
          <w:rFonts w:ascii="Times New Roman" w:hAnsi="Times New Roman" w:cs="Times New Roman"/>
          <w:sz w:val="24"/>
          <w:szCs w:val="24"/>
        </w:rPr>
        <w:t xml:space="preserve">, B. and Staggenborg, S. (eds). </w:t>
      </w:r>
      <w:r w:rsidRPr="004B0042">
        <w:rPr>
          <w:rFonts w:ascii="Times New Roman" w:hAnsi="Times New Roman" w:cs="Times New Roman"/>
          <w:i/>
          <w:iCs/>
          <w:sz w:val="24"/>
          <w:szCs w:val="24"/>
        </w:rPr>
        <w:t>Methods of Social Movement Researc</w:t>
      </w:r>
      <w:r w:rsidR="00AC5F43">
        <w:rPr>
          <w:rFonts w:ascii="Times New Roman" w:hAnsi="Times New Roman" w:cs="Times New Roman"/>
          <w:i/>
          <w:iCs/>
          <w:sz w:val="24"/>
          <w:szCs w:val="24"/>
        </w:rPr>
        <w:t>h</w:t>
      </w:r>
      <w:r w:rsidRPr="004B0042">
        <w:rPr>
          <w:rFonts w:ascii="Times New Roman" w:hAnsi="Times New Roman" w:cs="Times New Roman"/>
          <w:sz w:val="24"/>
          <w:szCs w:val="24"/>
        </w:rPr>
        <w:t>. Minneapolis, MN: University of Minnesota</w:t>
      </w:r>
      <w:r w:rsidR="00AC5F43">
        <w:rPr>
          <w:rFonts w:ascii="Times New Roman" w:hAnsi="Times New Roman" w:cs="Times New Roman"/>
          <w:sz w:val="24"/>
          <w:szCs w:val="24"/>
        </w:rPr>
        <w:t xml:space="preserve">, </w:t>
      </w:r>
      <w:r w:rsidR="00AC5F43" w:rsidRPr="004B0042">
        <w:rPr>
          <w:rFonts w:ascii="Times New Roman" w:hAnsi="Times New Roman" w:cs="Times New Roman"/>
          <w:sz w:val="24"/>
          <w:szCs w:val="24"/>
        </w:rPr>
        <w:t>231</w:t>
      </w:r>
      <w:r w:rsidR="00AC5F43">
        <w:rPr>
          <w:rFonts w:ascii="Times New Roman" w:hAnsi="Times New Roman" w:cs="Times New Roman"/>
          <w:sz w:val="24"/>
          <w:szCs w:val="24"/>
        </w:rPr>
        <w:t>-</w:t>
      </w:r>
      <w:r w:rsidR="00AC5F43" w:rsidRPr="004B0042">
        <w:rPr>
          <w:rFonts w:ascii="Times New Roman" w:hAnsi="Times New Roman" w:cs="Times New Roman"/>
          <w:sz w:val="24"/>
          <w:szCs w:val="24"/>
        </w:rPr>
        <w:t>59</w:t>
      </w:r>
      <w:r w:rsidRPr="004B0042">
        <w:rPr>
          <w:rFonts w:ascii="Times New Roman" w:hAnsi="Times New Roman" w:cs="Times New Roman"/>
          <w:sz w:val="24"/>
          <w:szCs w:val="24"/>
        </w:rPr>
        <w:t>.</w:t>
      </w:r>
    </w:p>
    <w:p w14:paraId="2E32DF3D" w14:textId="77777777" w:rsidR="004B0042" w:rsidRPr="005056B4" w:rsidRDefault="004B0042" w:rsidP="00AF439F">
      <w:pPr>
        <w:jc w:val="both"/>
        <w:rPr>
          <w:rFonts w:ascii="Times New Roman" w:hAnsi="Times New Roman" w:cs="Times New Roman"/>
          <w:sz w:val="24"/>
          <w:szCs w:val="24"/>
        </w:rPr>
      </w:pPr>
    </w:p>
    <w:sectPr w:rsidR="004B0042" w:rsidRPr="005056B4" w:rsidSect="00AA683C">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E8D32" w14:textId="77777777" w:rsidR="00AA683C" w:rsidRDefault="00AA683C" w:rsidP="005A42CF">
      <w:pPr>
        <w:spacing w:after="0" w:line="240" w:lineRule="auto"/>
      </w:pPr>
      <w:r>
        <w:separator/>
      </w:r>
    </w:p>
  </w:endnote>
  <w:endnote w:type="continuationSeparator" w:id="0">
    <w:p w14:paraId="5A1B65DE" w14:textId="77777777" w:rsidR="00AA683C" w:rsidRDefault="00AA683C" w:rsidP="005A42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9598618"/>
      <w:docPartObj>
        <w:docPartGallery w:val="Page Numbers (Bottom of Page)"/>
        <w:docPartUnique/>
      </w:docPartObj>
    </w:sdtPr>
    <w:sdtEndPr>
      <w:rPr>
        <w:rFonts w:ascii="Times New Roman" w:hAnsi="Times New Roman" w:cs="Times New Roman"/>
        <w:noProof/>
        <w:sz w:val="24"/>
        <w:szCs w:val="24"/>
      </w:rPr>
    </w:sdtEndPr>
    <w:sdtContent>
      <w:p w14:paraId="6F2EEBBE" w14:textId="642D2981" w:rsidR="005A42CF" w:rsidRPr="005A42CF" w:rsidRDefault="005A42CF">
        <w:pPr>
          <w:pStyle w:val="Footer"/>
          <w:jc w:val="right"/>
          <w:rPr>
            <w:rFonts w:ascii="Times New Roman" w:hAnsi="Times New Roman" w:cs="Times New Roman"/>
            <w:sz w:val="24"/>
            <w:szCs w:val="24"/>
          </w:rPr>
        </w:pPr>
        <w:r w:rsidRPr="005A42CF">
          <w:rPr>
            <w:rFonts w:ascii="Times New Roman" w:hAnsi="Times New Roman" w:cs="Times New Roman"/>
            <w:sz w:val="24"/>
            <w:szCs w:val="24"/>
          </w:rPr>
          <w:fldChar w:fldCharType="begin"/>
        </w:r>
        <w:r w:rsidRPr="005A42CF">
          <w:rPr>
            <w:rFonts w:ascii="Times New Roman" w:hAnsi="Times New Roman" w:cs="Times New Roman"/>
            <w:sz w:val="24"/>
            <w:szCs w:val="24"/>
          </w:rPr>
          <w:instrText xml:space="preserve"> PAGE   \* MERGEFORMAT </w:instrText>
        </w:r>
        <w:r w:rsidRPr="005A42CF">
          <w:rPr>
            <w:rFonts w:ascii="Times New Roman" w:hAnsi="Times New Roman" w:cs="Times New Roman"/>
            <w:sz w:val="24"/>
            <w:szCs w:val="24"/>
          </w:rPr>
          <w:fldChar w:fldCharType="separate"/>
        </w:r>
        <w:r w:rsidRPr="005A42CF">
          <w:rPr>
            <w:rFonts w:ascii="Times New Roman" w:hAnsi="Times New Roman" w:cs="Times New Roman"/>
            <w:noProof/>
            <w:sz w:val="24"/>
            <w:szCs w:val="24"/>
          </w:rPr>
          <w:t>2</w:t>
        </w:r>
        <w:r w:rsidRPr="005A42CF">
          <w:rPr>
            <w:rFonts w:ascii="Times New Roman" w:hAnsi="Times New Roman" w:cs="Times New Roman"/>
            <w:noProof/>
            <w:sz w:val="24"/>
            <w:szCs w:val="24"/>
          </w:rPr>
          <w:fldChar w:fldCharType="end"/>
        </w:r>
      </w:p>
    </w:sdtContent>
  </w:sdt>
  <w:p w14:paraId="5F145A19" w14:textId="77777777" w:rsidR="005A42CF" w:rsidRDefault="005A42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0E7DD" w14:textId="77777777" w:rsidR="00AA683C" w:rsidRDefault="00AA683C" w:rsidP="005A42CF">
      <w:pPr>
        <w:spacing w:after="0" w:line="240" w:lineRule="auto"/>
      </w:pPr>
      <w:r>
        <w:separator/>
      </w:r>
    </w:p>
  </w:footnote>
  <w:footnote w:type="continuationSeparator" w:id="0">
    <w:p w14:paraId="046891A8" w14:textId="77777777" w:rsidR="00AA683C" w:rsidRDefault="00AA683C" w:rsidP="005A42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CCF12" w14:textId="40706CD0" w:rsidR="00EA315B" w:rsidRDefault="00EA315B" w:rsidP="00EA315B">
    <w:pPr>
      <w:pStyle w:val="Header"/>
      <w:jc w:val="right"/>
      <w:rPr>
        <w:rFonts w:ascii="Times New Roman" w:hAnsi="Times New Roman" w:cs="Times New Roman"/>
        <w:sz w:val="20"/>
        <w:szCs w:val="20"/>
      </w:rPr>
    </w:pPr>
    <w:r w:rsidRPr="00EA315B">
      <w:rPr>
        <w:rFonts w:ascii="Times New Roman" w:hAnsi="Times New Roman" w:cs="Times New Roman"/>
        <w:sz w:val="20"/>
        <w:szCs w:val="20"/>
      </w:rPr>
      <w:t>Anti-Fracking Protest, England, 2011-2019</w:t>
    </w:r>
  </w:p>
  <w:p w14:paraId="313762CE" w14:textId="47E6AE8A" w:rsidR="00EA315B" w:rsidRPr="00EA315B" w:rsidRDefault="00EA315B" w:rsidP="00EA315B">
    <w:pPr>
      <w:pStyle w:val="Header"/>
      <w:jc w:val="right"/>
      <w:rPr>
        <w:rFonts w:ascii="Times New Roman" w:hAnsi="Times New Roman" w:cs="Times New Roman"/>
        <w:sz w:val="20"/>
        <w:szCs w:val="20"/>
      </w:rPr>
    </w:pPr>
    <w:r>
      <w:rPr>
        <w:rFonts w:ascii="Times New Roman" w:hAnsi="Times New Roman" w:cs="Times New Roman"/>
        <w:sz w:val="20"/>
        <w:szCs w:val="20"/>
      </w:rPr>
      <w:t>Garland, Joshua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39F"/>
    <w:rsid w:val="000701AF"/>
    <w:rsid w:val="001B5D77"/>
    <w:rsid w:val="001D4235"/>
    <w:rsid w:val="00334841"/>
    <w:rsid w:val="003D4557"/>
    <w:rsid w:val="004B0042"/>
    <w:rsid w:val="005056B4"/>
    <w:rsid w:val="00537E1C"/>
    <w:rsid w:val="005A42CF"/>
    <w:rsid w:val="005F43E0"/>
    <w:rsid w:val="00686A0D"/>
    <w:rsid w:val="006874E7"/>
    <w:rsid w:val="006D4E66"/>
    <w:rsid w:val="006D75E5"/>
    <w:rsid w:val="008414BE"/>
    <w:rsid w:val="00843638"/>
    <w:rsid w:val="008A6E44"/>
    <w:rsid w:val="008B3B4D"/>
    <w:rsid w:val="008D3ABE"/>
    <w:rsid w:val="008D483E"/>
    <w:rsid w:val="008E697A"/>
    <w:rsid w:val="0090789A"/>
    <w:rsid w:val="009453D8"/>
    <w:rsid w:val="0098077E"/>
    <w:rsid w:val="00AA683C"/>
    <w:rsid w:val="00AC5F43"/>
    <w:rsid w:val="00AE03E8"/>
    <w:rsid w:val="00AF439F"/>
    <w:rsid w:val="00BD5072"/>
    <w:rsid w:val="00C074F3"/>
    <w:rsid w:val="00C756A5"/>
    <w:rsid w:val="00C77C60"/>
    <w:rsid w:val="00D10912"/>
    <w:rsid w:val="00D424CC"/>
    <w:rsid w:val="00DC1CA9"/>
    <w:rsid w:val="00EA315B"/>
    <w:rsid w:val="00F13B91"/>
    <w:rsid w:val="00FE6798"/>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E996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F439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F439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F439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F439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F439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F439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F439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F439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F439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439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F439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F439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F439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F439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F439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F439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F439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F439F"/>
    <w:rPr>
      <w:rFonts w:eastAsiaTheme="majorEastAsia" w:cstheme="majorBidi"/>
      <w:color w:val="272727" w:themeColor="text1" w:themeTint="D8"/>
    </w:rPr>
  </w:style>
  <w:style w:type="paragraph" w:styleId="Title">
    <w:name w:val="Title"/>
    <w:basedOn w:val="Normal"/>
    <w:next w:val="Normal"/>
    <w:link w:val="TitleChar"/>
    <w:uiPriority w:val="10"/>
    <w:qFormat/>
    <w:rsid w:val="00AF439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F439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F439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F439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F439F"/>
    <w:pPr>
      <w:spacing w:before="160"/>
      <w:jc w:val="center"/>
    </w:pPr>
    <w:rPr>
      <w:i/>
      <w:iCs/>
      <w:color w:val="404040" w:themeColor="text1" w:themeTint="BF"/>
    </w:rPr>
  </w:style>
  <w:style w:type="character" w:customStyle="1" w:styleId="QuoteChar">
    <w:name w:val="Quote Char"/>
    <w:basedOn w:val="DefaultParagraphFont"/>
    <w:link w:val="Quote"/>
    <w:uiPriority w:val="29"/>
    <w:rsid w:val="00AF439F"/>
    <w:rPr>
      <w:i/>
      <w:iCs/>
      <w:color w:val="404040" w:themeColor="text1" w:themeTint="BF"/>
    </w:rPr>
  </w:style>
  <w:style w:type="paragraph" w:styleId="ListParagraph">
    <w:name w:val="List Paragraph"/>
    <w:basedOn w:val="Normal"/>
    <w:uiPriority w:val="34"/>
    <w:qFormat/>
    <w:rsid w:val="00AF439F"/>
    <w:pPr>
      <w:ind w:left="720"/>
      <w:contextualSpacing/>
    </w:pPr>
  </w:style>
  <w:style w:type="character" w:styleId="IntenseEmphasis">
    <w:name w:val="Intense Emphasis"/>
    <w:basedOn w:val="DefaultParagraphFont"/>
    <w:uiPriority w:val="21"/>
    <w:qFormat/>
    <w:rsid w:val="00AF439F"/>
    <w:rPr>
      <w:i/>
      <w:iCs/>
      <w:color w:val="0F4761" w:themeColor="accent1" w:themeShade="BF"/>
    </w:rPr>
  </w:style>
  <w:style w:type="paragraph" w:styleId="IntenseQuote">
    <w:name w:val="Intense Quote"/>
    <w:basedOn w:val="Normal"/>
    <w:next w:val="Normal"/>
    <w:link w:val="IntenseQuoteChar"/>
    <w:uiPriority w:val="30"/>
    <w:qFormat/>
    <w:rsid w:val="00AF439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F439F"/>
    <w:rPr>
      <w:i/>
      <w:iCs/>
      <w:color w:val="0F4761" w:themeColor="accent1" w:themeShade="BF"/>
    </w:rPr>
  </w:style>
  <w:style w:type="character" w:styleId="IntenseReference">
    <w:name w:val="Intense Reference"/>
    <w:basedOn w:val="DefaultParagraphFont"/>
    <w:uiPriority w:val="32"/>
    <w:qFormat/>
    <w:rsid w:val="00AF439F"/>
    <w:rPr>
      <w:b/>
      <w:bCs/>
      <w:smallCaps/>
      <w:color w:val="0F4761" w:themeColor="accent1" w:themeShade="BF"/>
      <w:spacing w:val="5"/>
    </w:rPr>
  </w:style>
  <w:style w:type="table" w:styleId="TableGrid">
    <w:name w:val="Table Grid"/>
    <w:basedOn w:val="TableNormal"/>
    <w:uiPriority w:val="39"/>
    <w:rsid w:val="00AF43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B3B4D"/>
    <w:rPr>
      <w:color w:val="467886" w:themeColor="hyperlink"/>
      <w:u w:val="single"/>
    </w:rPr>
  </w:style>
  <w:style w:type="character" w:styleId="UnresolvedMention">
    <w:name w:val="Unresolved Mention"/>
    <w:basedOn w:val="DefaultParagraphFont"/>
    <w:uiPriority w:val="99"/>
    <w:semiHidden/>
    <w:unhideWhenUsed/>
    <w:rsid w:val="008B3B4D"/>
    <w:rPr>
      <w:color w:val="605E5C"/>
      <w:shd w:val="clear" w:color="auto" w:fill="E1DFDD"/>
    </w:rPr>
  </w:style>
  <w:style w:type="paragraph" w:styleId="Header">
    <w:name w:val="header"/>
    <w:basedOn w:val="Normal"/>
    <w:link w:val="HeaderChar"/>
    <w:uiPriority w:val="99"/>
    <w:unhideWhenUsed/>
    <w:rsid w:val="005A42CF"/>
    <w:pPr>
      <w:tabs>
        <w:tab w:val="center" w:pos="4536"/>
        <w:tab w:val="right" w:pos="9072"/>
      </w:tabs>
      <w:spacing w:after="0" w:line="240" w:lineRule="auto"/>
    </w:pPr>
  </w:style>
  <w:style w:type="character" w:customStyle="1" w:styleId="HeaderChar">
    <w:name w:val="Header Char"/>
    <w:basedOn w:val="DefaultParagraphFont"/>
    <w:link w:val="Header"/>
    <w:uiPriority w:val="99"/>
    <w:rsid w:val="005A42CF"/>
  </w:style>
  <w:style w:type="paragraph" w:styleId="Footer">
    <w:name w:val="footer"/>
    <w:basedOn w:val="Normal"/>
    <w:link w:val="FooterChar"/>
    <w:uiPriority w:val="99"/>
    <w:unhideWhenUsed/>
    <w:rsid w:val="005A42CF"/>
    <w:pPr>
      <w:tabs>
        <w:tab w:val="center" w:pos="4536"/>
        <w:tab w:val="right" w:pos="9072"/>
      </w:tabs>
      <w:spacing w:after="0" w:line="240" w:lineRule="auto"/>
    </w:pPr>
  </w:style>
  <w:style w:type="character" w:customStyle="1" w:styleId="FooterChar">
    <w:name w:val="Footer Char"/>
    <w:basedOn w:val="DefaultParagraphFont"/>
    <w:link w:val="Footer"/>
    <w:uiPriority w:val="99"/>
    <w:rsid w:val="005A42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2655220">
      <w:bodyDiv w:val="1"/>
      <w:marLeft w:val="0"/>
      <w:marRight w:val="0"/>
      <w:marTop w:val="0"/>
      <w:marBottom w:val="0"/>
      <w:divBdr>
        <w:top w:val="none" w:sz="0" w:space="0" w:color="auto"/>
        <w:left w:val="none" w:sz="0" w:space="0" w:color="auto"/>
        <w:bottom w:val="none" w:sz="0" w:space="0" w:color="auto"/>
        <w:right w:val="none" w:sz="0" w:space="0" w:color="auto"/>
      </w:divBdr>
    </w:div>
    <w:div w:id="1199245363">
      <w:bodyDiv w:val="1"/>
      <w:marLeft w:val="0"/>
      <w:marRight w:val="0"/>
      <w:marTop w:val="0"/>
      <w:marBottom w:val="0"/>
      <w:divBdr>
        <w:top w:val="none" w:sz="0" w:space="0" w:color="auto"/>
        <w:left w:val="none" w:sz="0" w:space="0" w:color="auto"/>
        <w:bottom w:val="none" w:sz="0" w:space="0" w:color="auto"/>
        <w:right w:val="none" w:sz="0" w:space="0" w:color="auto"/>
      </w:divBdr>
    </w:div>
    <w:div w:id="1609042715">
      <w:bodyDiv w:val="1"/>
      <w:marLeft w:val="0"/>
      <w:marRight w:val="0"/>
      <w:marTop w:val="0"/>
      <w:marBottom w:val="0"/>
      <w:divBdr>
        <w:top w:val="none" w:sz="0" w:space="0" w:color="auto"/>
        <w:left w:val="none" w:sz="0" w:space="0" w:color="auto"/>
        <w:bottom w:val="none" w:sz="0" w:space="0" w:color="auto"/>
        <w:right w:val="none" w:sz="0" w:space="0" w:color="auto"/>
      </w:divBdr>
    </w:div>
    <w:div w:id="1949775192">
      <w:bodyDiv w:val="1"/>
      <w:marLeft w:val="0"/>
      <w:marRight w:val="0"/>
      <w:marTop w:val="0"/>
      <w:marBottom w:val="0"/>
      <w:divBdr>
        <w:top w:val="none" w:sz="0" w:space="0" w:color="auto"/>
        <w:left w:val="none" w:sz="0" w:space="0" w:color="auto"/>
        <w:bottom w:val="none" w:sz="0" w:space="0" w:color="auto"/>
        <w:right w:val="none" w:sz="0" w:space="0" w:color="auto"/>
      </w:divBdr>
    </w:div>
    <w:div w:id="2023775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1407</Words>
  <Characters>8024</Characters>
  <Application>Microsoft Office Word</Application>
  <DocSecurity>0</DocSecurity>
  <Lines>66</Lines>
  <Paragraphs>18</Paragraphs>
  <ScaleCrop>false</ScaleCrop>
  <Company/>
  <LinksUpToDate>false</LinksUpToDate>
  <CharactersWithSpaces>9413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2024-03-01T12:50:00Z</dcterms:created>
  <dcterms:modified xsi:type="dcterms:W3CDTF">2024-03-01T12:50:00Z</dcterms:modified>
</cp:coreProperties>
</file>