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4A986" w14:textId="0785964D" w:rsidR="76DD0498" w:rsidRPr="00651389" w:rsidRDefault="76DD0498" w:rsidP="00651389">
      <w:pPr>
        <w:spacing w:after="0" w:line="240" w:lineRule="auto"/>
        <w:rPr>
          <w:rFonts w:ascii="Arial" w:hAnsi="Arial" w:cs="Arial"/>
        </w:rPr>
      </w:pPr>
      <w:r w:rsidRPr="00651389">
        <w:rPr>
          <w:rFonts w:ascii="Arial" w:hAnsi="Arial" w:cs="Arial"/>
        </w:rPr>
        <w:t xml:space="preserve">UKDS Metadata  </w:t>
      </w:r>
    </w:p>
    <w:p w14:paraId="597A1B5C" w14:textId="19414BB3" w:rsidR="76DD0498" w:rsidRPr="00651389" w:rsidRDefault="76DD0498" w:rsidP="00651389">
      <w:pPr>
        <w:spacing w:after="0" w:line="240" w:lineRule="auto"/>
        <w:rPr>
          <w:rFonts w:ascii="Arial" w:hAnsi="Arial" w:cs="Arial"/>
        </w:rPr>
      </w:pPr>
    </w:p>
    <w:p w14:paraId="616F2DDE" w14:textId="226551B2" w:rsidR="001D63A8" w:rsidRPr="00651389" w:rsidRDefault="00134DD1" w:rsidP="00651389">
      <w:pPr>
        <w:spacing w:after="0" w:line="240" w:lineRule="auto"/>
        <w:rPr>
          <w:rFonts w:ascii="Arial" w:hAnsi="Arial" w:cs="Arial"/>
        </w:rPr>
      </w:pPr>
      <w:r w:rsidRPr="00651389">
        <w:rPr>
          <w:rFonts w:ascii="Arial" w:hAnsi="Arial" w:cs="Arial"/>
          <w:b/>
          <w:bCs/>
        </w:rPr>
        <w:t>UK Data Service collection:</w:t>
      </w:r>
      <w:r w:rsidRPr="00651389">
        <w:rPr>
          <w:rFonts w:ascii="Arial" w:hAnsi="Arial" w:cs="Arial"/>
          <w:b/>
          <w:bCs/>
          <w:i/>
          <w:iCs/>
        </w:rPr>
        <w:t xml:space="preserve"> </w:t>
      </w:r>
      <w:r w:rsidRPr="00651389">
        <w:rPr>
          <w:rFonts w:ascii="Arial" w:hAnsi="Arial" w:cs="Arial"/>
        </w:rPr>
        <w:t>‘</w:t>
      </w:r>
      <w:r w:rsidR="001D63A8" w:rsidRPr="00651389">
        <w:rPr>
          <w:rFonts w:ascii="Arial" w:hAnsi="Arial" w:cs="Arial"/>
        </w:rPr>
        <w:t>Prison Regulation for Safer Societies: Participatory, Efficient, Effective?</w:t>
      </w:r>
      <w:r w:rsidRPr="00651389">
        <w:rPr>
          <w:rFonts w:ascii="Arial" w:hAnsi="Arial" w:cs="Arial"/>
        </w:rPr>
        <w:t>’</w:t>
      </w:r>
    </w:p>
    <w:p w14:paraId="5B4FCF8E" w14:textId="77777777" w:rsidR="003C343F" w:rsidRPr="00651389" w:rsidRDefault="003C343F" w:rsidP="00651389">
      <w:pPr>
        <w:spacing w:after="0" w:line="240" w:lineRule="auto"/>
        <w:rPr>
          <w:rFonts w:ascii="Arial" w:hAnsi="Arial" w:cs="Arial"/>
          <w:b/>
          <w:bCs/>
          <w:i/>
          <w:iCs/>
        </w:rPr>
      </w:pPr>
    </w:p>
    <w:p w14:paraId="2743E09C" w14:textId="4A5EE770" w:rsidR="001D63A8" w:rsidRPr="00651389" w:rsidRDefault="006C63E1" w:rsidP="00651389">
      <w:pPr>
        <w:spacing w:after="0" w:line="240" w:lineRule="auto"/>
        <w:rPr>
          <w:rFonts w:ascii="Arial" w:hAnsi="Arial" w:cs="Arial"/>
        </w:rPr>
      </w:pPr>
      <w:r w:rsidRPr="00651389">
        <w:rPr>
          <w:rFonts w:ascii="Arial" w:hAnsi="Arial" w:cs="Arial"/>
          <w:b/>
          <w:bCs/>
        </w:rPr>
        <w:t>Grant ref</w:t>
      </w:r>
      <w:r w:rsidRPr="00651389">
        <w:rPr>
          <w:rFonts w:ascii="Arial" w:hAnsi="Arial" w:cs="Arial"/>
        </w:rPr>
        <w:t xml:space="preserve"> –MR/T019085/1</w:t>
      </w:r>
    </w:p>
    <w:p w14:paraId="39CD54F0" w14:textId="77777777" w:rsidR="008A6CDF" w:rsidRPr="00651389" w:rsidRDefault="008A6CDF" w:rsidP="00651389">
      <w:pPr>
        <w:spacing w:after="0" w:line="240" w:lineRule="auto"/>
        <w:rPr>
          <w:rFonts w:ascii="Arial" w:hAnsi="Arial" w:cs="Arial"/>
          <w:b/>
          <w:bCs/>
        </w:rPr>
      </w:pPr>
    </w:p>
    <w:p w14:paraId="4FB2DFF4" w14:textId="2C224567" w:rsidR="0089237F" w:rsidRPr="00651389" w:rsidRDefault="0089237F" w:rsidP="00651389">
      <w:pPr>
        <w:spacing w:after="0" w:line="240" w:lineRule="auto"/>
        <w:rPr>
          <w:rFonts w:ascii="Arial" w:hAnsi="Arial" w:cs="Arial"/>
        </w:rPr>
      </w:pPr>
      <w:r w:rsidRPr="00651389">
        <w:rPr>
          <w:rFonts w:ascii="Arial" w:hAnsi="Arial" w:cs="Arial"/>
          <w:b/>
          <w:bCs/>
        </w:rPr>
        <w:t>Project Title</w:t>
      </w:r>
      <w:r w:rsidRPr="00651389">
        <w:rPr>
          <w:rFonts w:ascii="Arial" w:hAnsi="Arial" w:cs="Arial"/>
        </w:rPr>
        <w:t xml:space="preserve"> –‘Prison Regulation, for Safer Societies: Participatory, Effective, Efficient</w:t>
      </w:r>
      <w:r w:rsidR="00173675" w:rsidRPr="00651389">
        <w:rPr>
          <w:rFonts w:ascii="Arial" w:hAnsi="Arial" w:cs="Arial"/>
        </w:rPr>
        <w:t>?’</w:t>
      </w:r>
    </w:p>
    <w:p w14:paraId="5F69C675" w14:textId="77777777" w:rsidR="008A6CDF" w:rsidRPr="00651389" w:rsidRDefault="008A6CDF" w:rsidP="00651389">
      <w:pPr>
        <w:spacing w:after="0" w:line="240" w:lineRule="auto"/>
        <w:rPr>
          <w:rFonts w:ascii="Arial" w:hAnsi="Arial" w:cs="Arial"/>
          <w:b/>
          <w:bCs/>
        </w:rPr>
      </w:pPr>
    </w:p>
    <w:p w14:paraId="2039169B" w14:textId="154050D5" w:rsidR="008A6CDF" w:rsidRPr="00651389" w:rsidRDefault="0089237F" w:rsidP="00651389">
      <w:pPr>
        <w:spacing w:after="0" w:line="240" w:lineRule="auto"/>
        <w:rPr>
          <w:rFonts w:ascii="Arial" w:hAnsi="Arial" w:cs="Arial"/>
        </w:rPr>
      </w:pPr>
      <w:r w:rsidRPr="00651389">
        <w:rPr>
          <w:rFonts w:ascii="Arial" w:hAnsi="Arial" w:cs="Arial"/>
          <w:b/>
          <w:bCs/>
        </w:rPr>
        <w:t>Project Description</w:t>
      </w:r>
      <w:r w:rsidRPr="00651389">
        <w:rPr>
          <w:rFonts w:ascii="Arial" w:hAnsi="Arial" w:cs="Arial"/>
        </w:rPr>
        <w:t xml:space="preserve"> -  </w:t>
      </w:r>
    </w:p>
    <w:p w14:paraId="5AB1EAAF" w14:textId="77777777" w:rsidR="00E91460" w:rsidRPr="00651389" w:rsidRDefault="00E91460" w:rsidP="00651389">
      <w:pPr>
        <w:spacing w:after="0" w:line="240" w:lineRule="auto"/>
        <w:rPr>
          <w:rFonts w:ascii="Arial" w:hAnsi="Arial" w:cs="Arial"/>
        </w:rPr>
      </w:pPr>
      <w:r w:rsidRPr="00651389">
        <w:rPr>
          <w:rFonts w:ascii="Arial" w:hAnsi="Arial" w:cs="Arial"/>
        </w:rPr>
        <w:t xml:space="preserve">In May 2019, Dutch courts refused to deport an English suspected drug smuggler, citing the potential for inhuman and degrading treatment at HMP Liverpool. This well publicised judgment illustrates the necessity of my FLF: reconceptualising prison regulation, for safer societies. It seeks to save lives and money, and reduce criminal reoffending. </w:t>
      </w:r>
    </w:p>
    <w:p w14:paraId="768528AB" w14:textId="77777777" w:rsidR="00E91460" w:rsidRPr="00651389" w:rsidRDefault="00E91460" w:rsidP="00651389">
      <w:pPr>
        <w:spacing w:after="0" w:line="240" w:lineRule="auto"/>
        <w:rPr>
          <w:rFonts w:ascii="Arial" w:hAnsi="Arial" w:cs="Arial"/>
        </w:rPr>
      </w:pPr>
    </w:p>
    <w:p w14:paraId="6D7613F1" w14:textId="0FFD45C1" w:rsidR="00E91460" w:rsidRPr="00651389" w:rsidRDefault="00E91460" w:rsidP="00651389">
      <w:pPr>
        <w:spacing w:after="0" w:line="240" w:lineRule="auto"/>
        <w:rPr>
          <w:rFonts w:ascii="Arial" w:hAnsi="Arial" w:cs="Arial"/>
        </w:rPr>
      </w:pPr>
      <w:r w:rsidRPr="7AFA622E">
        <w:rPr>
          <w:rFonts w:ascii="Arial" w:hAnsi="Arial" w:cs="Arial"/>
        </w:rPr>
        <w:t xml:space="preserve">Over 10.74 million people are imprisoned globally. The growing transnational significance of detention regulation was signalled by the Optional Protocol to the United Nations Convention against Torture/OPCAT. Its 89 signatories, including the UK, must regularly examine treatment and conditions. The quality of prison life affects criminal reoffending rates, so the consequences of unsafe prisons are absorbed by our societies. Prison regulation is more urgent than ever. England and </w:t>
      </w:r>
      <w:proofErr w:type="spellStart"/>
      <w:r w:rsidRPr="7AFA622E">
        <w:rPr>
          <w:rFonts w:ascii="Arial" w:hAnsi="Arial" w:cs="Arial"/>
        </w:rPr>
        <w:t>Wales'</w:t>
      </w:r>
      <w:proofErr w:type="spellEnd"/>
      <w:r w:rsidRPr="7AFA622E">
        <w:rPr>
          <w:rFonts w:ascii="Arial" w:hAnsi="Arial" w:cs="Arial"/>
        </w:rPr>
        <w:t xml:space="preserve"> prisons are now less safe than at any point in recorded history, containing almost 83,000 prisoners: virtually all of whom will be released at some point. In 2016, record prison suicides harmed prisoners, staff and bereaved families, draining </w:t>
      </w:r>
      <w:r w:rsidR="27FB282E" w:rsidRPr="7AFA622E">
        <w:rPr>
          <w:rFonts w:ascii="Arial" w:hAnsi="Arial" w:cs="Arial"/>
        </w:rPr>
        <w:t>£</w:t>
      </w:r>
      <w:r w:rsidRPr="7AFA622E">
        <w:rPr>
          <w:rFonts w:ascii="Arial" w:hAnsi="Arial" w:cs="Arial"/>
        </w:rPr>
        <w:t xml:space="preserve">385 million from public funds. Record prisoner self-harm was seen in 2017, then again in 2018. Criminal reoffending costs </w:t>
      </w:r>
      <w:r w:rsidR="4D0F0E95" w:rsidRPr="7AFA622E">
        <w:rPr>
          <w:rFonts w:ascii="Arial" w:hAnsi="Arial" w:cs="Arial"/>
        </w:rPr>
        <w:t>£</w:t>
      </w:r>
      <w:r w:rsidRPr="7AFA622E">
        <w:rPr>
          <w:rFonts w:ascii="Arial" w:hAnsi="Arial" w:cs="Arial"/>
        </w:rPr>
        <w:t xml:space="preserve">15 billion annually. Deteriorating prison safety poses a major moral, social, economic and public health threat, attracting growing recognition. </w:t>
      </w:r>
    </w:p>
    <w:p w14:paraId="65E7ED13" w14:textId="77777777" w:rsidR="00E91460" w:rsidRPr="00651389" w:rsidRDefault="00E91460" w:rsidP="00651389">
      <w:pPr>
        <w:spacing w:after="0" w:line="240" w:lineRule="auto"/>
        <w:rPr>
          <w:rFonts w:ascii="Arial" w:hAnsi="Arial" w:cs="Arial"/>
        </w:rPr>
      </w:pPr>
    </w:p>
    <w:p w14:paraId="0D7EDABB" w14:textId="5B9DDA83" w:rsidR="00E91460" w:rsidRPr="00651389" w:rsidRDefault="00E91460" w:rsidP="00651389">
      <w:pPr>
        <w:spacing w:after="0" w:line="240" w:lineRule="auto"/>
        <w:rPr>
          <w:rFonts w:ascii="Arial" w:hAnsi="Arial" w:cs="Arial"/>
        </w:rPr>
      </w:pPr>
      <w:r w:rsidRPr="4D597086">
        <w:rPr>
          <w:rFonts w:ascii="Arial" w:hAnsi="Arial" w:cs="Arial"/>
        </w:rPr>
        <w:t>Reconceptualising prison regulation is a difficult multidisciplinary challenge. Regulation includes any activity seeking to steer events in prisons. Effective prison regulation demands academic innovation and sustained collaboration and implementation with practitioners from different sectors (e.g. public, voluntary), regulators, policymakers, and prisoners: from local to (trans)national levels. Citizen participation has become central to realising more democratic, sustainable public services but is not well integrated across theory-policy-practice. .</w:t>
      </w:r>
    </w:p>
    <w:p w14:paraId="5699EFD4" w14:textId="77777777" w:rsidR="00E91460" w:rsidRPr="00651389" w:rsidRDefault="00E91460" w:rsidP="00651389">
      <w:pPr>
        <w:spacing w:after="0" w:line="240" w:lineRule="auto"/>
        <w:rPr>
          <w:rFonts w:ascii="Arial" w:hAnsi="Arial" w:cs="Arial"/>
        </w:rPr>
      </w:pPr>
    </w:p>
    <w:p w14:paraId="6A92852F" w14:textId="77777777" w:rsidR="00E91460" w:rsidRPr="00651389" w:rsidRDefault="00E91460" w:rsidP="00651389">
      <w:pPr>
        <w:spacing w:after="0" w:line="240" w:lineRule="auto"/>
        <w:rPr>
          <w:rFonts w:ascii="Arial" w:hAnsi="Arial" w:cs="Arial"/>
        </w:rPr>
      </w:pPr>
      <w:r w:rsidRPr="00651389">
        <w:rPr>
          <w:rFonts w:ascii="Arial" w:hAnsi="Arial" w:cs="Arial"/>
        </w:rPr>
        <w:t xml:space="preserve">This FLF examines three diverse case study countries: England and Wales, Brazil and Canada, developing multinational implications. This approach is ambitious and risky, but critical for challenging commonsensical beliefs. Interviews, focus groups, observation and creative methodologies will be used. There are three aims, to: </w:t>
      </w:r>
    </w:p>
    <w:p w14:paraId="120C4EDE" w14:textId="77777777" w:rsidR="00E91460" w:rsidRPr="00651389" w:rsidRDefault="00E91460" w:rsidP="00651389">
      <w:pPr>
        <w:spacing w:after="0" w:line="240" w:lineRule="auto"/>
        <w:rPr>
          <w:rFonts w:ascii="Arial" w:hAnsi="Arial" w:cs="Arial"/>
        </w:rPr>
      </w:pPr>
      <w:proofErr w:type="spellStart"/>
      <w:r w:rsidRPr="00651389">
        <w:rPr>
          <w:rFonts w:ascii="Arial" w:hAnsi="Arial" w:cs="Arial"/>
        </w:rPr>
        <w:t>i</w:t>
      </w:r>
      <w:proofErr w:type="spellEnd"/>
      <w:r w:rsidRPr="00651389">
        <w:rPr>
          <w:rFonts w:ascii="Arial" w:hAnsi="Arial" w:cs="Arial"/>
        </w:rPr>
        <w:t xml:space="preserve">) theorise the (potential) participatory roles of prisoners and the voluntary sector in prison regulation </w:t>
      </w:r>
    </w:p>
    <w:p w14:paraId="7D3A589C" w14:textId="77777777" w:rsidR="00E91460" w:rsidRPr="00651389" w:rsidRDefault="00E91460" w:rsidP="00651389">
      <w:pPr>
        <w:spacing w:after="0" w:line="240" w:lineRule="auto"/>
        <w:rPr>
          <w:rFonts w:ascii="Arial" w:hAnsi="Arial" w:cs="Arial"/>
        </w:rPr>
      </w:pPr>
      <w:r w:rsidRPr="00651389">
        <w:rPr>
          <w:rFonts w:ascii="Arial" w:hAnsi="Arial" w:cs="Arial"/>
        </w:rPr>
        <w:t xml:space="preserve">ii) appraise the (normative) relationships between multisectoral regulators (e.g. public, voluntary) from local to (trans)national scales </w:t>
      </w:r>
    </w:p>
    <w:p w14:paraId="42666131" w14:textId="77777777" w:rsidR="00E91460" w:rsidRPr="00651389" w:rsidRDefault="00E91460" w:rsidP="00651389">
      <w:pPr>
        <w:spacing w:after="0" w:line="240" w:lineRule="auto"/>
        <w:rPr>
          <w:rFonts w:ascii="Arial" w:hAnsi="Arial" w:cs="Arial"/>
        </w:rPr>
      </w:pPr>
      <w:r w:rsidRPr="00651389">
        <w:rPr>
          <w:rFonts w:ascii="Arial" w:hAnsi="Arial" w:cs="Arial"/>
        </w:rPr>
        <w:t xml:space="preserve">iii) co-produce (with multisectoral regulators), pilot, document and disseminate models of participatory, effective and efficient prison regulation in England and Wales (and beyond) - integrating multisectoral, </w:t>
      </w:r>
      <w:proofErr w:type="spellStart"/>
      <w:r w:rsidRPr="00651389">
        <w:rPr>
          <w:rFonts w:ascii="Arial" w:hAnsi="Arial" w:cs="Arial"/>
        </w:rPr>
        <w:t>multiscalar</w:t>
      </w:r>
      <w:proofErr w:type="spellEnd"/>
      <w:r w:rsidRPr="00651389">
        <w:rPr>
          <w:rFonts w:ascii="Arial" w:hAnsi="Arial" w:cs="Arial"/>
        </w:rPr>
        <w:t xml:space="preserve"> penal overseers and prisoners into regulatory theory and practice.</w:t>
      </w:r>
    </w:p>
    <w:p w14:paraId="077B5E5C" w14:textId="77777777" w:rsidR="00E91460" w:rsidRPr="00651389" w:rsidRDefault="00E91460" w:rsidP="00651389">
      <w:pPr>
        <w:spacing w:after="0" w:line="240" w:lineRule="auto"/>
        <w:rPr>
          <w:rFonts w:ascii="Arial" w:hAnsi="Arial" w:cs="Arial"/>
        </w:rPr>
      </w:pPr>
      <w:r w:rsidRPr="00651389">
        <w:rPr>
          <w:rFonts w:ascii="Arial" w:hAnsi="Arial" w:cs="Arial"/>
        </w:rPr>
        <w:t xml:space="preserve">This is an innovative study. Punishment scholars have paid limited attention to regulation. Participatory networks of (former) prisoners are a relatively new formation but rapidly growing in influence. Nobody has yet considered agencies like the Prisons Inspectorate and Ombudsman alongside voluntary sector organisations and participatory networks, nor their collective influences from local to transnational scales. Nobody has tried to work with all of these agencies to reconceptualise prison regulation and test it in practice. </w:t>
      </w:r>
    </w:p>
    <w:p w14:paraId="7600BFAD" w14:textId="77777777" w:rsidR="00E91460" w:rsidRPr="00651389" w:rsidRDefault="00E91460" w:rsidP="00651389">
      <w:pPr>
        <w:spacing w:after="0" w:line="240" w:lineRule="auto"/>
        <w:rPr>
          <w:rFonts w:ascii="Arial" w:hAnsi="Arial" w:cs="Arial"/>
        </w:rPr>
      </w:pPr>
      <w:r w:rsidRPr="00651389">
        <w:rPr>
          <w:rFonts w:ascii="Arial" w:hAnsi="Arial" w:cs="Arial"/>
        </w:rPr>
        <w:t>Findings will be developed, disseminated and implemented internationally. The research team will present findings and engage with diverse stakeholders and decision makers through interactive workshops (Parliament, London, Manchester, Liverpool and Birmingham), and multimedia outputs (e.g. infographics). This FLF has implications for prisons and detention globally, and broader relevance as a case study of participatory regulation of public services and policy translation.</w:t>
      </w:r>
    </w:p>
    <w:p w14:paraId="32EFD162" w14:textId="77777777" w:rsidR="008A6CDF" w:rsidRPr="00651389" w:rsidRDefault="008A6CDF" w:rsidP="00651389">
      <w:pPr>
        <w:spacing w:after="0" w:line="240" w:lineRule="auto"/>
        <w:rPr>
          <w:rFonts w:ascii="Arial" w:hAnsi="Arial" w:cs="Arial"/>
          <w:b/>
          <w:bCs/>
        </w:rPr>
      </w:pPr>
    </w:p>
    <w:p w14:paraId="6399A017" w14:textId="12EA76DA" w:rsidR="0089237F" w:rsidRPr="00651389" w:rsidRDefault="0089237F" w:rsidP="00651389">
      <w:pPr>
        <w:spacing w:after="0" w:line="240" w:lineRule="auto"/>
        <w:rPr>
          <w:rStyle w:val="nlmfn"/>
          <w:rFonts w:ascii="Arial" w:eastAsia="Times New Roman" w:hAnsi="Arial" w:cs="Arial"/>
          <w:b/>
          <w:bCs/>
        </w:rPr>
      </w:pPr>
      <w:r w:rsidRPr="00651389">
        <w:rPr>
          <w:rFonts w:ascii="Arial" w:hAnsi="Arial" w:cs="Arial"/>
          <w:b/>
          <w:bCs/>
        </w:rPr>
        <w:t>Sponsors</w:t>
      </w:r>
      <w:r w:rsidRPr="00651389">
        <w:rPr>
          <w:rFonts w:ascii="Arial" w:hAnsi="Arial" w:cs="Arial"/>
        </w:rPr>
        <w:t xml:space="preserve"> </w:t>
      </w:r>
      <w:r w:rsidR="0076743F" w:rsidRPr="00651389">
        <w:rPr>
          <w:rFonts w:ascii="Arial" w:hAnsi="Arial" w:cs="Arial"/>
        </w:rPr>
        <w:t>– ‘</w:t>
      </w:r>
      <w:r w:rsidRPr="00651389">
        <w:rPr>
          <w:rFonts w:ascii="Arial" w:eastAsia="Times New Roman" w:hAnsi="Arial" w:cs="Arial"/>
        </w:rPr>
        <w:t xml:space="preserve">the Economic and Social Research Council under the University of Nottingham Impact Accelerator Award and Nottingham Impact Accelerator Knowledge Exchange Prize; and </w:t>
      </w:r>
      <w:r w:rsidRPr="00651389">
        <w:rPr>
          <w:rFonts w:ascii="Arial" w:hAnsi="Arial" w:cs="Arial"/>
          <w:i/>
          <w:iCs/>
        </w:rPr>
        <w:t xml:space="preserve">SPF-QR funding </w:t>
      </w:r>
      <w:r w:rsidRPr="00651389">
        <w:rPr>
          <w:rFonts w:ascii="Arial" w:hAnsi="Arial" w:cs="Arial"/>
        </w:rPr>
        <w:t>awarded to the University of Nottingham by Research England (2021)</w:t>
      </w:r>
      <w:r w:rsidRPr="00651389">
        <w:rPr>
          <w:rStyle w:val="nlmfn"/>
          <w:rFonts w:ascii="Arial" w:hAnsi="Arial" w:cs="Arial"/>
        </w:rPr>
        <w:t>.</w:t>
      </w:r>
      <w:r w:rsidRPr="00651389">
        <w:rPr>
          <w:rStyle w:val="nlmfn"/>
          <w:rFonts w:ascii="Arial" w:eastAsia="Times New Roman" w:hAnsi="Arial" w:cs="Arial"/>
          <w:b/>
          <w:bCs/>
        </w:rPr>
        <w:t xml:space="preserve"> </w:t>
      </w:r>
    </w:p>
    <w:p w14:paraId="30EAEFE7" w14:textId="77777777" w:rsidR="00173675" w:rsidRPr="00651389" w:rsidRDefault="00173675" w:rsidP="00651389">
      <w:pPr>
        <w:spacing w:after="0" w:line="240" w:lineRule="auto"/>
        <w:rPr>
          <w:rStyle w:val="nlmfn"/>
          <w:rFonts w:ascii="Arial" w:eastAsia="Times New Roman" w:hAnsi="Arial" w:cs="Arial"/>
          <w:b/>
          <w:bCs/>
        </w:rPr>
      </w:pPr>
    </w:p>
    <w:p w14:paraId="12E68FA1" w14:textId="5A748582" w:rsidR="00A11660" w:rsidRPr="00651389" w:rsidRDefault="006C63E1" w:rsidP="00651389">
      <w:pPr>
        <w:spacing w:after="0" w:line="240" w:lineRule="auto"/>
        <w:rPr>
          <w:rFonts w:ascii="Arial" w:hAnsi="Arial" w:cs="Arial"/>
        </w:rPr>
      </w:pPr>
      <w:r w:rsidRPr="00651389">
        <w:rPr>
          <w:rFonts w:ascii="Arial" w:hAnsi="Arial" w:cs="Arial"/>
          <w:b/>
          <w:bCs/>
        </w:rPr>
        <w:t>Grant Holders</w:t>
      </w:r>
      <w:r w:rsidRPr="00651389">
        <w:rPr>
          <w:rFonts w:ascii="Arial" w:hAnsi="Arial" w:cs="Arial"/>
        </w:rPr>
        <w:t xml:space="preserve">: </w:t>
      </w:r>
      <w:r w:rsidR="00A11660" w:rsidRPr="00651389">
        <w:rPr>
          <w:rFonts w:ascii="Arial" w:hAnsi="Arial" w:cs="Arial"/>
        </w:rPr>
        <w:t>Dr Philippa Tomczak</w:t>
      </w:r>
      <w:r w:rsidRPr="00651389">
        <w:rPr>
          <w:rFonts w:ascii="Arial" w:hAnsi="Arial" w:cs="Arial"/>
        </w:rPr>
        <w:t xml:space="preserve"> </w:t>
      </w:r>
    </w:p>
    <w:p w14:paraId="01A654F1" w14:textId="03BF2DBA" w:rsidR="006C63E1" w:rsidRPr="00651389" w:rsidRDefault="006C63E1" w:rsidP="00651389">
      <w:pPr>
        <w:spacing w:after="0" w:line="240" w:lineRule="auto"/>
        <w:rPr>
          <w:rStyle w:val="nlmfn"/>
          <w:rFonts w:ascii="Arial" w:eastAsia="Times New Roman" w:hAnsi="Arial" w:cs="Arial"/>
        </w:rPr>
      </w:pPr>
      <w:r w:rsidRPr="00651389">
        <w:rPr>
          <w:rStyle w:val="nlmfn"/>
          <w:rFonts w:ascii="Arial" w:eastAsia="Times New Roman" w:hAnsi="Arial" w:cs="Arial"/>
          <w:b/>
          <w:bCs/>
        </w:rPr>
        <w:t>Project dates</w:t>
      </w:r>
      <w:r w:rsidRPr="00651389">
        <w:rPr>
          <w:rStyle w:val="nlmfn"/>
          <w:rFonts w:ascii="Arial" w:eastAsia="Times New Roman" w:hAnsi="Arial" w:cs="Arial"/>
        </w:rPr>
        <w:t xml:space="preserve"> –</w:t>
      </w:r>
      <w:r w:rsidR="008A6CDF" w:rsidRPr="00651389">
        <w:rPr>
          <w:rStyle w:val="nlmfn"/>
          <w:rFonts w:ascii="Arial" w:eastAsia="Times New Roman" w:hAnsi="Arial" w:cs="Arial"/>
        </w:rPr>
        <w:t xml:space="preserve"> </w:t>
      </w:r>
      <w:r w:rsidRPr="00651389">
        <w:rPr>
          <w:rStyle w:val="nlmfn"/>
          <w:rFonts w:ascii="Arial" w:eastAsia="Times New Roman" w:hAnsi="Arial" w:cs="Arial"/>
        </w:rPr>
        <w:t>01/11/2020-31/10/2024</w:t>
      </w:r>
    </w:p>
    <w:p w14:paraId="32323686" w14:textId="77777777" w:rsidR="0076743F" w:rsidRPr="00651389" w:rsidRDefault="0076743F" w:rsidP="00651389">
      <w:pPr>
        <w:spacing w:after="0" w:line="240" w:lineRule="auto"/>
        <w:rPr>
          <w:rStyle w:val="nlmfn"/>
          <w:rFonts w:ascii="Arial" w:eastAsia="Times New Roman" w:hAnsi="Arial" w:cs="Arial"/>
          <w:b/>
          <w:bCs/>
        </w:rPr>
      </w:pPr>
    </w:p>
    <w:p w14:paraId="5B5E3270" w14:textId="47DE3208" w:rsidR="006C63E1" w:rsidRPr="00651389" w:rsidRDefault="006C63E1" w:rsidP="00651389">
      <w:pPr>
        <w:spacing w:after="0" w:line="240" w:lineRule="auto"/>
        <w:rPr>
          <w:rStyle w:val="nlmfn"/>
          <w:rFonts w:ascii="Arial" w:eastAsia="Times New Roman" w:hAnsi="Arial" w:cs="Arial"/>
          <w:i/>
          <w:iCs/>
        </w:rPr>
      </w:pPr>
      <w:r w:rsidRPr="00651389">
        <w:rPr>
          <w:rStyle w:val="nlmfn"/>
          <w:rFonts w:ascii="Arial" w:eastAsia="Times New Roman" w:hAnsi="Arial" w:cs="Arial"/>
          <w:b/>
          <w:bCs/>
        </w:rPr>
        <w:t>Data Creators</w:t>
      </w:r>
      <w:r w:rsidRPr="00651389">
        <w:rPr>
          <w:rStyle w:val="nlmfn"/>
          <w:rFonts w:ascii="Arial" w:eastAsia="Times New Roman" w:hAnsi="Arial" w:cs="Arial"/>
        </w:rPr>
        <w:t xml:space="preserve"> </w:t>
      </w:r>
      <w:r w:rsidR="00366AFA" w:rsidRPr="00651389">
        <w:rPr>
          <w:rStyle w:val="nlmfn"/>
          <w:rFonts w:ascii="Arial" w:eastAsia="Times New Roman" w:hAnsi="Arial" w:cs="Arial"/>
        </w:rPr>
        <w:t>–</w:t>
      </w:r>
      <w:r w:rsidRPr="00651389">
        <w:rPr>
          <w:rStyle w:val="nlmfn"/>
          <w:rFonts w:ascii="Arial" w:eastAsia="Times New Roman" w:hAnsi="Arial" w:cs="Arial"/>
        </w:rPr>
        <w:t xml:space="preserve"> </w:t>
      </w:r>
      <w:r w:rsidR="00366AFA" w:rsidRPr="00651389">
        <w:rPr>
          <w:rStyle w:val="nlmfn"/>
          <w:rFonts w:ascii="Arial" w:eastAsia="Times New Roman" w:hAnsi="Arial" w:cs="Arial"/>
          <w:i/>
          <w:iCs/>
        </w:rPr>
        <w:t>pre-</w:t>
      </w:r>
      <w:r w:rsidR="00C245F2" w:rsidRPr="00651389">
        <w:rPr>
          <w:rStyle w:val="nlmfn"/>
          <w:rFonts w:ascii="Arial" w:eastAsia="Times New Roman" w:hAnsi="Arial" w:cs="Arial"/>
          <w:i/>
          <w:iCs/>
        </w:rPr>
        <w:t xml:space="preserve">populated </w:t>
      </w:r>
      <w:r w:rsidR="008E65B0" w:rsidRPr="00651389">
        <w:rPr>
          <w:rStyle w:val="nlmfn"/>
          <w:rFonts w:ascii="Arial" w:eastAsia="Times New Roman" w:hAnsi="Arial" w:cs="Arial"/>
          <w:i/>
          <w:iCs/>
        </w:rPr>
        <w:t xml:space="preserve">with </w:t>
      </w:r>
      <w:r w:rsidR="00C245F2" w:rsidRPr="00651389">
        <w:rPr>
          <w:rStyle w:val="nlmfn"/>
          <w:rFonts w:ascii="Arial" w:eastAsia="Times New Roman" w:hAnsi="Arial" w:cs="Arial"/>
          <w:i/>
          <w:iCs/>
        </w:rPr>
        <w:t>grant holder</w:t>
      </w:r>
      <w:r w:rsidR="00366AFA" w:rsidRPr="00651389">
        <w:rPr>
          <w:rStyle w:val="nlmfn"/>
          <w:rFonts w:ascii="Arial" w:eastAsia="Times New Roman" w:hAnsi="Arial" w:cs="Arial"/>
          <w:i/>
          <w:iCs/>
        </w:rPr>
        <w:t xml:space="preserve"> but need to acknowledge the other creators of this data *NB ORCID identifiers as URLs required alongside name, email, </w:t>
      </w:r>
      <w:r w:rsidR="008E65B0" w:rsidRPr="00651389">
        <w:rPr>
          <w:rStyle w:val="nlmfn"/>
          <w:rFonts w:ascii="Arial" w:eastAsia="Times New Roman" w:hAnsi="Arial" w:cs="Arial"/>
          <w:i/>
          <w:iCs/>
        </w:rPr>
        <w:t>affiliation</w:t>
      </w:r>
      <w:r w:rsidR="00366AFA" w:rsidRPr="00651389">
        <w:rPr>
          <w:rStyle w:val="nlmfn"/>
          <w:rFonts w:ascii="Arial" w:eastAsia="Times New Roman" w:hAnsi="Arial" w:cs="Arial"/>
          <w:i/>
          <w:iCs/>
        </w:rPr>
        <w:t>.</w:t>
      </w:r>
      <w:r w:rsidR="008E65B0" w:rsidRPr="00651389">
        <w:rPr>
          <w:rStyle w:val="nlmfn"/>
          <w:rFonts w:ascii="Arial" w:eastAsia="Times New Roman" w:hAnsi="Arial" w:cs="Arial"/>
          <w:i/>
          <w:iCs/>
        </w:rPr>
        <w:t xml:space="preserve"> Populated with PT and Sara Hyde.</w:t>
      </w:r>
      <w:r w:rsidR="008A6CDF" w:rsidRPr="00651389">
        <w:rPr>
          <w:rStyle w:val="nlmfn"/>
          <w:rFonts w:ascii="Arial" w:eastAsia="Times New Roman" w:hAnsi="Arial" w:cs="Arial"/>
          <w:i/>
          <w:iCs/>
        </w:rPr>
        <w:t xml:space="preserve"> </w:t>
      </w:r>
    </w:p>
    <w:p w14:paraId="589E78ED" w14:textId="5AECF109" w:rsidR="008A6CDF" w:rsidRPr="00651389" w:rsidRDefault="008A6CDF" w:rsidP="00651389">
      <w:pPr>
        <w:spacing w:after="0" w:line="240" w:lineRule="auto"/>
        <w:rPr>
          <w:rStyle w:val="nlmfn"/>
          <w:rFonts w:ascii="Arial" w:eastAsia="Times New Roman" w:hAnsi="Arial" w:cs="Arial"/>
        </w:rPr>
      </w:pPr>
      <w:r w:rsidRPr="00651389">
        <w:rPr>
          <w:rStyle w:val="nlmfn"/>
          <w:rFonts w:ascii="Arial" w:eastAsia="Times New Roman" w:hAnsi="Arial" w:cs="Arial"/>
        </w:rPr>
        <w:t xml:space="preserve">Gillian Buck </w:t>
      </w:r>
      <w:hyperlink r:id="rId8" w:history="1">
        <w:r w:rsidRPr="00651389">
          <w:rPr>
            <w:rStyle w:val="Hyperlink"/>
            <w:rFonts w:ascii="Arial" w:eastAsia="Times New Roman" w:hAnsi="Arial" w:cs="Arial"/>
          </w:rPr>
          <w:t>https://orcid.org/0000-0003-4398-8445</w:t>
        </w:r>
      </w:hyperlink>
      <w:r w:rsidRPr="00651389">
        <w:rPr>
          <w:rStyle w:val="nlmfn"/>
          <w:rFonts w:ascii="Arial" w:eastAsia="Times New Roman" w:hAnsi="Arial" w:cs="Arial"/>
        </w:rPr>
        <w:t xml:space="preserve"> </w:t>
      </w:r>
    </w:p>
    <w:p w14:paraId="7D52179F" w14:textId="0D80D18A" w:rsidR="008A6CDF" w:rsidRPr="00651389" w:rsidRDefault="008A6CDF" w:rsidP="00651389">
      <w:pPr>
        <w:spacing w:after="0" w:line="240" w:lineRule="auto"/>
        <w:rPr>
          <w:rStyle w:val="nlmfn"/>
          <w:rFonts w:ascii="Arial" w:eastAsia="Times New Roman" w:hAnsi="Arial" w:cs="Arial"/>
          <w:i/>
          <w:iCs/>
        </w:rPr>
      </w:pPr>
      <w:r w:rsidRPr="00651389">
        <w:rPr>
          <w:rStyle w:val="nlmfn"/>
          <w:rFonts w:ascii="Arial" w:eastAsia="Times New Roman" w:hAnsi="Arial" w:cs="Arial"/>
        </w:rPr>
        <w:t xml:space="preserve">Philippa Tomczak </w:t>
      </w:r>
      <w:hyperlink r:id="rId9" w:history="1">
        <w:r w:rsidRPr="00651389">
          <w:rPr>
            <w:rStyle w:val="Hyperlink"/>
            <w:rFonts w:ascii="Arial" w:eastAsia="Times New Roman" w:hAnsi="Arial" w:cs="Arial"/>
          </w:rPr>
          <w:t>https://orcid.org/0000-0002-2347-2479</w:t>
        </w:r>
      </w:hyperlink>
      <w:r w:rsidRPr="00651389">
        <w:rPr>
          <w:rStyle w:val="nlmfn"/>
          <w:rFonts w:ascii="Arial" w:eastAsia="Times New Roman" w:hAnsi="Arial" w:cs="Arial"/>
          <w:i/>
          <w:iCs/>
        </w:rPr>
        <w:t xml:space="preserve"> </w:t>
      </w:r>
    </w:p>
    <w:p w14:paraId="2BFE2121" w14:textId="77777777" w:rsidR="008A6CDF" w:rsidRPr="00651389" w:rsidRDefault="008A6CDF" w:rsidP="00651389">
      <w:pPr>
        <w:spacing w:after="0" w:line="240" w:lineRule="auto"/>
        <w:rPr>
          <w:rStyle w:val="nlmfn"/>
          <w:rFonts w:ascii="Arial" w:eastAsia="Times New Roman" w:hAnsi="Arial" w:cs="Arial"/>
          <w:b/>
          <w:bCs/>
        </w:rPr>
      </w:pPr>
    </w:p>
    <w:p w14:paraId="19EE163C" w14:textId="4EE7C1AE" w:rsidR="00366AFA" w:rsidRPr="00651389" w:rsidRDefault="00366AFA" w:rsidP="00651389">
      <w:pPr>
        <w:spacing w:after="0" w:line="240" w:lineRule="auto"/>
        <w:rPr>
          <w:rFonts w:ascii="Arial" w:hAnsi="Arial" w:cs="Arial"/>
          <w:color w:val="333333"/>
          <w:shd w:val="clear" w:color="auto" w:fill="FAFAFA"/>
        </w:rPr>
      </w:pPr>
      <w:r w:rsidRPr="00651389">
        <w:rPr>
          <w:rStyle w:val="nlmfn"/>
          <w:rFonts w:ascii="Arial" w:eastAsia="Times New Roman" w:hAnsi="Arial" w:cs="Arial"/>
          <w:b/>
          <w:bCs/>
        </w:rPr>
        <w:t>Rights owners</w:t>
      </w:r>
      <w:r w:rsidRPr="00651389">
        <w:rPr>
          <w:rStyle w:val="nlmfn"/>
          <w:rFonts w:ascii="Arial" w:eastAsia="Times New Roman" w:hAnsi="Arial" w:cs="Arial"/>
        </w:rPr>
        <w:t xml:space="preserve"> </w:t>
      </w:r>
      <w:r w:rsidR="00C245F2" w:rsidRPr="00651389">
        <w:rPr>
          <w:rFonts w:ascii="Arial" w:hAnsi="Arial" w:cs="Arial"/>
          <w:i/>
          <w:iCs/>
          <w:color w:val="333333"/>
          <w:shd w:val="clear" w:color="auto" w:fill="FAFAFA"/>
        </w:rPr>
        <w:t>State the copyright holding individuals and/or organisations for the data collection. Only include the name of your organisation or university (not department) as affiliation</w:t>
      </w:r>
      <w:r w:rsidR="008A6CDF" w:rsidRPr="00651389">
        <w:rPr>
          <w:rFonts w:ascii="Arial" w:hAnsi="Arial" w:cs="Arial"/>
          <w:i/>
          <w:iCs/>
          <w:color w:val="333333"/>
          <w:shd w:val="clear" w:color="auto" w:fill="FAFAFA"/>
        </w:rPr>
        <w:t xml:space="preserve"> </w:t>
      </w:r>
      <w:r w:rsidR="008A6CDF" w:rsidRPr="00651389">
        <w:rPr>
          <w:rFonts w:ascii="Arial" w:hAnsi="Arial" w:cs="Arial"/>
          <w:color w:val="333333"/>
          <w:shd w:val="clear" w:color="auto" w:fill="FAFAFA"/>
        </w:rPr>
        <w:t>Gillian Buck, University of Chester; Philippa Tomczak, University of Nottingham.</w:t>
      </w:r>
    </w:p>
    <w:p w14:paraId="5EEFD069" w14:textId="77777777" w:rsidR="008E65B0" w:rsidRPr="00651389" w:rsidRDefault="008E65B0" w:rsidP="00651389">
      <w:pPr>
        <w:spacing w:after="0" w:line="240" w:lineRule="auto"/>
        <w:rPr>
          <w:rStyle w:val="nlmfn"/>
          <w:rFonts w:ascii="Arial" w:eastAsia="Times New Roman" w:hAnsi="Arial" w:cs="Arial"/>
          <w:i/>
          <w:iCs/>
        </w:rPr>
      </w:pPr>
    </w:p>
    <w:p w14:paraId="3F7B8C7B" w14:textId="1C366D86" w:rsidR="00173675" w:rsidRPr="00651389" w:rsidRDefault="00366AFA" w:rsidP="00651389">
      <w:pPr>
        <w:spacing w:after="0" w:line="240" w:lineRule="auto"/>
        <w:rPr>
          <w:rFonts w:ascii="Arial" w:hAnsi="Arial" w:cs="Arial"/>
          <w:color w:val="333333"/>
          <w:shd w:val="clear" w:color="auto" w:fill="FAFAFA"/>
        </w:rPr>
      </w:pPr>
      <w:r w:rsidRPr="00651389">
        <w:rPr>
          <w:rStyle w:val="nlmfn"/>
          <w:rFonts w:ascii="Arial" w:eastAsia="Times New Roman" w:hAnsi="Arial" w:cs="Arial"/>
          <w:b/>
          <w:bCs/>
        </w:rPr>
        <w:t>Contact</w:t>
      </w:r>
      <w:r w:rsidRPr="00651389">
        <w:rPr>
          <w:rStyle w:val="nlmfn"/>
          <w:rFonts w:ascii="Arial" w:eastAsia="Times New Roman" w:hAnsi="Arial" w:cs="Arial"/>
        </w:rPr>
        <w:t xml:space="preserve"> – </w:t>
      </w:r>
      <w:r w:rsidR="007B51FF" w:rsidRPr="00651389">
        <w:rPr>
          <w:rFonts w:ascii="Arial" w:hAnsi="Arial" w:cs="Arial"/>
          <w:color w:val="333333"/>
          <w:shd w:val="clear" w:color="auto" w:fill="FAFAFA"/>
        </w:rPr>
        <w:t>The main point of contact for enquiries about the data collection. May be an individual, or an organis</w:t>
      </w:r>
      <w:r w:rsidR="00671157" w:rsidRPr="00651389">
        <w:rPr>
          <w:rFonts w:ascii="Arial" w:hAnsi="Arial" w:cs="Arial"/>
          <w:color w:val="333333"/>
          <w:shd w:val="clear" w:color="auto" w:fill="FAFAFA"/>
        </w:rPr>
        <w:t>a</w:t>
      </w:r>
      <w:r w:rsidR="007B51FF" w:rsidRPr="00651389">
        <w:rPr>
          <w:rFonts w:ascii="Arial" w:hAnsi="Arial" w:cs="Arial"/>
          <w:color w:val="333333"/>
          <w:shd w:val="clear" w:color="auto" w:fill="FAFAFA"/>
        </w:rPr>
        <w:t>tion. Only include the name of your organisation or university (not department) as affiliation. An </w:t>
      </w:r>
      <w:hyperlink r:id="rId10" w:tgtFrame="_blank" w:history="1">
        <w:r w:rsidR="007B51FF" w:rsidRPr="00651389">
          <w:rPr>
            <w:rStyle w:val="Hyperlink"/>
            <w:rFonts w:ascii="Arial" w:hAnsi="Arial" w:cs="Arial"/>
            <w:color w:val="294471"/>
            <w:shd w:val="clear" w:color="auto" w:fill="FAFAFA"/>
          </w:rPr>
          <w:t>ORCID</w:t>
        </w:r>
      </w:hyperlink>
      <w:r w:rsidR="007B51FF" w:rsidRPr="00651389">
        <w:rPr>
          <w:rFonts w:ascii="Arial" w:hAnsi="Arial" w:cs="Arial"/>
          <w:color w:val="333333"/>
          <w:shd w:val="clear" w:color="auto" w:fill="FAFAFA"/>
        </w:rPr>
        <w:t> persistent identifier can be submitted as a</w:t>
      </w:r>
      <w:r w:rsidR="00671157" w:rsidRPr="00651389">
        <w:rPr>
          <w:rFonts w:ascii="Arial" w:hAnsi="Arial" w:cs="Arial"/>
          <w:color w:val="333333"/>
          <w:shd w:val="clear" w:color="auto" w:fill="FAFAFA"/>
        </w:rPr>
        <w:t>n</w:t>
      </w:r>
      <w:r w:rsidR="007B51FF" w:rsidRPr="00651389">
        <w:rPr>
          <w:rFonts w:ascii="Arial" w:hAnsi="Arial" w:cs="Arial"/>
          <w:color w:val="333333"/>
          <w:shd w:val="clear" w:color="auto" w:fill="FAFAFA"/>
        </w:rPr>
        <w:t xml:space="preserve"> URL (Open Researcher and Contributor ID).</w:t>
      </w:r>
    </w:p>
    <w:p w14:paraId="1CE630A4" w14:textId="3AED43F3" w:rsidR="00FC298D" w:rsidRPr="00651389" w:rsidRDefault="00671157" w:rsidP="00651389">
      <w:pPr>
        <w:shd w:val="clear" w:color="auto" w:fill="FFFFFF"/>
        <w:spacing w:after="0" w:line="240" w:lineRule="auto"/>
        <w:rPr>
          <w:rStyle w:val="nlmfn"/>
          <w:rFonts w:ascii="Arial" w:eastAsia="Times New Roman" w:hAnsi="Arial" w:cs="Arial"/>
          <w:color w:val="000000"/>
          <w:lang w:eastAsia="en-GB"/>
        </w:rPr>
      </w:pPr>
      <w:r w:rsidRPr="00651389">
        <w:rPr>
          <w:rFonts w:ascii="Arial" w:hAnsi="Arial" w:cs="Arial"/>
          <w:color w:val="333333"/>
          <w:shd w:val="clear" w:color="auto" w:fill="FAFAFA"/>
        </w:rPr>
        <w:t>Philippa Tomczak</w:t>
      </w:r>
      <w:r w:rsidR="00F03CD0" w:rsidRPr="00651389">
        <w:rPr>
          <w:rFonts w:ascii="Arial" w:hAnsi="Arial" w:cs="Arial"/>
          <w:color w:val="333333"/>
          <w:shd w:val="clear" w:color="auto" w:fill="FAFAFA"/>
        </w:rPr>
        <w:t xml:space="preserve"> </w:t>
      </w:r>
      <w:hyperlink r:id="rId11" w:history="1">
        <w:r w:rsidR="008A6CDF" w:rsidRPr="00651389">
          <w:rPr>
            <w:rStyle w:val="Hyperlink"/>
            <w:rFonts w:ascii="Arial" w:eastAsia="Times New Roman" w:hAnsi="Arial" w:cs="Arial"/>
            <w:lang w:eastAsia="en-GB"/>
          </w:rPr>
          <w:t>https://orcid.org/</w:t>
        </w:r>
        <w:r w:rsidR="008A6CDF" w:rsidRPr="00651389">
          <w:rPr>
            <w:rStyle w:val="Hyperlink"/>
            <w:rFonts w:ascii="Arial" w:eastAsia="Times New Roman" w:hAnsi="Arial" w:cs="Arial"/>
            <w:spacing w:val="8"/>
            <w:shd w:val="clear" w:color="auto" w:fill="FFFFFF"/>
            <w:lang w:eastAsia="en-GB"/>
          </w:rPr>
          <w:t>0000-0002-2347-2479</w:t>
        </w:r>
      </w:hyperlink>
      <w:r w:rsidR="008A6CDF" w:rsidRPr="00651389">
        <w:rPr>
          <w:rFonts w:ascii="Arial" w:eastAsia="Times New Roman" w:hAnsi="Arial" w:cs="Arial"/>
          <w:color w:val="000000"/>
          <w:spacing w:val="8"/>
          <w:shd w:val="clear" w:color="auto" w:fill="FFFFFF"/>
          <w:lang w:eastAsia="en-GB"/>
        </w:rPr>
        <w:t xml:space="preserve"> </w:t>
      </w:r>
    </w:p>
    <w:p w14:paraId="33D01231" w14:textId="77777777" w:rsidR="008A6CDF" w:rsidRPr="00651389" w:rsidRDefault="008A6CDF" w:rsidP="00651389">
      <w:pPr>
        <w:spacing w:after="0" w:line="240" w:lineRule="auto"/>
        <w:rPr>
          <w:rStyle w:val="nlmfn"/>
          <w:rFonts w:ascii="Arial" w:eastAsia="Times New Roman" w:hAnsi="Arial" w:cs="Arial"/>
          <w:b/>
          <w:bCs/>
        </w:rPr>
      </w:pPr>
    </w:p>
    <w:p w14:paraId="25CA40A8" w14:textId="53606358" w:rsidR="00366AFA" w:rsidRPr="00651389" w:rsidRDefault="00366AFA" w:rsidP="00651389">
      <w:pPr>
        <w:spacing w:after="0" w:line="240" w:lineRule="auto"/>
        <w:rPr>
          <w:rStyle w:val="nlmfn"/>
          <w:rFonts w:ascii="Arial" w:eastAsia="Times New Roman" w:hAnsi="Arial" w:cs="Arial"/>
          <w:b/>
          <w:bCs/>
        </w:rPr>
      </w:pPr>
      <w:r w:rsidRPr="00651389">
        <w:rPr>
          <w:rStyle w:val="nlmfn"/>
          <w:rFonts w:ascii="Arial" w:eastAsia="Times New Roman" w:hAnsi="Arial" w:cs="Arial"/>
          <w:b/>
          <w:bCs/>
        </w:rPr>
        <w:t>Contributors</w:t>
      </w:r>
      <w:r w:rsidR="0089237F" w:rsidRPr="00651389">
        <w:rPr>
          <w:rStyle w:val="nlmfn"/>
          <w:rFonts w:ascii="Arial" w:eastAsia="Times New Roman" w:hAnsi="Arial" w:cs="Arial"/>
          <w:b/>
          <w:bCs/>
        </w:rPr>
        <w:t xml:space="preserve"> -</w:t>
      </w:r>
      <w:r w:rsidR="007B51FF" w:rsidRPr="00651389">
        <w:rPr>
          <w:rStyle w:val="nlmfn"/>
          <w:rFonts w:ascii="Arial" w:eastAsia="Times New Roman" w:hAnsi="Arial" w:cs="Arial"/>
          <w:b/>
          <w:bCs/>
        </w:rPr>
        <w:t xml:space="preserve"> </w:t>
      </w:r>
      <w:r w:rsidR="007B51FF" w:rsidRPr="00651389">
        <w:rPr>
          <w:rFonts w:ascii="Arial" w:hAnsi="Arial" w:cs="Arial"/>
          <w:i/>
          <w:iCs/>
          <w:color w:val="333333"/>
          <w:shd w:val="clear" w:color="auto" w:fill="FAFAFA"/>
        </w:rPr>
        <w:t>Enter any additional accreditation you wish to give for the production of this data collection</w:t>
      </w:r>
    </w:p>
    <w:p w14:paraId="29FEF909" w14:textId="77777777" w:rsidR="008A6CDF" w:rsidRPr="00651389" w:rsidRDefault="008A6CDF" w:rsidP="00651389">
      <w:pPr>
        <w:spacing w:after="0" w:line="240" w:lineRule="auto"/>
        <w:rPr>
          <w:rStyle w:val="nlmfn"/>
          <w:rFonts w:ascii="Arial" w:eastAsia="Times New Roman" w:hAnsi="Arial" w:cs="Arial"/>
          <w:b/>
          <w:bCs/>
        </w:rPr>
      </w:pPr>
    </w:p>
    <w:p w14:paraId="34DEF428" w14:textId="6A81AD85" w:rsidR="0076743F" w:rsidRPr="00651389" w:rsidRDefault="00F26306" w:rsidP="00651389">
      <w:pPr>
        <w:spacing w:after="0" w:line="240" w:lineRule="auto"/>
        <w:rPr>
          <w:rFonts w:ascii="Arial" w:hAnsi="Arial" w:cs="Arial"/>
        </w:rPr>
      </w:pPr>
      <w:r w:rsidRPr="00651389">
        <w:rPr>
          <w:rStyle w:val="nlmfn"/>
          <w:rFonts w:ascii="Arial" w:eastAsia="Times New Roman" w:hAnsi="Arial" w:cs="Arial"/>
          <w:b/>
          <w:bCs/>
        </w:rPr>
        <w:t>Data Collection Title</w:t>
      </w:r>
      <w:bookmarkStart w:id="0" w:name="_Hlk104382635"/>
      <w:r w:rsidR="0076743F" w:rsidRPr="00651389">
        <w:rPr>
          <w:rStyle w:val="nlmfn"/>
          <w:rFonts w:ascii="Arial" w:eastAsia="Times New Roman" w:hAnsi="Arial" w:cs="Arial"/>
        </w:rPr>
        <w:t xml:space="preserve">: </w:t>
      </w:r>
      <w:r w:rsidR="0076743F" w:rsidRPr="00651389">
        <w:rPr>
          <w:rFonts w:ascii="Arial" w:hAnsi="Arial" w:cs="Arial"/>
        </w:rPr>
        <w:t>A verbatim film-research collaboration seeking to raise awareness of prison suicide.</w:t>
      </w:r>
    </w:p>
    <w:p w14:paraId="089B6E4E" w14:textId="68496DFB" w:rsidR="008A6CDF" w:rsidRPr="00651389" w:rsidRDefault="008A6CDF" w:rsidP="00651389">
      <w:pPr>
        <w:spacing w:after="0" w:line="240" w:lineRule="auto"/>
        <w:rPr>
          <w:rStyle w:val="nlmfn"/>
          <w:rFonts w:ascii="Arial" w:eastAsia="Times New Roman" w:hAnsi="Arial" w:cs="Arial"/>
        </w:rPr>
      </w:pPr>
    </w:p>
    <w:p w14:paraId="633078D4" w14:textId="440443E4" w:rsidR="00366AFA" w:rsidRPr="00651389" w:rsidRDefault="00F26306" w:rsidP="4D597086">
      <w:pPr>
        <w:spacing w:after="0" w:line="240" w:lineRule="auto"/>
        <w:rPr>
          <w:rFonts w:ascii="Arial" w:hAnsi="Arial" w:cs="Arial"/>
        </w:rPr>
      </w:pPr>
      <w:r w:rsidRPr="00651389">
        <w:rPr>
          <w:rStyle w:val="nlmfn"/>
          <w:rFonts w:ascii="Arial" w:eastAsia="Times New Roman" w:hAnsi="Arial" w:cs="Arial"/>
          <w:b/>
          <w:bCs/>
        </w:rPr>
        <w:t>Data Description (abstract)</w:t>
      </w:r>
      <w:r w:rsidRPr="00651389">
        <w:rPr>
          <w:rStyle w:val="nlmfn"/>
          <w:rFonts w:ascii="Arial" w:eastAsia="Times New Roman" w:hAnsi="Arial" w:cs="Arial"/>
        </w:rPr>
        <w:t xml:space="preserve"> </w:t>
      </w:r>
      <w:bookmarkEnd w:id="0"/>
    </w:p>
    <w:p w14:paraId="6F2EFDC9" w14:textId="03992ABC" w:rsidR="00366AFA" w:rsidRPr="00651389" w:rsidRDefault="0089237F" w:rsidP="00651389">
      <w:pPr>
        <w:spacing w:after="0" w:line="240" w:lineRule="auto"/>
        <w:rPr>
          <w:rFonts w:ascii="Arial" w:hAnsi="Arial" w:cs="Arial"/>
        </w:rPr>
      </w:pPr>
      <w:r w:rsidRPr="4D597086">
        <w:rPr>
          <w:rFonts w:ascii="Arial" w:hAnsi="Arial" w:cs="Arial"/>
        </w:rPr>
        <w:t xml:space="preserve">This is </w:t>
      </w:r>
      <w:r w:rsidR="59060917" w:rsidRPr="4D597086">
        <w:rPr>
          <w:rFonts w:ascii="Arial" w:hAnsi="Arial" w:cs="Arial"/>
        </w:rPr>
        <w:t xml:space="preserve">a </w:t>
      </w:r>
      <w:r w:rsidRPr="4D597086">
        <w:rPr>
          <w:rFonts w:ascii="Arial" w:hAnsi="Arial" w:cs="Arial"/>
        </w:rPr>
        <w:t xml:space="preserve">qualitative data collection of semi-structured interviews conducted between </w:t>
      </w:r>
      <w:r w:rsidR="0076743F" w:rsidRPr="4D597086">
        <w:rPr>
          <w:rFonts w:ascii="Arial" w:hAnsi="Arial" w:cs="Arial"/>
        </w:rPr>
        <w:t>June-July</w:t>
      </w:r>
      <w:r w:rsidRPr="4D597086">
        <w:rPr>
          <w:rFonts w:ascii="Arial" w:hAnsi="Arial" w:cs="Arial"/>
        </w:rPr>
        <w:t xml:space="preserve"> 202</w:t>
      </w:r>
      <w:r w:rsidR="0076743F" w:rsidRPr="4D597086">
        <w:rPr>
          <w:rFonts w:ascii="Arial" w:hAnsi="Arial" w:cs="Arial"/>
        </w:rPr>
        <w:t>3, and online surveys conducted throughout 2022,</w:t>
      </w:r>
      <w:r w:rsidRPr="4D597086">
        <w:rPr>
          <w:rFonts w:ascii="Arial" w:hAnsi="Arial" w:cs="Arial"/>
        </w:rPr>
        <w:t xml:space="preserve"> </w:t>
      </w:r>
      <w:r w:rsidR="00EA3B8E" w:rsidRPr="4D597086">
        <w:rPr>
          <w:rFonts w:ascii="Arial" w:hAnsi="Arial" w:cs="Arial"/>
        </w:rPr>
        <w:t xml:space="preserve">within </w:t>
      </w:r>
      <w:r w:rsidRPr="4D597086">
        <w:rPr>
          <w:rFonts w:ascii="Arial" w:hAnsi="Arial" w:cs="Arial"/>
        </w:rPr>
        <w:t xml:space="preserve">a study that examined how </w:t>
      </w:r>
      <w:r w:rsidR="0076743F" w:rsidRPr="4D597086">
        <w:rPr>
          <w:rFonts w:ascii="Arial" w:hAnsi="Arial" w:cs="Arial"/>
        </w:rPr>
        <w:t xml:space="preserve">verbatim film can </w:t>
      </w:r>
      <w:r w:rsidR="440D6DAB" w:rsidRPr="4D597086">
        <w:rPr>
          <w:rFonts w:ascii="Arial" w:hAnsi="Arial" w:cs="Arial"/>
        </w:rPr>
        <w:t xml:space="preserve">be used </w:t>
      </w:r>
      <w:r w:rsidR="0076743F" w:rsidRPr="4D597086">
        <w:rPr>
          <w:rFonts w:ascii="Arial" w:hAnsi="Arial" w:cs="Arial"/>
        </w:rPr>
        <w:t>to increase the impact of research findings</w:t>
      </w:r>
      <w:r w:rsidRPr="4D597086">
        <w:rPr>
          <w:rFonts w:ascii="Arial" w:hAnsi="Arial" w:cs="Arial"/>
        </w:rPr>
        <w:t xml:space="preserve">. </w:t>
      </w:r>
      <w:r w:rsidR="0076743F" w:rsidRPr="4D597086">
        <w:rPr>
          <w:rFonts w:ascii="Arial" w:hAnsi="Arial" w:cs="Arial"/>
        </w:rPr>
        <w:t xml:space="preserve">Prisoner suicide rates are consistently higher than rates among communities living outside. Between 2012 and 2016, England and Wales’s prison suicide rates more than doubled, hitting record numbers in 2016. Often those most invested in prison safety are those personally impacted, and campaigns by prisoners’ families can have material effects. This project included a collaboration between an academic research team, a bereaved </w:t>
      </w:r>
      <w:r w:rsidR="2879123E" w:rsidRPr="4D597086">
        <w:rPr>
          <w:rFonts w:ascii="Arial" w:hAnsi="Arial" w:cs="Arial"/>
        </w:rPr>
        <w:t>parent</w:t>
      </w:r>
      <w:r w:rsidR="0076743F" w:rsidRPr="4D597086">
        <w:rPr>
          <w:rFonts w:ascii="Arial" w:hAnsi="Arial" w:cs="Arial"/>
        </w:rPr>
        <w:t xml:space="preserve"> and a theatre company, which aimed to raise awareness of prison suicide through verbatim film and communicate key messages to stakeholders across criminal justice. </w:t>
      </w:r>
    </w:p>
    <w:p w14:paraId="1E2739FB" w14:textId="77777777" w:rsidR="0076743F" w:rsidRPr="00651389" w:rsidRDefault="0076743F" w:rsidP="00651389">
      <w:pPr>
        <w:spacing w:after="0" w:line="240" w:lineRule="auto"/>
        <w:rPr>
          <w:rFonts w:ascii="Arial" w:hAnsi="Arial" w:cs="Arial"/>
        </w:rPr>
      </w:pPr>
    </w:p>
    <w:p w14:paraId="33E92D68" w14:textId="34E4435F" w:rsidR="0076743F" w:rsidRPr="00651389" w:rsidRDefault="00EA3B8E" w:rsidP="00651389">
      <w:pPr>
        <w:spacing w:after="0" w:line="240" w:lineRule="auto"/>
        <w:rPr>
          <w:rFonts w:ascii="Arial" w:hAnsi="Arial" w:cs="Arial"/>
        </w:rPr>
      </w:pPr>
      <w:r w:rsidRPr="7AFA622E">
        <w:rPr>
          <w:rFonts w:ascii="Arial" w:hAnsi="Arial" w:cs="Arial"/>
        </w:rPr>
        <w:t xml:space="preserve">Within this project, </w:t>
      </w:r>
      <w:r w:rsidR="0076743F" w:rsidRPr="7AFA622E">
        <w:rPr>
          <w:rFonts w:ascii="Arial" w:hAnsi="Arial" w:cs="Arial"/>
        </w:rPr>
        <w:t>2</w:t>
      </w:r>
      <w:r w:rsidRPr="7AFA622E">
        <w:rPr>
          <w:rFonts w:ascii="Arial" w:hAnsi="Arial" w:cs="Arial"/>
        </w:rPr>
        <w:t xml:space="preserve"> semi-structured interviews were undertaken with </w:t>
      </w:r>
      <w:r w:rsidR="0076743F" w:rsidRPr="7AFA622E">
        <w:rPr>
          <w:rFonts w:ascii="Arial" w:hAnsi="Arial" w:cs="Arial"/>
        </w:rPr>
        <w:t>film co-creators</w:t>
      </w:r>
      <w:r w:rsidR="00DC1615" w:rsidRPr="7AFA622E">
        <w:rPr>
          <w:rFonts w:ascii="Arial" w:hAnsi="Arial" w:cs="Arial"/>
        </w:rPr>
        <w:t xml:space="preserve"> and </w:t>
      </w:r>
      <w:r w:rsidR="36028C01" w:rsidRPr="7AFA622E">
        <w:rPr>
          <w:rFonts w:ascii="Arial" w:hAnsi="Arial" w:cs="Arial"/>
        </w:rPr>
        <w:t>27</w:t>
      </w:r>
      <w:r w:rsidR="00DC1615" w:rsidRPr="7AFA622E">
        <w:rPr>
          <w:rFonts w:ascii="Arial" w:hAnsi="Arial" w:cs="Arial"/>
        </w:rPr>
        <w:t xml:space="preserve"> anonymous online surveys were completed by audience members in film screenings</w:t>
      </w:r>
      <w:r w:rsidRPr="7AFA622E">
        <w:rPr>
          <w:rFonts w:ascii="Arial" w:hAnsi="Arial" w:cs="Arial"/>
        </w:rPr>
        <w:t>.</w:t>
      </w:r>
      <w:r w:rsidR="0076743F" w:rsidRPr="7AFA622E">
        <w:rPr>
          <w:rFonts w:ascii="Arial" w:hAnsi="Arial" w:cs="Arial"/>
        </w:rPr>
        <w:t xml:space="preserve"> </w:t>
      </w:r>
      <w:r w:rsidR="00DC1615" w:rsidRPr="7AFA622E">
        <w:rPr>
          <w:rFonts w:ascii="Arial" w:hAnsi="Arial" w:cs="Arial"/>
        </w:rPr>
        <w:t>Filmmakers</w:t>
      </w:r>
      <w:r w:rsidR="0076743F" w:rsidRPr="7AFA622E">
        <w:rPr>
          <w:rFonts w:ascii="Arial" w:hAnsi="Arial" w:cs="Arial"/>
        </w:rPr>
        <w:t xml:space="preserve"> offer valuable situated insight into the process, complexities, and possible impacts of film-research collaborations, contributing messages for future collaborators with regard to practical and ethical planning, safeguarding decisions and arts-based dissemination. </w:t>
      </w:r>
      <w:r w:rsidR="00DC1615" w:rsidRPr="7AFA622E">
        <w:rPr>
          <w:rFonts w:ascii="Arial" w:hAnsi="Arial" w:cs="Arial"/>
        </w:rPr>
        <w:t xml:space="preserve">Audience survey responses evidence the impact of the film on viewers. </w:t>
      </w:r>
      <w:r w:rsidR="0089237F" w:rsidRPr="7AFA622E">
        <w:rPr>
          <w:rFonts w:ascii="Arial" w:hAnsi="Arial" w:cs="Arial"/>
        </w:rPr>
        <w:t xml:space="preserve">The research demonstrates </w:t>
      </w:r>
      <w:r w:rsidR="0076743F" w:rsidRPr="7AFA622E">
        <w:rPr>
          <w:rFonts w:ascii="Arial" w:hAnsi="Arial" w:cs="Arial"/>
        </w:rPr>
        <w:t>how film can engage audiences within and beyond social science, making complex subjects accessible, humanising people and potentially inspiring broader social change, but a</w:t>
      </w:r>
      <w:r w:rsidR="00DC1615" w:rsidRPr="7AFA622E">
        <w:rPr>
          <w:rFonts w:ascii="Arial" w:hAnsi="Arial" w:cs="Arial"/>
        </w:rPr>
        <w:t>n</w:t>
      </w:r>
      <w:r w:rsidR="0076743F" w:rsidRPr="7AFA622E">
        <w:rPr>
          <w:rFonts w:ascii="Arial" w:hAnsi="Arial" w:cs="Arial"/>
        </w:rPr>
        <w:t xml:space="preserve"> ethic of care is required to mitigate harms and manage expectations.</w:t>
      </w:r>
    </w:p>
    <w:p w14:paraId="4E2CAF58" w14:textId="77777777" w:rsidR="00DC1615" w:rsidRPr="00651389" w:rsidRDefault="00DC1615" w:rsidP="00651389">
      <w:pPr>
        <w:spacing w:after="0" w:line="240" w:lineRule="auto"/>
        <w:rPr>
          <w:rFonts w:ascii="Arial" w:hAnsi="Arial" w:cs="Arial"/>
        </w:rPr>
      </w:pPr>
    </w:p>
    <w:p w14:paraId="045502B5" w14:textId="2437E6DC" w:rsidR="0089237F" w:rsidRPr="00651389" w:rsidRDefault="0089237F" w:rsidP="00651389">
      <w:pPr>
        <w:spacing w:after="0" w:line="240" w:lineRule="auto"/>
        <w:rPr>
          <w:rFonts w:ascii="Arial" w:hAnsi="Arial" w:cs="Arial"/>
        </w:rPr>
      </w:pPr>
      <w:r w:rsidRPr="00651389">
        <w:rPr>
          <w:rFonts w:ascii="Arial" w:hAnsi="Arial" w:cs="Arial"/>
        </w:rPr>
        <w:t xml:space="preserve">For data storage and analysis purposes, the participants were divided into </w:t>
      </w:r>
      <w:r w:rsidR="00DC1615" w:rsidRPr="00651389">
        <w:rPr>
          <w:rFonts w:ascii="Arial" w:hAnsi="Arial" w:cs="Arial"/>
        </w:rPr>
        <w:t>two</w:t>
      </w:r>
      <w:r w:rsidRPr="00651389">
        <w:rPr>
          <w:rFonts w:ascii="Arial" w:hAnsi="Arial" w:cs="Arial"/>
        </w:rPr>
        <w:t xml:space="preserve"> categories: 1) </w:t>
      </w:r>
      <w:r w:rsidR="00DC1615" w:rsidRPr="00651389">
        <w:rPr>
          <w:rFonts w:ascii="Arial" w:hAnsi="Arial" w:cs="Arial"/>
        </w:rPr>
        <w:t xml:space="preserve">filmmakers, and </w:t>
      </w:r>
      <w:r w:rsidRPr="00651389">
        <w:rPr>
          <w:rFonts w:ascii="Arial" w:hAnsi="Arial" w:cs="Arial"/>
        </w:rPr>
        <w:t xml:space="preserve">2) </w:t>
      </w:r>
      <w:r w:rsidR="00DC1615" w:rsidRPr="00651389">
        <w:rPr>
          <w:rFonts w:ascii="Arial" w:hAnsi="Arial" w:cs="Arial"/>
        </w:rPr>
        <w:t>Audience members</w:t>
      </w:r>
      <w:r w:rsidRPr="00651389">
        <w:rPr>
          <w:rFonts w:ascii="Arial" w:hAnsi="Arial" w:cs="Arial"/>
        </w:rPr>
        <w:t xml:space="preserve">. </w:t>
      </w:r>
    </w:p>
    <w:p w14:paraId="4C558F07" w14:textId="77777777" w:rsidR="0089237F" w:rsidRPr="00651389" w:rsidRDefault="0089237F" w:rsidP="00651389">
      <w:pPr>
        <w:spacing w:after="0" w:line="240" w:lineRule="auto"/>
        <w:rPr>
          <w:rFonts w:ascii="Arial" w:hAnsi="Arial" w:cs="Arial"/>
        </w:rPr>
      </w:pPr>
    </w:p>
    <w:p w14:paraId="4AE3EC93" w14:textId="1FC1D411" w:rsidR="0089237F" w:rsidRPr="00651389" w:rsidRDefault="0089237F" w:rsidP="00651389">
      <w:pPr>
        <w:spacing w:after="0" w:line="240" w:lineRule="auto"/>
        <w:rPr>
          <w:rFonts w:ascii="Arial" w:hAnsi="Arial" w:cs="Arial"/>
        </w:rPr>
      </w:pPr>
      <w:r w:rsidRPr="00651389">
        <w:rPr>
          <w:rFonts w:ascii="Arial" w:hAnsi="Arial" w:cs="Arial"/>
        </w:rPr>
        <w:t xml:space="preserve">Further information about the project and links to publications are available on the University of Nottingham </w:t>
      </w:r>
      <w:proofErr w:type="spellStart"/>
      <w:r w:rsidRPr="00651389">
        <w:rPr>
          <w:rFonts w:ascii="Arial" w:hAnsi="Arial" w:cs="Arial"/>
        </w:rPr>
        <w:t>SafeSoc</w:t>
      </w:r>
      <w:proofErr w:type="spellEnd"/>
      <w:r w:rsidRPr="00651389">
        <w:rPr>
          <w:rFonts w:ascii="Arial" w:hAnsi="Arial" w:cs="Arial"/>
        </w:rPr>
        <w:t xml:space="preserve"> project webpage</w:t>
      </w:r>
      <w:r w:rsidR="00DC1615" w:rsidRPr="00651389">
        <w:rPr>
          <w:rFonts w:ascii="Arial" w:hAnsi="Arial" w:cs="Arial"/>
        </w:rPr>
        <w:t xml:space="preserve"> </w:t>
      </w:r>
      <w:hyperlink r:id="rId12" w:history="1">
        <w:r w:rsidR="00DC1615" w:rsidRPr="00651389">
          <w:rPr>
            <w:rStyle w:val="Hyperlink"/>
            <w:rFonts w:ascii="Arial" w:hAnsi="Arial" w:cs="Arial"/>
          </w:rPr>
          <w:t>https://www.safesoc.co.uk</w:t>
        </w:r>
      </w:hyperlink>
      <w:r w:rsidR="00DC1615" w:rsidRPr="00651389">
        <w:rPr>
          <w:rFonts w:ascii="Arial" w:hAnsi="Arial" w:cs="Arial"/>
        </w:rPr>
        <w:t xml:space="preserve"> </w:t>
      </w:r>
    </w:p>
    <w:p w14:paraId="2D0EA868" w14:textId="77777777" w:rsidR="00DC1615" w:rsidRPr="00651389" w:rsidRDefault="00DC1615" w:rsidP="00651389">
      <w:pPr>
        <w:spacing w:after="0" w:line="240" w:lineRule="auto"/>
        <w:rPr>
          <w:rStyle w:val="nlmfn"/>
          <w:rFonts w:ascii="Arial" w:eastAsia="Times New Roman" w:hAnsi="Arial" w:cs="Arial"/>
          <w:b/>
          <w:bCs/>
        </w:rPr>
      </w:pPr>
    </w:p>
    <w:p w14:paraId="6296A5D9" w14:textId="046EC65F" w:rsidR="0089237F" w:rsidRPr="00651389" w:rsidRDefault="00E91460" w:rsidP="00651389">
      <w:pPr>
        <w:spacing w:after="0" w:line="240" w:lineRule="auto"/>
        <w:rPr>
          <w:rStyle w:val="nlmfn"/>
          <w:rFonts w:ascii="Arial" w:eastAsia="Times New Roman" w:hAnsi="Arial" w:cs="Arial"/>
        </w:rPr>
      </w:pPr>
      <w:r w:rsidRPr="00651389">
        <w:rPr>
          <w:rStyle w:val="nlmfn"/>
          <w:rFonts w:ascii="Arial" w:eastAsia="Times New Roman" w:hAnsi="Arial" w:cs="Arial"/>
          <w:b/>
          <w:bCs/>
        </w:rPr>
        <w:lastRenderedPageBreak/>
        <w:t xml:space="preserve">Key words: </w:t>
      </w:r>
      <w:r w:rsidR="00DC1615" w:rsidRPr="00651389">
        <w:rPr>
          <w:rFonts w:ascii="Arial" w:eastAsia="Times New Roman" w:hAnsi="Arial" w:cs="Arial"/>
        </w:rPr>
        <w:t>Prison, Suicide, Verbatim Film, Arts-based dissemination, Collaborative research</w:t>
      </w:r>
    </w:p>
    <w:p w14:paraId="0780B8EB" w14:textId="56FF7958" w:rsidR="000B18EB" w:rsidRPr="00651389" w:rsidRDefault="00687AB9" w:rsidP="00651389">
      <w:pPr>
        <w:spacing w:after="0" w:line="240" w:lineRule="auto"/>
        <w:rPr>
          <w:rStyle w:val="nlmfn"/>
          <w:rFonts w:ascii="Arial" w:eastAsia="Times New Roman" w:hAnsi="Arial" w:cs="Arial"/>
          <w:b/>
          <w:bCs/>
        </w:rPr>
      </w:pPr>
      <w:r w:rsidRPr="00651389">
        <w:rPr>
          <w:rStyle w:val="nlmfn"/>
          <w:rFonts w:ascii="Arial" w:eastAsia="Times New Roman" w:hAnsi="Arial" w:cs="Arial"/>
          <w:b/>
          <w:bCs/>
        </w:rPr>
        <w:t xml:space="preserve">Topic classification – </w:t>
      </w:r>
      <w:r w:rsidR="006B5F20" w:rsidRPr="00651389">
        <w:rPr>
          <w:rStyle w:val="nlmfn"/>
          <w:rFonts w:ascii="Arial" w:eastAsia="Times New Roman" w:hAnsi="Arial" w:cs="Arial"/>
        </w:rPr>
        <w:t xml:space="preserve">selected option box: </w:t>
      </w:r>
      <w:r w:rsidRPr="00651389">
        <w:rPr>
          <w:rStyle w:val="nlmfn"/>
          <w:rFonts w:ascii="Arial" w:eastAsia="Times New Roman" w:hAnsi="Arial" w:cs="Arial"/>
        </w:rPr>
        <w:t xml:space="preserve">Law, Crime and legal systems </w:t>
      </w:r>
    </w:p>
    <w:p w14:paraId="6F30CF83" w14:textId="7915414F" w:rsidR="00687AB9" w:rsidRPr="00651389" w:rsidRDefault="00687AB9" w:rsidP="00651389">
      <w:pPr>
        <w:spacing w:after="0" w:line="240" w:lineRule="auto"/>
        <w:rPr>
          <w:rStyle w:val="nlmfn"/>
          <w:rFonts w:ascii="Arial" w:eastAsia="Times New Roman" w:hAnsi="Arial" w:cs="Arial"/>
        </w:rPr>
      </w:pPr>
      <w:r w:rsidRPr="00651389">
        <w:rPr>
          <w:rStyle w:val="nlmfn"/>
          <w:rFonts w:ascii="Arial" w:eastAsia="Times New Roman" w:hAnsi="Arial" w:cs="Arial"/>
          <w:b/>
          <w:bCs/>
        </w:rPr>
        <w:t xml:space="preserve">Temporal coverage – </w:t>
      </w:r>
      <w:r w:rsidRPr="00651389">
        <w:rPr>
          <w:rStyle w:val="nlmfn"/>
          <w:rFonts w:ascii="Arial" w:eastAsia="Times New Roman" w:hAnsi="Arial" w:cs="Arial"/>
        </w:rPr>
        <w:t>data collection period (entered as 1/</w:t>
      </w:r>
      <w:r w:rsidR="00DC1615" w:rsidRPr="00651389">
        <w:rPr>
          <w:rStyle w:val="nlmfn"/>
          <w:rFonts w:ascii="Arial" w:eastAsia="Times New Roman" w:hAnsi="Arial" w:cs="Arial"/>
        </w:rPr>
        <w:t>1/2022</w:t>
      </w:r>
      <w:r w:rsidRPr="00651389">
        <w:rPr>
          <w:rStyle w:val="nlmfn"/>
          <w:rFonts w:ascii="Arial" w:eastAsia="Times New Roman" w:hAnsi="Arial" w:cs="Arial"/>
        </w:rPr>
        <w:t xml:space="preserve"> – 31/</w:t>
      </w:r>
      <w:r w:rsidR="00DC1615" w:rsidRPr="00651389">
        <w:rPr>
          <w:rStyle w:val="nlmfn"/>
          <w:rFonts w:ascii="Arial" w:eastAsia="Times New Roman" w:hAnsi="Arial" w:cs="Arial"/>
        </w:rPr>
        <w:t>12</w:t>
      </w:r>
      <w:r w:rsidRPr="00651389">
        <w:rPr>
          <w:rStyle w:val="nlmfn"/>
          <w:rFonts w:ascii="Arial" w:eastAsia="Times New Roman" w:hAnsi="Arial" w:cs="Arial"/>
        </w:rPr>
        <w:t>/202</w:t>
      </w:r>
      <w:r w:rsidR="00DC1615" w:rsidRPr="00651389">
        <w:rPr>
          <w:rStyle w:val="nlmfn"/>
          <w:rFonts w:ascii="Arial" w:eastAsia="Times New Roman" w:hAnsi="Arial" w:cs="Arial"/>
        </w:rPr>
        <w:t>3</w:t>
      </w:r>
      <w:r w:rsidRPr="00651389">
        <w:rPr>
          <w:rStyle w:val="nlmfn"/>
          <w:rFonts w:ascii="Arial" w:eastAsia="Times New Roman" w:hAnsi="Arial" w:cs="Arial"/>
        </w:rPr>
        <w:t>)</w:t>
      </w:r>
    </w:p>
    <w:p w14:paraId="18DAAED9" w14:textId="37DCEF43" w:rsidR="00687AB9" w:rsidRPr="00651389" w:rsidRDefault="00687AB9" w:rsidP="00651389">
      <w:pPr>
        <w:spacing w:after="0" w:line="240" w:lineRule="auto"/>
        <w:rPr>
          <w:rStyle w:val="nlmfn"/>
          <w:rFonts w:ascii="Arial" w:eastAsia="Times New Roman" w:hAnsi="Arial" w:cs="Arial"/>
        </w:rPr>
      </w:pPr>
      <w:r w:rsidRPr="00651389">
        <w:rPr>
          <w:rStyle w:val="nlmfn"/>
          <w:rFonts w:ascii="Arial" w:eastAsia="Times New Roman" w:hAnsi="Arial" w:cs="Arial"/>
          <w:b/>
          <w:bCs/>
        </w:rPr>
        <w:t>Geographical area</w:t>
      </w:r>
      <w:r w:rsidRPr="00651389">
        <w:rPr>
          <w:rStyle w:val="nlmfn"/>
          <w:rFonts w:ascii="Arial" w:eastAsia="Times New Roman" w:hAnsi="Arial" w:cs="Arial"/>
        </w:rPr>
        <w:t xml:space="preserve"> – noted as England and Wales</w:t>
      </w:r>
    </w:p>
    <w:p w14:paraId="2B8F252C" w14:textId="5BFBB35A" w:rsidR="001D63A8" w:rsidRPr="00651389" w:rsidRDefault="00687AB9" w:rsidP="00651389">
      <w:pPr>
        <w:spacing w:after="0" w:line="240" w:lineRule="auto"/>
        <w:rPr>
          <w:rFonts w:ascii="Arial" w:hAnsi="Arial" w:cs="Arial"/>
        </w:rPr>
      </w:pPr>
      <w:r w:rsidRPr="00651389">
        <w:rPr>
          <w:rFonts w:ascii="Arial" w:hAnsi="Arial" w:cs="Arial"/>
          <w:b/>
          <w:bCs/>
        </w:rPr>
        <w:t>Spatial Unit</w:t>
      </w:r>
      <w:r w:rsidRPr="00651389">
        <w:rPr>
          <w:rFonts w:ascii="Arial" w:hAnsi="Arial" w:cs="Arial"/>
        </w:rPr>
        <w:t xml:space="preserve"> – no spatial unit added (seems to be standard practice based on three </w:t>
      </w:r>
      <w:r w:rsidR="006C4660" w:rsidRPr="00651389">
        <w:rPr>
          <w:rFonts w:ascii="Arial" w:hAnsi="Arial" w:cs="Arial"/>
        </w:rPr>
        <w:t>other data collections)</w:t>
      </w:r>
    </w:p>
    <w:p w14:paraId="60ACA472" w14:textId="77777777" w:rsidR="00DC1615" w:rsidRPr="00651389" w:rsidRDefault="00DC1615" w:rsidP="00651389">
      <w:pPr>
        <w:spacing w:after="0" w:line="240" w:lineRule="auto"/>
        <w:rPr>
          <w:rFonts w:ascii="Arial" w:hAnsi="Arial" w:cs="Arial"/>
          <w:b/>
          <w:bCs/>
        </w:rPr>
      </w:pPr>
    </w:p>
    <w:p w14:paraId="78087434" w14:textId="3F775961" w:rsidR="006C4660" w:rsidRPr="00651389" w:rsidRDefault="006C4660" w:rsidP="00651389">
      <w:pPr>
        <w:spacing w:after="0" w:line="240" w:lineRule="auto"/>
        <w:rPr>
          <w:rFonts w:ascii="Arial" w:hAnsi="Arial" w:cs="Arial"/>
        </w:rPr>
      </w:pPr>
      <w:r w:rsidRPr="00651389">
        <w:rPr>
          <w:rFonts w:ascii="Arial" w:hAnsi="Arial" w:cs="Arial"/>
          <w:b/>
          <w:bCs/>
        </w:rPr>
        <w:t>Methodology</w:t>
      </w:r>
    </w:p>
    <w:p w14:paraId="387F5FA1" w14:textId="77777777" w:rsidR="006C4660" w:rsidRPr="00651389" w:rsidRDefault="006C4660" w:rsidP="00651389">
      <w:pPr>
        <w:spacing w:after="0" w:line="240" w:lineRule="auto"/>
        <w:rPr>
          <w:rFonts w:ascii="Arial" w:hAnsi="Arial" w:cs="Arial"/>
          <w:i/>
          <w:iCs/>
        </w:rPr>
      </w:pPr>
      <w:r w:rsidRPr="00651389">
        <w:rPr>
          <w:rFonts w:ascii="Arial" w:hAnsi="Arial" w:cs="Arial"/>
          <w:i/>
          <w:iCs/>
        </w:rPr>
        <w:t>Data Collection method</w:t>
      </w:r>
    </w:p>
    <w:p w14:paraId="577DC05A" w14:textId="6105F5B9" w:rsidR="006C4660" w:rsidRPr="00651389" w:rsidRDefault="006C4660" w:rsidP="00651389">
      <w:pPr>
        <w:spacing w:after="0" w:line="240" w:lineRule="auto"/>
        <w:rPr>
          <w:rFonts w:ascii="Arial" w:hAnsi="Arial" w:cs="Arial"/>
        </w:rPr>
      </w:pPr>
      <w:r w:rsidRPr="7AFA622E">
        <w:rPr>
          <w:rFonts w:ascii="Arial" w:hAnsi="Arial" w:cs="Arial"/>
        </w:rPr>
        <w:t xml:space="preserve">Within this project, </w:t>
      </w:r>
      <w:r w:rsidR="00DC1615" w:rsidRPr="7AFA622E">
        <w:rPr>
          <w:rFonts w:ascii="Arial" w:hAnsi="Arial" w:cs="Arial"/>
        </w:rPr>
        <w:t>2</w:t>
      </w:r>
      <w:r w:rsidRPr="7AFA622E">
        <w:rPr>
          <w:rFonts w:ascii="Arial" w:hAnsi="Arial" w:cs="Arial"/>
        </w:rPr>
        <w:t xml:space="preserve"> semi-structured interviews were undertaken with</w:t>
      </w:r>
      <w:r w:rsidR="00DC1615" w:rsidRPr="7AFA622E">
        <w:rPr>
          <w:rFonts w:ascii="Arial" w:hAnsi="Arial" w:cs="Arial"/>
        </w:rPr>
        <w:t xml:space="preserve"> film co-creators and </w:t>
      </w:r>
      <w:r w:rsidR="364263D3" w:rsidRPr="7AFA622E">
        <w:rPr>
          <w:rFonts w:ascii="Arial" w:hAnsi="Arial" w:cs="Arial"/>
        </w:rPr>
        <w:t>27</w:t>
      </w:r>
      <w:r w:rsidR="00DC1615" w:rsidRPr="7AFA622E">
        <w:rPr>
          <w:rFonts w:ascii="Arial" w:hAnsi="Arial" w:cs="Arial"/>
        </w:rPr>
        <w:t xml:space="preserve"> anonymous online surveys were completed by audience members in film screenings.</w:t>
      </w:r>
      <w:r w:rsidRPr="7AFA622E">
        <w:rPr>
          <w:rFonts w:ascii="Arial" w:hAnsi="Arial" w:cs="Arial"/>
        </w:rPr>
        <w:t xml:space="preserve"> </w:t>
      </w:r>
    </w:p>
    <w:p w14:paraId="266AE680" w14:textId="576A334B" w:rsidR="006C4660" w:rsidRPr="00651389" w:rsidRDefault="006C4660" w:rsidP="00651389">
      <w:pPr>
        <w:spacing w:after="0" w:line="240" w:lineRule="auto"/>
        <w:rPr>
          <w:rFonts w:ascii="Arial" w:hAnsi="Arial" w:cs="Arial"/>
        </w:rPr>
      </w:pPr>
      <w:r w:rsidRPr="00651389">
        <w:rPr>
          <w:rFonts w:ascii="Arial" w:hAnsi="Arial" w:cs="Arial"/>
        </w:rPr>
        <w:t xml:space="preserve">The sample was purposive for all groups, as appropriate for our exploratory analysis and the resources available, however the sample is not representative of </w:t>
      </w:r>
      <w:bookmarkStart w:id="1" w:name="_Hlk157779746"/>
      <w:r w:rsidR="00DC1615" w:rsidRPr="00651389">
        <w:rPr>
          <w:rFonts w:ascii="Arial" w:hAnsi="Arial" w:cs="Arial"/>
        </w:rPr>
        <w:t>collaborative film creators or audiences</w:t>
      </w:r>
      <w:r w:rsidRPr="00651389">
        <w:rPr>
          <w:rFonts w:ascii="Arial" w:hAnsi="Arial" w:cs="Arial"/>
        </w:rPr>
        <w:t xml:space="preserve">. </w:t>
      </w:r>
    </w:p>
    <w:bookmarkEnd w:id="1"/>
    <w:p w14:paraId="621C76B5" w14:textId="28797EE2" w:rsidR="006C4660" w:rsidRPr="00651389" w:rsidRDefault="00DC1615" w:rsidP="00651389">
      <w:pPr>
        <w:spacing w:after="0" w:line="240" w:lineRule="auto"/>
        <w:rPr>
          <w:rFonts w:ascii="Arial" w:hAnsi="Arial" w:cs="Arial"/>
        </w:rPr>
      </w:pPr>
      <w:r w:rsidRPr="00651389">
        <w:rPr>
          <w:rFonts w:ascii="Arial" w:hAnsi="Arial" w:cs="Arial"/>
        </w:rPr>
        <w:t xml:space="preserve">Telephone and videoconferencing (Microsoft TEAMS) </w:t>
      </w:r>
      <w:r w:rsidR="006C4660" w:rsidRPr="00651389">
        <w:rPr>
          <w:rFonts w:ascii="Arial" w:hAnsi="Arial" w:cs="Arial"/>
        </w:rPr>
        <w:t xml:space="preserve">interviews </w:t>
      </w:r>
      <w:r w:rsidRPr="00651389">
        <w:rPr>
          <w:rFonts w:ascii="Arial" w:hAnsi="Arial" w:cs="Arial"/>
        </w:rPr>
        <w:t xml:space="preserve">(at the participant’s preference) </w:t>
      </w:r>
      <w:r w:rsidR="006C4660" w:rsidRPr="00651389">
        <w:rPr>
          <w:rFonts w:ascii="Arial" w:hAnsi="Arial" w:cs="Arial"/>
        </w:rPr>
        <w:t xml:space="preserve">were conducted with </w:t>
      </w:r>
      <w:r w:rsidRPr="00651389">
        <w:rPr>
          <w:rFonts w:ascii="Arial" w:hAnsi="Arial" w:cs="Arial"/>
        </w:rPr>
        <w:t xml:space="preserve">filmmakers </w:t>
      </w:r>
      <w:r w:rsidR="00D1362F" w:rsidRPr="00651389">
        <w:rPr>
          <w:rFonts w:ascii="Arial" w:hAnsi="Arial" w:cs="Arial"/>
        </w:rPr>
        <w:t>between</w:t>
      </w:r>
      <w:r w:rsidRPr="00651389">
        <w:rPr>
          <w:rFonts w:ascii="Arial" w:hAnsi="Arial" w:cs="Arial"/>
        </w:rPr>
        <w:t xml:space="preserve"> June and July 2023</w:t>
      </w:r>
      <w:r w:rsidR="006C4660" w:rsidRPr="00651389">
        <w:rPr>
          <w:rFonts w:ascii="Arial" w:hAnsi="Arial" w:cs="Arial"/>
        </w:rPr>
        <w:t xml:space="preserve">. </w:t>
      </w:r>
      <w:r w:rsidR="00D1362F" w:rsidRPr="00651389">
        <w:rPr>
          <w:rFonts w:ascii="Arial" w:hAnsi="Arial" w:cs="Arial"/>
        </w:rPr>
        <w:t>Anonymous online s</w:t>
      </w:r>
      <w:r w:rsidRPr="00651389">
        <w:rPr>
          <w:rFonts w:ascii="Arial" w:hAnsi="Arial" w:cs="Arial"/>
        </w:rPr>
        <w:t xml:space="preserve">urveys were completed at </w:t>
      </w:r>
      <w:r w:rsidR="00D1362F" w:rsidRPr="00651389">
        <w:rPr>
          <w:rFonts w:ascii="Arial" w:hAnsi="Arial" w:cs="Arial"/>
        </w:rPr>
        <w:t xml:space="preserve">film </w:t>
      </w:r>
      <w:r w:rsidRPr="00651389">
        <w:rPr>
          <w:rFonts w:ascii="Arial" w:hAnsi="Arial" w:cs="Arial"/>
        </w:rPr>
        <w:t xml:space="preserve">screenings between March and November 2022. </w:t>
      </w:r>
    </w:p>
    <w:p w14:paraId="0EB292C2" w14:textId="683D2C86" w:rsidR="006C4660" w:rsidRPr="00651389" w:rsidRDefault="006C4660" w:rsidP="00651389">
      <w:pPr>
        <w:spacing w:after="0" w:line="240" w:lineRule="auto"/>
        <w:rPr>
          <w:rFonts w:ascii="Arial" w:hAnsi="Arial" w:cs="Arial"/>
          <w:i/>
          <w:iCs/>
        </w:rPr>
      </w:pPr>
      <w:r w:rsidRPr="00651389">
        <w:rPr>
          <w:rFonts w:ascii="Arial" w:hAnsi="Arial" w:cs="Arial"/>
          <w:i/>
          <w:iCs/>
        </w:rPr>
        <w:t>Observation unit</w:t>
      </w:r>
    </w:p>
    <w:p w14:paraId="0DE1FC48" w14:textId="1FA33001" w:rsidR="006C4660" w:rsidRPr="00651389" w:rsidRDefault="006C4660" w:rsidP="00651389">
      <w:pPr>
        <w:spacing w:after="0" w:line="240" w:lineRule="auto"/>
        <w:rPr>
          <w:rFonts w:ascii="Arial" w:hAnsi="Arial" w:cs="Arial"/>
        </w:rPr>
      </w:pPr>
      <w:r w:rsidRPr="00651389">
        <w:rPr>
          <w:rFonts w:ascii="Arial" w:hAnsi="Arial" w:cs="Arial"/>
        </w:rPr>
        <w:t>Ticked ‘individual’ and ‘organisation’</w:t>
      </w:r>
    </w:p>
    <w:p w14:paraId="52756569" w14:textId="245B8FE5" w:rsidR="006C4660" w:rsidRPr="00651389" w:rsidRDefault="006C4660" w:rsidP="00651389">
      <w:pPr>
        <w:spacing w:after="0" w:line="240" w:lineRule="auto"/>
        <w:rPr>
          <w:rFonts w:ascii="Arial" w:hAnsi="Arial" w:cs="Arial"/>
          <w:i/>
          <w:iCs/>
        </w:rPr>
      </w:pPr>
      <w:r w:rsidRPr="00651389">
        <w:rPr>
          <w:rFonts w:ascii="Arial" w:hAnsi="Arial" w:cs="Arial"/>
          <w:i/>
          <w:iCs/>
        </w:rPr>
        <w:t>Kind of Data</w:t>
      </w:r>
    </w:p>
    <w:p w14:paraId="67AC1257" w14:textId="1A2C9E4B" w:rsidR="006C4660" w:rsidRPr="00651389" w:rsidRDefault="006C4660" w:rsidP="00651389">
      <w:pPr>
        <w:spacing w:after="0" w:line="240" w:lineRule="auto"/>
        <w:rPr>
          <w:rFonts w:ascii="Arial" w:hAnsi="Arial" w:cs="Arial"/>
        </w:rPr>
      </w:pPr>
      <w:r w:rsidRPr="00651389">
        <w:rPr>
          <w:rFonts w:ascii="Arial" w:hAnsi="Arial" w:cs="Arial"/>
        </w:rPr>
        <w:t>Ticked ‘</w:t>
      </w:r>
      <w:r w:rsidR="007C529E" w:rsidRPr="00651389">
        <w:rPr>
          <w:rFonts w:ascii="Arial" w:hAnsi="Arial" w:cs="Arial"/>
        </w:rPr>
        <w:t>text</w:t>
      </w:r>
      <w:r w:rsidRPr="00651389">
        <w:rPr>
          <w:rFonts w:ascii="Arial" w:hAnsi="Arial" w:cs="Arial"/>
        </w:rPr>
        <w:t>’</w:t>
      </w:r>
      <w:r w:rsidR="00EA3B8E" w:rsidRPr="00651389">
        <w:rPr>
          <w:rFonts w:ascii="Arial" w:hAnsi="Arial" w:cs="Arial"/>
        </w:rPr>
        <w:t xml:space="preserve"> (</w:t>
      </w:r>
      <w:r w:rsidR="00E514C5" w:rsidRPr="00651389">
        <w:rPr>
          <w:rFonts w:ascii="Arial" w:hAnsi="Arial" w:cs="Arial"/>
        </w:rPr>
        <w:t>as the interview</w:t>
      </w:r>
      <w:r w:rsidR="00EA3B8E" w:rsidRPr="00651389">
        <w:rPr>
          <w:rFonts w:ascii="Arial" w:hAnsi="Arial" w:cs="Arial"/>
        </w:rPr>
        <w:t xml:space="preserve"> </w:t>
      </w:r>
      <w:r w:rsidR="00E514C5" w:rsidRPr="00651389">
        <w:rPr>
          <w:rFonts w:ascii="Arial" w:hAnsi="Arial" w:cs="Arial"/>
        </w:rPr>
        <w:t>audio recordings were transcribed into text documents</w:t>
      </w:r>
      <w:r w:rsidR="007C529E" w:rsidRPr="00651389">
        <w:rPr>
          <w:rFonts w:ascii="Arial" w:hAnsi="Arial" w:cs="Arial"/>
        </w:rPr>
        <w:t xml:space="preserve"> – this is also how other interview data sets have been deposited, see Jewkes</w:t>
      </w:r>
      <w:r w:rsidR="00EA3B8E" w:rsidRPr="00651389">
        <w:rPr>
          <w:rFonts w:ascii="Arial" w:hAnsi="Arial" w:cs="Arial"/>
        </w:rPr>
        <w:t>)</w:t>
      </w:r>
    </w:p>
    <w:p w14:paraId="4E27AB4A" w14:textId="36BCB33B" w:rsidR="006C4660" w:rsidRPr="00651389" w:rsidRDefault="006C4660" w:rsidP="00651389">
      <w:pPr>
        <w:spacing w:after="0" w:line="240" w:lineRule="auto"/>
        <w:rPr>
          <w:rFonts w:ascii="Arial" w:hAnsi="Arial" w:cs="Arial"/>
          <w:i/>
          <w:iCs/>
        </w:rPr>
      </w:pPr>
      <w:r w:rsidRPr="00651389">
        <w:rPr>
          <w:rFonts w:ascii="Arial" w:hAnsi="Arial" w:cs="Arial"/>
          <w:i/>
          <w:iCs/>
        </w:rPr>
        <w:t>Data sourcing, processing and preparation</w:t>
      </w:r>
    </w:p>
    <w:p w14:paraId="7E86339C" w14:textId="39E996BA" w:rsidR="006C4660" w:rsidRPr="00651389" w:rsidRDefault="00141D39" w:rsidP="00651389">
      <w:pPr>
        <w:spacing w:after="0" w:line="240" w:lineRule="auto"/>
        <w:rPr>
          <w:rFonts w:ascii="Arial" w:hAnsi="Arial" w:cs="Arial"/>
        </w:rPr>
      </w:pPr>
      <w:r w:rsidRPr="00651389">
        <w:rPr>
          <w:rFonts w:ascii="Arial" w:hAnsi="Arial" w:cs="Arial"/>
        </w:rPr>
        <w:t xml:space="preserve">All interview transcripts have been edited by the research team to protect confidentiality. Personal information has been anonymised and where necessary omitted due to identifiable data e.g. </w:t>
      </w:r>
      <w:r w:rsidR="00DC1615" w:rsidRPr="00651389">
        <w:rPr>
          <w:rFonts w:ascii="Arial" w:hAnsi="Arial" w:cs="Arial"/>
        </w:rPr>
        <w:t xml:space="preserve">names of people and </w:t>
      </w:r>
      <w:r w:rsidR="00D1362F" w:rsidRPr="00651389">
        <w:rPr>
          <w:rFonts w:ascii="Arial" w:hAnsi="Arial" w:cs="Arial"/>
        </w:rPr>
        <w:t>institutions</w:t>
      </w:r>
      <w:r w:rsidRPr="00651389">
        <w:rPr>
          <w:rFonts w:ascii="Arial" w:hAnsi="Arial" w:cs="Arial"/>
        </w:rPr>
        <w:t>, geographical location</w:t>
      </w:r>
      <w:r w:rsidR="00DC1615" w:rsidRPr="00651389">
        <w:rPr>
          <w:rFonts w:ascii="Arial" w:hAnsi="Arial" w:cs="Arial"/>
        </w:rPr>
        <w:t>s</w:t>
      </w:r>
      <w:r w:rsidRPr="00651389">
        <w:rPr>
          <w:rFonts w:ascii="Arial" w:hAnsi="Arial" w:cs="Arial"/>
        </w:rPr>
        <w:t>; specific details regarding individual</w:t>
      </w:r>
      <w:r w:rsidR="00D1362F" w:rsidRPr="00651389">
        <w:rPr>
          <w:rFonts w:ascii="Arial" w:hAnsi="Arial" w:cs="Arial"/>
        </w:rPr>
        <w:t>s</w:t>
      </w:r>
      <w:r w:rsidRPr="00651389">
        <w:rPr>
          <w:rFonts w:ascii="Arial" w:hAnsi="Arial" w:cs="Arial"/>
        </w:rPr>
        <w:t xml:space="preserve">. </w:t>
      </w:r>
      <w:r w:rsidR="00D1362F" w:rsidRPr="00651389">
        <w:rPr>
          <w:rFonts w:ascii="Arial" w:hAnsi="Arial" w:cs="Arial"/>
        </w:rPr>
        <w:t>Both</w:t>
      </w:r>
      <w:r w:rsidR="006C4660" w:rsidRPr="00651389">
        <w:rPr>
          <w:rFonts w:ascii="Arial" w:hAnsi="Arial" w:cs="Arial"/>
        </w:rPr>
        <w:t xml:space="preserve"> interviews have been carefully anonymised through a three stage anonymisation process to remove any identifiable details.</w:t>
      </w:r>
    </w:p>
    <w:p w14:paraId="0472E6EE" w14:textId="5923D898" w:rsidR="006C4660" w:rsidRPr="00651389" w:rsidRDefault="006C4660" w:rsidP="00651389">
      <w:pPr>
        <w:spacing w:after="0" w:line="240" w:lineRule="auto"/>
        <w:rPr>
          <w:rFonts w:ascii="Arial" w:hAnsi="Arial" w:cs="Arial"/>
        </w:rPr>
      </w:pPr>
      <w:r w:rsidRPr="00651389">
        <w:rPr>
          <w:rFonts w:ascii="Arial" w:hAnsi="Arial" w:cs="Arial"/>
        </w:rPr>
        <w:t>Three stage anonymisation process</w:t>
      </w:r>
      <w:r w:rsidR="00122923" w:rsidRPr="00651389">
        <w:rPr>
          <w:rFonts w:ascii="Arial" w:hAnsi="Arial" w:cs="Arial"/>
        </w:rPr>
        <w:t xml:space="preserve"> involving a </w:t>
      </w:r>
      <w:r w:rsidR="00D1362F" w:rsidRPr="00651389">
        <w:rPr>
          <w:rFonts w:ascii="Arial" w:hAnsi="Arial" w:cs="Arial"/>
        </w:rPr>
        <w:t>three-person</w:t>
      </w:r>
      <w:r w:rsidR="00122923" w:rsidRPr="00651389">
        <w:rPr>
          <w:rFonts w:ascii="Arial" w:hAnsi="Arial" w:cs="Arial"/>
        </w:rPr>
        <w:t xml:space="preserve"> team</w:t>
      </w:r>
      <w:r w:rsidRPr="00651389">
        <w:rPr>
          <w:rFonts w:ascii="Arial" w:hAnsi="Arial" w:cs="Arial"/>
        </w:rPr>
        <w:t>: first person conducted full initial anonymisation, second person conducted anonymisation scan, third person conducted a dip-check of 10% of total anonymised interview transcripts.</w:t>
      </w:r>
      <w:r w:rsidR="00122923" w:rsidRPr="00651389">
        <w:rPr>
          <w:rFonts w:ascii="Arial" w:hAnsi="Arial" w:cs="Arial"/>
        </w:rPr>
        <w:t xml:space="preserve"> The process was repeated in full when remaining identifiable information was found.</w:t>
      </w:r>
    </w:p>
    <w:p w14:paraId="5D0D1FE9" w14:textId="77777777" w:rsidR="00D1362F" w:rsidRPr="00651389" w:rsidRDefault="00D1362F" w:rsidP="00651389">
      <w:pPr>
        <w:spacing w:after="0" w:line="240" w:lineRule="auto"/>
        <w:rPr>
          <w:rFonts w:ascii="Arial" w:hAnsi="Arial" w:cs="Arial"/>
          <w:i/>
          <w:iCs/>
        </w:rPr>
      </w:pPr>
    </w:p>
    <w:p w14:paraId="7D077960" w14:textId="4F391CA7" w:rsidR="006C4660" w:rsidRPr="00651389" w:rsidRDefault="006C4660" w:rsidP="00651389">
      <w:pPr>
        <w:spacing w:after="0" w:line="240" w:lineRule="auto"/>
        <w:rPr>
          <w:rFonts w:ascii="Arial" w:hAnsi="Arial" w:cs="Arial"/>
          <w:i/>
          <w:iCs/>
        </w:rPr>
      </w:pPr>
      <w:r w:rsidRPr="00651389">
        <w:rPr>
          <w:rFonts w:ascii="Arial" w:hAnsi="Arial" w:cs="Arial"/>
          <w:i/>
          <w:iCs/>
        </w:rPr>
        <w:t>Type of Data</w:t>
      </w:r>
    </w:p>
    <w:p w14:paraId="48E6B548" w14:textId="597491FE" w:rsidR="006C4660" w:rsidRPr="00651389" w:rsidRDefault="006C4660" w:rsidP="00651389">
      <w:pPr>
        <w:spacing w:after="0" w:line="240" w:lineRule="auto"/>
        <w:rPr>
          <w:rFonts w:ascii="Arial" w:hAnsi="Arial" w:cs="Arial"/>
        </w:rPr>
      </w:pPr>
      <w:r w:rsidRPr="00651389">
        <w:rPr>
          <w:rFonts w:ascii="Arial" w:hAnsi="Arial" w:cs="Arial"/>
        </w:rPr>
        <w:t xml:space="preserve">Ticked ‘qualitative </w:t>
      </w:r>
      <w:r w:rsidR="00D1362F" w:rsidRPr="00651389">
        <w:rPr>
          <w:rFonts w:ascii="Arial" w:hAnsi="Arial" w:cs="Arial"/>
        </w:rPr>
        <w:t>data</w:t>
      </w:r>
      <w:r w:rsidRPr="00651389">
        <w:rPr>
          <w:rFonts w:ascii="Arial" w:hAnsi="Arial" w:cs="Arial"/>
        </w:rPr>
        <w:t>’</w:t>
      </w:r>
    </w:p>
    <w:p w14:paraId="735CF3CE" w14:textId="77777777" w:rsidR="003C343F" w:rsidRPr="00651389" w:rsidRDefault="003C343F" w:rsidP="00651389">
      <w:pPr>
        <w:spacing w:after="0" w:line="240" w:lineRule="auto"/>
        <w:rPr>
          <w:rFonts w:ascii="Arial" w:hAnsi="Arial" w:cs="Arial"/>
        </w:rPr>
      </w:pPr>
    </w:p>
    <w:p w14:paraId="562A6312" w14:textId="79B0EAE6" w:rsidR="00E514C5" w:rsidRPr="00651389" w:rsidRDefault="00677C89" w:rsidP="5B5249B9">
      <w:pPr>
        <w:spacing w:after="0" w:line="240" w:lineRule="auto"/>
        <w:rPr>
          <w:rFonts w:ascii="Arial" w:hAnsi="Arial" w:cs="Arial"/>
          <w:i/>
          <w:iCs/>
        </w:rPr>
      </w:pPr>
      <w:r w:rsidRPr="5B5249B9">
        <w:rPr>
          <w:rFonts w:ascii="Arial" w:hAnsi="Arial" w:cs="Arial"/>
        </w:rPr>
        <w:t>TABLE 1: DATA LIST</w:t>
      </w:r>
      <w:r w:rsidR="006C63E1" w:rsidRPr="5B5249B9">
        <w:rPr>
          <w:rFonts w:ascii="Arial" w:hAnsi="Arial" w:cs="Arial"/>
        </w:rPr>
        <w:t xml:space="preserve"> </w:t>
      </w:r>
    </w:p>
    <w:tbl>
      <w:tblPr>
        <w:tblStyle w:val="TableGrid"/>
        <w:tblW w:w="9043" w:type="dxa"/>
        <w:tblLook w:val="04A0" w:firstRow="1" w:lastRow="0" w:firstColumn="1" w:lastColumn="0" w:noHBand="0" w:noVBand="1"/>
      </w:tblPr>
      <w:tblGrid>
        <w:gridCol w:w="1412"/>
        <w:gridCol w:w="2653"/>
        <w:gridCol w:w="1178"/>
        <w:gridCol w:w="1326"/>
        <w:gridCol w:w="1338"/>
        <w:gridCol w:w="1136"/>
      </w:tblGrid>
      <w:tr w:rsidR="00677C89" w:rsidRPr="00651389" w14:paraId="1891D4AA" w14:textId="325C2F66" w:rsidTr="4D597086">
        <w:trPr>
          <w:trHeight w:val="300"/>
        </w:trPr>
        <w:tc>
          <w:tcPr>
            <w:tcW w:w="1412" w:type="dxa"/>
          </w:tcPr>
          <w:p w14:paraId="50D5EDE5" w14:textId="330C994A" w:rsidR="00677C89" w:rsidRPr="00651389" w:rsidRDefault="00677C89" w:rsidP="00651389">
            <w:pPr>
              <w:rPr>
                <w:rFonts w:ascii="Arial" w:hAnsi="Arial" w:cs="Arial"/>
              </w:rPr>
            </w:pPr>
            <w:r w:rsidRPr="00651389">
              <w:rPr>
                <w:rFonts w:ascii="Arial" w:hAnsi="Arial" w:cs="Arial"/>
              </w:rPr>
              <w:t xml:space="preserve">Pseudonym </w:t>
            </w:r>
          </w:p>
        </w:tc>
        <w:tc>
          <w:tcPr>
            <w:tcW w:w="2653" w:type="dxa"/>
          </w:tcPr>
          <w:p w14:paraId="3A1451AB" w14:textId="1EE8FB58" w:rsidR="00677C89" w:rsidRPr="00651389" w:rsidRDefault="00677C89" w:rsidP="00651389">
            <w:pPr>
              <w:rPr>
                <w:rFonts w:ascii="Arial" w:hAnsi="Arial" w:cs="Arial"/>
              </w:rPr>
            </w:pPr>
            <w:r w:rsidRPr="00651389">
              <w:rPr>
                <w:rFonts w:ascii="Arial" w:hAnsi="Arial" w:cs="Arial"/>
              </w:rPr>
              <w:t>Organisation</w:t>
            </w:r>
          </w:p>
        </w:tc>
        <w:tc>
          <w:tcPr>
            <w:tcW w:w="1178" w:type="dxa"/>
          </w:tcPr>
          <w:p w14:paraId="388DE10B" w14:textId="54F0AA7F" w:rsidR="00677C89" w:rsidRPr="00651389" w:rsidRDefault="00677C89" w:rsidP="00651389">
            <w:pPr>
              <w:rPr>
                <w:rFonts w:ascii="Arial" w:hAnsi="Arial" w:cs="Arial"/>
              </w:rPr>
            </w:pPr>
            <w:r w:rsidRPr="00651389">
              <w:rPr>
                <w:rFonts w:ascii="Arial" w:hAnsi="Arial" w:cs="Arial"/>
              </w:rPr>
              <w:t>Gender</w:t>
            </w:r>
          </w:p>
        </w:tc>
        <w:tc>
          <w:tcPr>
            <w:tcW w:w="1326" w:type="dxa"/>
          </w:tcPr>
          <w:p w14:paraId="35FF2742" w14:textId="794F9D64" w:rsidR="00677C89" w:rsidRPr="00651389" w:rsidRDefault="00677C89" w:rsidP="00651389">
            <w:pPr>
              <w:rPr>
                <w:rFonts w:ascii="Arial" w:hAnsi="Arial" w:cs="Arial"/>
              </w:rPr>
            </w:pPr>
            <w:r w:rsidRPr="00651389">
              <w:rPr>
                <w:rFonts w:ascii="Arial" w:hAnsi="Arial" w:cs="Arial"/>
              </w:rPr>
              <w:t>Ethnicity</w:t>
            </w:r>
          </w:p>
        </w:tc>
        <w:tc>
          <w:tcPr>
            <w:tcW w:w="1338" w:type="dxa"/>
          </w:tcPr>
          <w:p w14:paraId="42F8ECB4" w14:textId="44F600C5" w:rsidR="00677C89" w:rsidRPr="00651389" w:rsidRDefault="00677C89" w:rsidP="00651389">
            <w:pPr>
              <w:rPr>
                <w:rFonts w:ascii="Arial" w:hAnsi="Arial" w:cs="Arial"/>
              </w:rPr>
            </w:pPr>
            <w:r w:rsidRPr="00651389">
              <w:rPr>
                <w:rFonts w:ascii="Arial" w:hAnsi="Arial" w:cs="Arial"/>
              </w:rPr>
              <w:t>Age bracket</w:t>
            </w:r>
          </w:p>
        </w:tc>
        <w:tc>
          <w:tcPr>
            <w:tcW w:w="1136" w:type="dxa"/>
          </w:tcPr>
          <w:p w14:paraId="15931C6C" w14:textId="257CC3A4" w:rsidR="00677C89" w:rsidRPr="00651389" w:rsidRDefault="00677C89" w:rsidP="00651389">
            <w:pPr>
              <w:rPr>
                <w:rFonts w:ascii="Arial" w:hAnsi="Arial" w:cs="Arial"/>
              </w:rPr>
            </w:pPr>
            <w:r w:rsidRPr="00651389">
              <w:rPr>
                <w:rFonts w:ascii="Arial" w:hAnsi="Arial" w:cs="Arial"/>
              </w:rPr>
              <w:t>Interview date</w:t>
            </w:r>
          </w:p>
        </w:tc>
      </w:tr>
      <w:tr w:rsidR="00677C89" w:rsidRPr="00651389" w14:paraId="7F03ACA8" w14:textId="47B60FD5" w:rsidTr="4D597086">
        <w:trPr>
          <w:trHeight w:val="300"/>
        </w:trPr>
        <w:tc>
          <w:tcPr>
            <w:tcW w:w="1412" w:type="dxa"/>
          </w:tcPr>
          <w:p w14:paraId="2D982E63" w14:textId="4F827FA6" w:rsidR="00677C89" w:rsidRPr="00651389" w:rsidRDefault="00E0282D" w:rsidP="00651389">
            <w:pPr>
              <w:rPr>
                <w:rFonts w:ascii="Arial" w:hAnsi="Arial" w:cs="Arial"/>
              </w:rPr>
            </w:pPr>
            <w:r w:rsidRPr="00651389">
              <w:rPr>
                <w:rFonts w:ascii="Arial" w:hAnsi="Arial" w:cs="Arial"/>
              </w:rPr>
              <w:t>Filmmaker</w:t>
            </w:r>
            <w:r w:rsidR="00677C89" w:rsidRPr="00651389">
              <w:rPr>
                <w:rFonts w:ascii="Arial" w:hAnsi="Arial" w:cs="Arial"/>
              </w:rPr>
              <w:t xml:space="preserve"> 1</w:t>
            </w:r>
          </w:p>
        </w:tc>
        <w:tc>
          <w:tcPr>
            <w:tcW w:w="2653" w:type="dxa"/>
          </w:tcPr>
          <w:p w14:paraId="42386162" w14:textId="3A0B5F81" w:rsidR="00677C89" w:rsidRPr="00651389" w:rsidRDefault="00E0282D" w:rsidP="00651389">
            <w:pPr>
              <w:rPr>
                <w:rFonts w:ascii="Arial" w:hAnsi="Arial" w:cs="Arial"/>
              </w:rPr>
            </w:pPr>
            <w:r w:rsidRPr="00651389">
              <w:rPr>
                <w:rFonts w:ascii="Arial" w:hAnsi="Arial" w:cs="Arial"/>
              </w:rPr>
              <w:t>Theatre company</w:t>
            </w:r>
          </w:p>
        </w:tc>
        <w:tc>
          <w:tcPr>
            <w:tcW w:w="1178" w:type="dxa"/>
          </w:tcPr>
          <w:p w14:paraId="07FCC924" w14:textId="6C0A4ACE" w:rsidR="00677C89" w:rsidRPr="00651389" w:rsidRDefault="00677C89" w:rsidP="00651389">
            <w:pPr>
              <w:rPr>
                <w:rFonts w:ascii="Arial" w:hAnsi="Arial" w:cs="Arial"/>
              </w:rPr>
            </w:pPr>
          </w:p>
        </w:tc>
        <w:tc>
          <w:tcPr>
            <w:tcW w:w="1326" w:type="dxa"/>
          </w:tcPr>
          <w:p w14:paraId="07BD2A12" w14:textId="77777777" w:rsidR="00677C89" w:rsidRPr="00651389" w:rsidRDefault="00677C89" w:rsidP="00651389">
            <w:pPr>
              <w:rPr>
                <w:rFonts w:ascii="Arial" w:hAnsi="Arial" w:cs="Arial"/>
              </w:rPr>
            </w:pPr>
          </w:p>
        </w:tc>
        <w:tc>
          <w:tcPr>
            <w:tcW w:w="1338" w:type="dxa"/>
          </w:tcPr>
          <w:p w14:paraId="53C002C2" w14:textId="77777777" w:rsidR="00677C89" w:rsidRPr="00651389" w:rsidRDefault="00677C89" w:rsidP="00651389">
            <w:pPr>
              <w:rPr>
                <w:rFonts w:ascii="Arial" w:hAnsi="Arial" w:cs="Arial"/>
              </w:rPr>
            </w:pPr>
          </w:p>
        </w:tc>
        <w:tc>
          <w:tcPr>
            <w:tcW w:w="1136" w:type="dxa"/>
          </w:tcPr>
          <w:p w14:paraId="2E8A4BDA" w14:textId="68E8903D" w:rsidR="00677C89" w:rsidRPr="00651389" w:rsidRDefault="00E0282D" w:rsidP="00651389">
            <w:pPr>
              <w:rPr>
                <w:rFonts w:ascii="Arial" w:hAnsi="Arial" w:cs="Arial"/>
              </w:rPr>
            </w:pPr>
            <w:r w:rsidRPr="00651389">
              <w:rPr>
                <w:rFonts w:ascii="Arial" w:hAnsi="Arial" w:cs="Arial"/>
              </w:rPr>
              <w:t>27/6/23</w:t>
            </w:r>
          </w:p>
        </w:tc>
      </w:tr>
      <w:tr w:rsidR="00774A31" w:rsidRPr="00651389" w14:paraId="629DA4E8" w14:textId="0A8CAC23" w:rsidTr="4D597086">
        <w:trPr>
          <w:trHeight w:val="300"/>
        </w:trPr>
        <w:tc>
          <w:tcPr>
            <w:tcW w:w="1412" w:type="dxa"/>
          </w:tcPr>
          <w:p w14:paraId="4B03AB1B" w14:textId="7F91CA5F" w:rsidR="00774A31" w:rsidRPr="00651389" w:rsidRDefault="00E0282D" w:rsidP="00651389">
            <w:pPr>
              <w:rPr>
                <w:rFonts w:ascii="Arial" w:hAnsi="Arial" w:cs="Arial"/>
              </w:rPr>
            </w:pPr>
            <w:r w:rsidRPr="00651389">
              <w:rPr>
                <w:rFonts w:ascii="Arial" w:hAnsi="Arial" w:cs="Arial"/>
              </w:rPr>
              <w:t>Filmmaker 2</w:t>
            </w:r>
          </w:p>
        </w:tc>
        <w:tc>
          <w:tcPr>
            <w:tcW w:w="2653" w:type="dxa"/>
          </w:tcPr>
          <w:p w14:paraId="66C8113C" w14:textId="7F5241C3" w:rsidR="00774A31" w:rsidRPr="00651389" w:rsidRDefault="00E0282D" w:rsidP="00651389">
            <w:pPr>
              <w:rPr>
                <w:rFonts w:ascii="Arial" w:hAnsi="Arial" w:cs="Arial"/>
              </w:rPr>
            </w:pPr>
            <w:r w:rsidRPr="00651389">
              <w:rPr>
                <w:rFonts w:ascii="Arial" w:hAnsi="Arial" w:cs="Arial"/>
              </w:rPr>
              <w:t xml:space="preserve">Theatre Company </w:t>
            </w:r>
          </w:p>
        </w:tc>
        <w:tc>
          <w:tcPr>
            <w:tcW w:w="1178" w:type="dxa"/>
          </w:tcPr>
          <w:p w14:paraId="244A1040" w14:textId="714E8326" w:rsidR="00774A31" w:rsidRPr="00651389" w:rsidRDefault="00774A31" w:rsidP="00651389">
            <w:pPr>
              <w:rPr>
                <w:rFonts w:ascii="Arial" w:hAnsi="Arial" w:cs="Arial"/>
              </w:rPr>
            </w:pPr>
          </w:p>
        </w:tc>
        <w:tc>
          <w:tcPr>
            <w:tcW w:w="1326" w:type="dxa"/>
          </w:tcPr>
          <w:p w14:paraId="485E3ED7" w14:textId="77777777" w:rsidR="00774A31" w:rsidRPr="00651389" w:rsidRDefault="00774A31" w:rsidP="00651389">
            <w:pPr>
              <w:rPr>
                <w:rFonts w:ascii="Arial" w:hAnsi="Arial" w:cs="Arial"/>
              </w:rPr>
            </w:pPr>
          </w:p>
        </w:tc>
        <w:tc>
          <w:tcPr>
            <w:tcW w:w="1338" w:type="dxa"/>
          </w:tcPr>
          <w:p w14:paraId="3335877F" w14:textId="77777777" w:rsidR="00774A31" w:rsidRPr="00651389" w:rsidRDefault="00774A31" w:rsidP="00651389">
            <w:pPr>
              <w:rPr>
                <w:rFonts w:ascii="Arial" w:hAnsi="Arial" w:cs="Arial"/>
              </w:rPr>
            </w:pPr>
          </w:p>
        </w:tc>
        <w:tc>
          <w:tcPr>
            <w:tcW w:w="1136" w:type="dxa"/>
          </w:tcPr>
          <w:p w14:paraId="51B46832" w14:textId="5C8277AA" w:rsidR="00774A31" w:rsidRPr="00651389" w:rsidRDefault="00E0282D" w:rsidP="00651389">
            <w:pPr>
              <w:rPr>
                <w:rFonts w:ascii="Arial" w:hAnsi="Arial" w:cs="Arial"/>
              </w:rPr>
            </w:pPr>
            <w:r w:rsidRPr="00651389">
              <w:rPr>
                <w:rFonts w:ascii="Arial" w:hAnsi="Arial" w:cs="Arial"/>
              </w:rPr>
              <w:t>11/7/23</w:t>
            </w:r>
          </w:p>
        </w:tc>
      </w:tr>
      <w:tr w:rsidR="00677C89" w:rsidRPr="00651389" w14:paraId="3D983CBE" w14:textId="77777777" w:rsidTr="4D597086">
        <w:trPr>
          <w:trHeight w:val="300"/>
        </w:trPr>
        <w:tc>
          <w:tcPr>
            <w:tcW w:w="1412" w:type="dxa"/>
            <w:shd w:val="clear" w:color="auto" w:fill="F2F2F2" w:themeFill="background1" w:themeFillShade="F2"/>
          </w:tcPr>
          <w:p w14:paraId="10969A78" w14:textId="77777777" w:rsidR="00677C89" w:rsidRPr="00651389" w:rsidRDefault="00677C89" w:rsidP="00651389">
            <w:pPr>
              <w:rPr>
                <w:rFonts w:ascii="Arial" w:hAnsi="Arial" w:cs="Arial"/>
              </w:rPr>
            </w:pPr>
          </w:p>
        </w:tc>
        <w:tc>
          <w:tcPr>
            <w:tcW w:w="2653" w:type="dxa"/>
            <w:shd w:val="clear" w:color="auto" w:fill="F2F2F2" w:themeFill="background1" w:themeFillShade="F2"/>
          </w:tcPr>
          <w:p w14:paraId="7CB0B423" w14:textId="77777777" w:rsidR="00677C89" w:rsidRPr="00651389" w:rsidRDefault="00677C89" w:rsidP="00651389">
            <w:pPr>
              <w:rPr>
                <w:rFonts w:ascii="Arial" w:hAnsi="Arial" w:cs="Arial"/>
              </w:rPr>
            </w:pPr>
          </w:p>
        </w:tc>
        <w:tc>
          <w:tcPr>
            <w:tcW w:w="1178" w:type="dxa"/>
            <w:shd w:val="clear" w:color="auto" w:fill="F2F2F2" w:themeFill="background1" w:themeFillShade="F2"/>
          </w:tcPr>
          <w:p w14:paraId="21FBA74D" w14:textId="77777777" w:rsidR="00677C89" w:rsidRPr="00651389" w:rsidRDefault="00677C89" w:rsidP="00651389">
            <w:pPr>
              <w:rPr>
                <w:rFonts w:ascii="Arial" w:hAnsi="Arial" w:cs="Arial"/>
              </w:rPr>
            </w:pPr>
          </w:p>
        </w:tc>
        <w:tc>
          <w:tcPr>
            <w:tcW w:w="1326" w:type="dxa"/>
            <w:shd w:val="clear" w:color="auto" w:fill="F2F2F2" w:themeFill="background1" w:themeFillShade="F2"/>
          </w:tcPr>
          <w:p w14:paraId="4E4E0B84" w14:textId="77777777" w:rsidR="00677C89" w:rsidRPr="00651389" w:rsidRDefault="00677C89" w:rsidP="00651389">
            <w:pPr>
              <w:rPr>
                <w:rFonts w:ascii="Arial" w:hAnsi="Arial" w:cs="Arial"/>
              </w:rPr>
            </w:pPr>
          </w:p>
        </w:tc>
        <w:tc>
          <w:tcPr>
            <w:tcW w:w="1338" w:type="dxa"/>
            <w:shd w:val="clear" w:color="auto" w:fill="F2F2F2" w:themeFill="background1" w:themeFillShade="F2"/>
          </w:tcPr>
          <w:p w14:paraId="231C98ED" w14:textId="77777777" w:rsidR="00677C89" w:rsidRPr="00651389" w:rsidRDefault="00677C89" w:rsidP="00651389">
            <w:pPr>
              <w:rPr>
                <w:rFonts w:ascii="Arial" w:hAnsi="Arial" w:cs="Arial"/>
              </w:rPr>
            </w:pPr>
          </w:p>
        </w:tc>
        <w:tc>
          <w:tcPr>
            <w:tcW w:w="1136" w:type="dxa"/>
            <w:shd w:val="clear" w:color="auto" w:fill="F2F2F2" w:themeFill="background1" w:themeFillShade="F2"/>
          </w:tcPr>
          <w:p w14:paraId="1B238B00" w14:textId="77777777" w:rsidR="00677C89" w:rsidRPr="00651389" w:rsidRDefault="00677C89" w:rsidP="00651389">
            <w:pPr>
              <w:rPr>
                <w:rFonts w:ascii="Arial" w:hAnsi="Arial" w:cs="Arial"/>
              </w:rPr>
            </w:pPr>
          </w:p>
        </w:tc>
      </w:tr>
      <w:tr w:rsidR="00677C89" w:rsidRPr="00651389" w14:paraId="588734D7" w14:textId="77777777" w:rsidTr="4D597086">
        <w:trPr>
          <w:trHeight w:val="300"/>
        </w:trPr>
        <w:tc>
          <w:tcPr>
            <w:tcW w:w="1412" w:type="dxa"/>
          </w:tcPr>
          <w:p w14:paraId="516381E1" w14:textId="4681D7ED" w:rsidR="00677C89" w:rsidRPr="00651389" w:rsidRDefault="6BE21397" w:rsidP="4D597086">
            <w:pPr>
              <w:rPr>
                <w:rFonts w:ascii="Arial" w:hAnsi="Arial" w:cs="Arial"/>
                <w:color w:val="000000" w:themeColor="text1"/>
              </w:rPr>
            </w:pPr>
            <w:r w:rsidRPr="4D597086">
              <w:rPr>
                <w:rFonts w:ascii="Arial" w:hAnsi="Arial" w:cs="Arial"/>
              </w:rPr>
              <w:t xml:space="preserve">Audience members </w:t>
            </w:r>
            <w:r w:rsidRPr="4D597086">
              <w:rPr>
                <w:rFonts w:ascii="Arial" w:hAnsi="Arial" w:cs="Arial"/>
                <w:color w:val="000000" w:themeColor="text1"/>
              </w:rPr>
              <w:t>n.1-</w:t>
            </w:r>
            <w:r w:rsidR="6FF2AC13" w:rsidRPr="4D597086">
              <w:rPr>
                <w:rFonts w:ascii="Arial" w:hAnsi="Arial" w:cs="Arial"/>
                <w:color w:val="000000" w:themeColor="text1"/>
              </w:rPr>
              <w:t>14</w:t>
            </w:r>
          </w:p>
        </w:tc>
        <w:tc>
          <w:tcPr>
            <w:tcW w:w="2653" w:type="dxa"/>
          </w:tcPr>
          <w:p w14:paraId="717A6D73" w14:textId="3646EFCC" w:rsidR="00677C89" w:rsidRPr="00651389" w:rsidRDefault="00E0282D" w:rsidP="00651389">
            <w:pPr>
              <w:rPr>
                <w:rFonts w:ascii="Arial" w:hAnsi="Arial" w:cs="Arial"/>
              </w:rPr>
            </w:pPr>
            <w:r w:rsidRPr="00651389">
              <w:rPr>
                <w:rFonts w:ascii="Arial" w:hAnsi="Arial" w:cs="Arial"/>
              </w:rPr>
              <w:t>Social Work students</w:t>
            </w:r>
          </w:p>
        </w:tc>
        <w:tc>
          <w:tcPr>
            <w:tcW w:w="1178" w:type="dxa"/>
          </w:tcPr>
          <w:p w14:paraId="00C5D762" w14:textId="77777777" w:rsidR="00677C89" w:rsidRPr="00651389" w:rsidRDefault="00677C89" w:rsidP="00651389">
            <w:pPr>
              <w:rPr>
                <w:rFonts w:ascii="Arial" w:hAnsi="Arial" w:cs="Arial"/>
              </w:rPr>
            </w:pPr>
          </w:p>
        </w:tc>
        <w:tc>
          <w:tcPr>
            <w:tcW w:w="1326" w:type="dxa"/>
          </w:tcPr>
          <w:p w14:paraId="40E46ECB" w14:textId="77777777" w:rsidR="00677C89" w:rsidRPr="00651389" w:rsidRDefault="00677C89" w:rsidP="00651389">
            <w:pPr>
              <w:rPr>
                <w:rFonts w:ascii="Arial" w:hAnsi="Arial" w:cs="Arial"/>
              </w:rPr>
            </w:pPr>
          </w:p>
        </w:tc>
        <w:tc>
          <w:tcPr>
            <w:tcW w:w="1338" w:type="dxa"/>
          </w:tcPr>
          <w:p w14:paraId="167B3153" w14:textId="77777777" w:rsidR="00677C89" w:rsidRPr="00651389" w:rsidRDefault="00677C89" w:rsidP="00651389">
            <w:pPr>
              <w:rPr>
                <w:rFonts w:ascii="Arial" w:hAnsi="Arial" w:cs="Arial"/>
              </w:rPr>
            </w:pPr>
          </w:p>
        </w:tc>
        <w:tc>
          <w:tcPr>
            <w:tcW w:w="1136" w:type="dxa"/>
          </w:tcPr>
          <w:p w14:paraId="0F1FF859" w14:textId="51298E63" w:rsidR="00677C89" w:rsidRPr="00651389" w:rsidRDefault="00E0282D" w:rsidP="00651389">
            <w:pPr>
              <w:rPr>
                <w:rFonts w:ascii="Arial" w:hAnsi="Arial" w:cs="Arial"/>
              </w:rPr>
            </w:pPr>
            <w:r w:rsidRPr="00651389">
              <w:rPr>
                <w:rFonts w:ascii="Arial" w:hAnsi="Arial" w:cs="Arial"/>
              </w:rPr>
              <w:t>18/3/22</w:t>
            </w:r>
          </w:p>
        </w:tc>
      </w:tr>
      <w:tr w:rsidR="00851E46" w:rsidRPr="00651389" w14:paraId="46C8D0BF" w14:textId="77777777" w:rsidTr="4D597086">
        <w:trPr>
          <w:trHeight w:val="300"/>
        </w:trPr>
        <w:tc>
          <w:tcPr>
            <w:tcW w:w="1412" w:type="dxa"/>
          </w:tcPr>
          <w:p w14:paraId="5602F305" w14:textId="5E631288" w:rsidR="00851E46" w:rsidRPr="00651389" w:rsidRDefault="6BE21397" w:rsidP="7AFA622E">
            <w:pPr>
              <w:rPr>
                <w:rFonts w:ascii="Arial" w:hAnsi="Arial" w:cs="Arial"/>
                <w:color w:val="000000" w:themeColor="text1"/>
              </w:rPr>
            </w:pPr>
            <w:r w:rsidRPr="4D597086">
              <w:rPr>
                <w:rFonts w:ascii="Arial" w:hAnsi="Arial" w:cs="Arial"/>
                <w:color w:val="000000" w:themeColor="text1"/>
              </w:rPr>
              <w:t>Audience members n.</w:t>
            </w:r>
            <w:r w:rsidR="04E42F5E" w:rsidRPr="4D597086">
              <w:rPr>
                <w:rFonts w:ascii="Arial" w:hAnsi="Arial" w:cs="Arial"/>
                <w:color w:val="000000" w:themeColor="text1"/>
              </w:rPr>
              <w:t xml:space="preserve"> </w:t>
            </w:r>
            <w:r w:rsidR="20C668FA" w:rsidRPr="4D597086">
              <w:rPr>
                <w:rFonts w:ascii="Arial" w:hAnsi="Arial" w:cs="Arial"/>
                <w:color w:val="000000" w:themeColor="text1"/>
              </w:rPr>
              <w:t>15-21</w:t>
            </w:r>
          </w:p>
        </w:tc>
        <w:tc>
          <w:tcPr>
            <w:tcW w:w="2653" w:type="dxa"/>
          </w:tcPr>
          <w:p w14:paraId="4A31FBA1" w14:textId="6DBD1F10" w:rsidR="00851E46" w:rsidRPr="00651389" w:rsidRDefault="00E0282D" w:rsidP="00651389">
            <w:pPr>
              <w:rPr>
                <w:rFonts w:ascii="Arial" w:hAnsi="Arial" w:cs="Arial"/>
              </w:rPr>
            </w:pPr>
            <w:r w:rsidRPr="00651389">
              <w:rPr>
                <w:rFonts w:ascii="Arial" w:hAnsi="Arial" w:cs="Arial"/>
              </w:rPr>
              <w:t>Criminal justice voluntary sector staff</w:t>
            </w:r>
          </w:p>
        </w:tc>
        <w:tc>
          <w:tcPr>
            <w:tcW w:w="1178" w:type="dxa"/>
          </w:tcPr>
          <w:p w14:paraId="7A8F3024" w14:textId="77777777" w:rsidR="00851E46" w:rsidRPr="00651389" w:rsidRDefault="00851E46" w:rsidP="00651389">
            <w:pPr>
              <w:rPr>
                <w:rFonts w:ascii="Arial" w:hAnsi="Arial" w:cs="Arial"/>
              </w:rPr>
            </w:pPr>
          </w:p>
        </w:tc>
        <w:tc>
          <w:tcPr>
            <w:tcW w:w="1326" w:type="dxa"/>
          </w:tcPr>
          <w:p w14:paraId="6236E16B" w14:textId="77777777" w:rsidR="00851E46" w:rsidRPr="00651389" w:rsidRDefault="00851E46" w:rsidP="00651389">
            <w:pPr>
              <w:rPr>
                <w:rFonts w:ascii="Arial" w:hAnsi="Arial" w:cs="Arial"/>
              </w:rPr>
            </w:pPr>
          </w:p>
        </w:tc>
        <w:tc>
          <w:tcPr>
            <w:tcW w:w="1338" w:type="dxa"/>
          </w:tcPr>
          <w:p w14:paraId="6E72A7F3" w14:textId="77777777" w:rsidR="00851E46" w:rsidRPr="00651389" w:rsidRDefault="00851E46" w:rsidP="00651389">
            <w:pPr>
              <w:rPr>
                <w:rFonts w:ascii="Arial" w:hAnsi="Arial" w:cs="Arial"/>
              </w:rPr>
            </w:pPr>
          </w:p>
        </w:tc>
        <w:tc>
          <w:tcPr>
            <w:tcW w:w="1136" w:type="dxa"/>
          </w:tcPr>
          <w:p w14:paraId="3FA20C90" w14:textId="0EDE1DB7" w:rsidR="00851E46" w:rsidRPr="00651389" w:rsidRDefault="00E0282D" w:rsidP="00651389">
            <w:pPr>
              <w:rPr>
                <w:rFonts w:ascii="Arial" w:hAnsi="Arial" w:cs="Arial"/>
              </w:rPr>
            </w:pPr>
            <w:r w:rsidRPr="00651389">
              <w:rPr>
                <w:rFonts w:ascii="Arial" w:hAnsi="Arial" w:cs="Arial"/>
              </w:rPr>
              <w:t>5/7/22</w:t>
            </w:r>
          </w:p>
        </w:tc>
      </w:tr>
      <w:tr w:rsidR="00851E46" w:rsidRPr="00651389" w14:paraId="3EB3FC94" w14:textId="77777777" w:rsidTr="4D597086">
        <w:trPr>
          <w:trHeight w:val="300"/>
        </w:trPr>
        <w:tc>
          <w:tcPr>
            <w:tcW w:w="1412" w:type="dxa"/>
          </w:tcPr>
          <w:p w14:paraId="20FD0076" w14:textId="0328256A" w:rsidR="00851E46" w:rsidRPr="00651389" w:rsidRDefault="6BE21397" w:rsidP="7AFA622E">
            <w:pPr>
              <w:rPr>
                <w:rFonts w:ascii="Arial" w:hAnsi="Arial" w:cs="Arial"/>
                <w:color w:val="000000" w:themeColor="text1"/>
              </w:rPr>
            </w:pPr>
            <w:r w:rsidRPr="4D597086">
              <w:rPr>
                <w:rFonts w:ascii="Arial" w:hAnsi="Arial" w:cs="Arial"/>
                <w:color w:val="000000" w:themeColor="text1"/>
              </w:rPr>
              <w:t>Audience members n.</w:t>
            </w:r>
            <w:r w:rsidR="1E54F186" w:rsidRPr="4D597086">
              <w:rPr>
                <w:rFonts w:ascii="Arial" w:hAnsi="Arial" w:cs="Arial"/>
                <w:color w:val="000000" w:themeColor="text1"/>
              </w:rPr>
              <w:t xml:space="preserve"> </w:t>
            </w:r>
            <w:r w:rsidR="25C6FA5D" w:rsidRPr="4D597086">
              <w:rPr>
                <w:rFonts w:ascii="Arial" w:hAnsi="Arial" w:cs="Arial"/>
                <w:color w:val="000000" w:themeColor="text1"/>
              </w:rPr>
              <w:t>22-27</w:t>
            </w:r>
          </w:p>
        </w:tc>
        <w:tc>
          <w:tcPr>
            <w:tcW w:w="2653" w:type="dxa"/>
          </w:tcPr>
          <w:p w14:paraId="250776E0" w14:textId="4362E81C" w:rsidR="00851E46" w:rsidRPr="00651389" w:rsidRDefault="00851E46" w:rsidP="00651389">
            <w:pPr>
              <w:rPr>
                <w:rFonts w:ascii="Arial" w:hAnsi="Arial" w:cs="Arial"/>
              </w:rPr>
            </w:pPr>
            <w:r w:rsidRPr="00651389">
              <w:rPr>
                <w:rFonts w:ascii="Arial" w:hAnsi="Arial" w:cs="Arial"/>
              </w:rPr>
              <w:t>HM Prison and Probation Service, Governing Governors</w:t>
            </w:r>
          </w:p>
        </w:tc>
        <w:tc>
          <w:tcPr>
            <w:tcW w:w="1178" w:type="dxa"/>
          </w:tcPr>
          <w:p w14:paraId="2A683835" w14:textId="77777777" w:rsidR="00851E46" w:rsidRPr="00651389" w:rsidRDefault="00851E46" w:rsidP="00651389">
            <w:pPr>
              <w:rPr>
                <w:rFonts w:ascii="Arial" w:hAnsi="Arial" w:cs="Arial"/>
              </w:rPr>
            </w:pPr>
          </w:p>
        </w:tc>
        <w:tc>
          <w:tcPr>
            <w:tcW w:w="1326" w:type="dxa"/>
          </w:tcPr>
          <w:p w14:paraId="7B411202" w14:textId="77777777" w:rsidR="00851E46" w:rsidRPr="00651389" w:rsidRDefault="00851E46" w:rsidP="00651389">
            <w:pPr>
              <w:rPr>
                <w:rFonts w:ascii="Arial" w:hAnsi="Arial" w:cs="Arial"/>
              </w:rPr>
            </w:pPr>
          </w:p>
        </w:tc>
        <w:tc>
          <w:tcPr>
            <w:tcW w:w="1338" w:type="dxa"/>
          </w:tcPr>
          <w:p w14:paraId="0A5CBEE1" w14:textId="77777777" w:rsidR="00851E46" w:rsidRPr="00651389" w:rsidRDefault="00851E46" w:rsidP="00651389">
            <w:pPr>
              <w:rPr>
                <w:rFonts w:ascii="Arial" w:hAnsi="Arial" w:cs="Arial"/>
              </w:rPr>
            </w:pPr>
          </w:p>
        </w:tc>
        <w:tc>
          <w:tcPr>
            <w:tcW w:w="1136" w:type="dxa"/>
          </w:tcPr>
          <w:p w14:paraId="231383CC" w14:textId="6562D17F" w:rsidR="00851E46" w:rsidRPr="00651389" w:rsidRDefault="00E0282D" w:rsidP="00651389">
            <w:pPr>
              <w:rPr>
                <w:rFonts w:ascii="Arial" w:hAnsi="Arial" w:cs="Arial"/>
              </w:rPr>
            </w:pPr>
            <w:r w:rsidRPr="00651389">
              <w:rPr>
                <w:rFonts w:ascii="Arial" w:hAnsi="Arial" w:cs="Arial"/>
              </w:rPr>
              <w:t>2/11/22</w:t>
            </w:r>
          </w:p>
        </w:tc>
      </w:tr>
      <w:tr w:rsidR="00D254F3" w:rsidRPr="00651389" w14:paraId="34AF51DD" w14:textId="77777777" w:rsidTr="4D597086">
        <w:trPr>
          <w:trHeight w:val="300"/>
        </w:trPr>
        <w:tc>
          <w:tcPr>
            <w:tcW w:w="1412" w:type="dxa"/>
            <w:shd w:val="clear" w:color="auto" w:fill="F2F2F2" w:themeFill="background1" w:themeFillShade="F2"/>
          </w:tcPr>
          <w:p w14:paraId="6D8AB631" w14:textId="77777777" w:rsidR="004A1A63" w:rsidRPr="00651389" w:rsidRDefault="004A1A63" w:rsidP="00651389">
            <w:pPr>
              <w:rPr>
                <w:rFonts w:ascii="Arial" w:hAnsi="Arial" w:cs="Arial"/>
              </w:rPr>
            </w:pPr>
          </w:p>
        </w:tc>
        <w:tc>
          <w:tcPr>
            <w:tcW w:w="2653" w:type="dxa"/>
            <w:shd w:val="clear" w:color="auto" w:fill="F2F2F2" w:themeFill="background1" w:themeFillShade="F2"/>
          </w:tcPr>
          <w:p w14:paraId="7D7C70E8" w14:textId="77777777" w:rsidR="004A1A63" w:rsidRPr="00651389" w:rsidRDefault="004A1A63" w:rsidP="00651389">
            <w:pPr>
              <w:rPr>
                <w:rFonts w:ascii="Arial" w:hAnsi="Arial" w:cs="Arial"/>
              </w:rPr>
            </w:pPr>
          </w:p>
        </w:tc>
        <w:tc>
          <w:tcPr>
            <w:tcW w:w="1178" w:type="dxa"/>
            <w:shd w:val="clear" w:color="auto" w:fill="F2F2F2" w:themeFill="background1" w:themeFillShade="F2"/>
          </w:tcPr>
          <w:p w14:paraId="2A045EE8" w14:textId="77777777" w:rsidR="004A1A63" w:rsidRPr="00651389" w:rsidRDefault="004A1A63" w:rsidP="00651389">
            <w:pPr>
              <w:rPr>
                <w:rFonts w:ascii="Arial" w:hAnsi="Arial" w:cs="Arial"/>
              </w:rPr>
            </w:pPr>
          </w:p>
        </w:tc>
        <w:tc>
          <w:tcPr>
            <w:tcW w:w="1326" w:type="dxa"/>
            <w:shd w:val="clear" w:color="auto" w:fill="F2F2F2" w:themeFill="background1" w:themeFillShade="F2"/>
          </w:tcPr>
          <w:p w14:paraId="04B9B00B" w14:textId="77777777" w:rsidR="004A1A63" w:rsidRPr="00651389" w:rsidRDefault="004A1A63" w:rsidP="00651389">
            <w:pPr>
              <w:rPr>
                <w:rFonts w:ascii="Arial" w:hAnsi="Arial" w:cs="Arial"/>
              </w:rPr>
            </w:pPr>
          </w:p>
        </w:tc>
        <w:tc>
          <w:tcPr>
            <w:tcW w:w="1338" w:type="dxa"/>
            <w:shd w:val="clear" w:color="auto" w:fill="F2F2F2" w:themeFill="background1" w:themeFillShade="F2"/>
          </w:tcPr>
          <w:p w14:paraId="62A34D97" w14:textId="77777777" w:rsidR="004A1A63" w:rsidRPr="00651389" w:rsidRDefault="004A1A63" w:rsidP="00651389">
            <w:pPr>
              <w:rPr>
                <w:rFonts w:ascii="Arial" w:hAnsi="Arial" w:cs="Arial"/>
              </w:rPr>
            </w:pPr>
          </w:p>
        </w:tc>
        <w:tc>
          <w:tcPr>
            <w:tcW w:w="1136" w:type="dxa"/>
            <w:shd w:val="clear" w:color="auto" w:fill="F2F2F2" w:themeFill="background1" w:themeFillShade="F2"/>
          </w:tcPr>
          <w:p w14:paraId="2DE49184" w14:textId="77777777" w:rsidR="004A1A63" w:rsidRPr="00651389" w:rsidRDefault="004A1A63" w:rsidP="00651389">
            <w:pPr>
              <w:rPr>
                <w:rFonts w:ascii="Arial" w:hAnsi="Arial" w:cs="Arial"/>
              </w:rPr>
            </w:pPr>
          </w:p>
        </w:tc>
      </w:tr>
    </w:tbl>
    <w:p w14:paraId="4ECF7868" w14:textId="084B1BB4" w:rsidR="00A11660" w:rsidRPr="00651389" w:rsidRDefault="00A11660" w:rsidP="00651389">
      <w:pPr>
        <w:spacing w:after="0" w:line="240" w:lineRule="auto"/>
        <w:rPr>
          <w:rFonts w:ascii="Arial" w:hAnsi="Arial" w:cs="Arial"/>
        </w:rPr>
      </w:pPr>
    </w:p>
    <w:p w14:paraId="5D34D775" w14:textId="4B89E235" w:rsidR="00057C3B" w:rsidRPr="00651389" w:rsidRDefault="00057C3B" w:rsidP="00651389">
      <w:pPr>
        <w:spacing w:after="0" w:line="240" w:lineRule="auto"/>
        <w:rPr>
          <w:rFonts w:ascii="Arial" w:eastAsia="Palatino Linotype" w:hAnsi="Arial" w:cs="Arial"/>
        </w:rPr>
      </w:pPr>
    </w:p>
    <w:p w14:paraId="1A9B1684" w14:textId="00992EE0" w:rsidR="00057C3B" w:rsidRPr="00651389" w:rsidRDefault="00057C3B" w:rsidP="00651389">
      <w:pPr>
        <w:pStyle w:val="BodyA"/>
        <w:rPr>
          <w:rFonts w:ascii="Arial" w:hAnsi="Arial" w:cs="Arial"/>
        </w:rPr>
      </w:pPr>
    </w:p>
    <w:p w14:paraId="6E9D10D1" w14:textId="71FCA272" w:rsidR="00057C3B" w:rsidRPr="00651389" w:rsidRDefault="00057C3B" w:rsidP="00651389">
      <w:pPr>
        <w:spacing w:after="0" w:line="240" w:lineRule="auto"/>
        <w:rPr>
          <w:rFonts w:ascii="Arial" w:hAnsi="Arial" w:cs="Arial"/>
          <w:b/>
          <w:bCs/>
        </w:rPr>
      </w:pPr>
    </w:p>
    <w:p w14:paraId="090F5E59" w14:textId="01EF8FBB" w:rsidR="00AE641D" w:rsidRPr="00651389" w:rsidRDefault="00AE641D" w:rsidP="00651389">
      <w:pPr>
        <w:spacing w:after="0" w:line="240" w:lineRule="auto"/>
        <w:rPr>
          <w:rFonts w:ascii="Arial" w:hAnsi="Arial" w:cs="Arial"/>
        </w:rPr>
      </w:pPr>
    </w:p>
    <w:sectPr w:rsidR="00AE641D" w:rsidRPr="00651389" w:rsidSect="00B41251">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740FA"/>
    <w:multiLevelType w:val="hybridMultilevel"/>
    <w:tmpl w:val="4CA6147E"/>
    <w:lvl w:ilvl="0" w:tplc="9F9A7414">
      <w:start w:val="1"/>
      <w:numFmt w:val="decimal"/>
      <w:lvlText w:val="%1."/>
      <w:lvlJc w:val="left"/>
      <w:pPr>
        <w:ind w:left="644"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3392358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660"/>
    <w:rsid w:val="00025E96"/>
    <w:rsid w:val="00057C3B"/>
    <w:rsid w:val="000B18EB"/>
    <w:rsid w:val="00110B75"/>
    <w:rsid w:val="00122923"/>
    <w:rsid w:val="00134AC9"/>
    <w:rsid w:val="00134DD1"/>
    <w:rsid w:val="00141D39"/>
    <w:rsid w:val="00173675"/>
    <w:rsid w:val="001D63A8"/>
    <w:rsid w:val="001E5708"/>
    <w:rsid w:val="00210C90"/>
    <w:rsid w:val="002D215A"/>
    <w:rsid w:val="00366AFA"/>
    <w:rsid w:val="003B2744"/>
    <w:rsid w:val="003C343F"/>
    <w:rsid w:val="004A1A63"/>
    <w:rsid w:val="004A3431"/>
    <w:rsid w:val="005E4CD7"/>
    <w:rsid w:val="006203D9"/>
    <w:rsid w:val="00651389"/>
    <w:rsid w:val="00671157"/>
    <w:rsid w:val="00677C89"/>
    <w:rsid w:val="00687AB9"/>
    <w:rsid w:val="006B5F20"/>
    <w:rsid w:val="006B6AF1"/>
    <w:rsid w:val="006C4660"/>
    <w:rsid w:val="006C63E1"/>
    <w:rsid w:val="0076743F"/>
    <w:rsid w:val="00770A44"/>
    <w:rsid w:val="00774A31"/>
    <w:rsid w:val="007B322D"/>
    <w:rsid w:val="007B51FF"/>
    <w:rsid w:val="007C529E"/>
    <w:rsid w:val="007C5DDD"/>
    <w:rsid w:val="0080401A"/>
    <w:rsid w:val="00851E46"/>
    <w:rsid w:val="0089237F"/>
    <w:rsid w:val="008A6CDF"/>
    <w:rsid w:val="008E65B0"/>
    <w:rsid w:val="00A11660"/>
    <w:rsid w:val="00AD1A03"/>
    <w:rsid w:val="00AE641D"/>
    <w:rsid w:val="00AE67CC"/>
    <w:rsid w:val="00B41251"/>
    <w:rsid w:val="00BE75DB"/>
    <w:rsid w:val="00C15942"/>
    <w:rsid w:val="00C245F2"/>
    <w:rsid w:val="00C73963"/>
    <w:rsid w:val="00D1362F"/>
    <w:rsid w:val="00D254F3"/>
    <w:rsid w:val="00DC1615"/>
    <w:rsid w:val="00E0282D"/>
    <w:rsid w:val="00E2040B"/>
    <w:rsid w:val="00E514C5"/>
    <w:rsid w:val="00E91460"/>
    <w:rsid w:val="00EA3B8E"/>
    <w:rsid w:val="00F03CD0"/>
    <w:rsid w:val="00F26306"/>
    <w:rsid w:val="00F5490D"/>
    <w:rsid w:val="00FA0BE1"/>
    <w:rsid w:val="00FC298D"/>
    <w:rsid w:val="0237E0F4"/>
    <w:rsid w:val="02959BFF"/>
    <w:rsid w:val="03483596"/>
    <w:rsid w:val="04E42F5E"/>
    <w:rsid w:val="06C6977E"/>
    <w:rsid w:val="0A840FD8"/>
    <w:rsid w:val="0ED4E8B5"/>
    <w:rsid w:val="0F4D341E"/>
    <w:rsid w:val="123A7803"/>
    <w:rsid w:val="1684D3F0"/>
    <w:rsid w:val="1B934D1F"/>
    <w:rsid w:val="1E54F186"/>
    <w:rsid w:val="20C668FA"/>
    <w:rsid w:val="25AF913F"/>
    <w:rsid w:val="25C6FA5D"/>
    <w:rsid w:val="2611B8E4"/>
    <w:rsid w:val="27FB282E"/>
    <w:rsid w:val="2879123E"/>
    <w:rsid w:val="2A338F0F"/>
    <w:rsid w:val="2DEA11E1"/>
    <w:rsid w:val="2E9E3868"/>
    <w:rsid w:val="32A57F44"/>
    <w:rsid w:val="36028C01"/>
    <w:rsid w:val="364263D3"/>
    <w:rsid w:val="3BCCE6ED"/>
    <w:rsid w:val="3DA50A2C"/>
    <w:rsid w:val="408370C0"/>
    <w:rsid w:val="40889407"/>
    <w:rsid w:val="440D6DAB"/>
    <w:rsid w:val="49893D6C"/>
    <w:rsid w:val="4D0F0E95"/>
    <w:rsid w:val="4D597086"/>
    <w:rsid w:val="59060917"/>
    <w:rsid w:val="5B5249B9"/>
    <w:rsid w:val="6B616137"/>
    <w:rsid w:val="6BE21397"/>
    <w:rsid w:val="6D9FD8D0"/>
    <w:rsid w:val="6E1AED4E"/>
    <w:rsid w:val="6FF2AC13"/>
    <w:rsid w:val="70E52E69"/>
    <w:rsid w:val="71B072D1"/>
    <w:rsid w:val="72B8826D"/>
    <w:rsid w:val="76DD0498"/>
    <w:rsid w:val="7AFA6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58DDB"/>
  <w15:chartTrackingRefBased/>
  <w15:docId w15:val="{20830026-0367-4995-BC7C-1A17F78A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6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7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7C5DDD"/>
    <w:pPr>
      <w:spacing w:after="0" w:line="240" w:lineRule="auto"/>
    </w:pPr>
    <w:rPr>
      <w:rFonts w:ascii="Helvetica" w:eastAsia="Arial Unicode MS" w:hAnsi="Arial Unicode MS" w:cs="Arial Unicode MS"/>
      <w:color w:val="000000"/>
      <w:u w:color="000000"/>
      <w:lang w:val="en-US" w:eastAsia="en-GB"/>
    </w:rPr>
  </w:style>
  <w:style w:type="character" w:customStyle="1" w:styleId="nlmfn">
    <w:name w:val="nlmfn"/>
    <w:basedOn w:val="DefaultParagraphFont"/>
    <w:rsid w:val="007C5DDD"/>
  </w:style>
  <w:style w:type="character" w:styleId="CommentReference">
    <w:name w:val="annotation reference"/>
    <w:basedOn w:val="DefaultParagraphFont"/>
    <w:uiPriority w:val="99"/>
    <w:semiHidden/>
    <w:unhideWhenUsed/>
    <w:rsid w:val="006203D9"/>
    <w:rPr>
      <w:sz w:val="16"/>
      <w:szCs w:val="16"/>
    </w:rPr>
  </w:style>
  <w:style w:type="paragraph" w:styleId="CommentText">
    <w:name w:val="annotation text"/>
    <w:basedOn w:val="Normal"/>
    <w:link w:val="CommentTextChar"/>
    <w:uiPriority w:val="99"/>
    <w:unhideWhenUsed/>
    <w:rsid w:val="006203D9"/>
    <w:pPr>
      <w:spacing w:line="240" w:lineRule="auto"/>
    </w:pPr>
    <w:rPr>
      <w:sz w:val="20"/>
      <w:szCs w:val="20"/>
    </w:rPr>
  </w:style>
  <w:style w:type="character" w:customStyle="1" w:styleId="CommentTextChar">
    <w:name w:val="Comment Text Char"/>
    <w:basedOn w:val="DefaultParagraphFont"/>
    <w:link w:val="CommentText"/>
    <w:uiPriority w:val="99"/>
    <w:rsid w:val="006203D9"/>
    <w:rPr>
      <w:sz w:val="20"/>
      <w:szCs w:val="20"/>
    </w:rPr>
  </w:style>
  <w:style w:type="paragraph" w:styleId="CommentSubject">
    <w:name w:val="annotation subject"/>
    <w:basedOn w:val="CommentText"/>
    <w:next w:val="CommentText"/>
    <w:link w:val="CommentSubjectChar"/>
    <w:uiPriority w:val="99"/>
    <w:semiHidden/>
    <w:unhideWhenUsed/>
    <w:rsid w:val="006203D9"/>
    <w:rPr>
      <w:b/>
      <w:bCs/>
    </w:rPr>
  </w:style>
  <w:style w:type="character" w:customStyle="1" w:styleId="CommentSubjectChar">
    <w:name w:val="Comment Subject Char"/>
    <w:basedOn w:val="CommentTextChar"/>
    <w:link w:val="CommentSubject"/>
    <w:uiPriority w:val="99"/>
    <w:semiHidden/>
    <w:rsid w:val="006203D9"/>
    <w:rPr>
      <w:b/>
      <w:bCs/>
      <w:sz w:val="20"/>
      <w:szCs w:val="20"/>
    </w:rPr>
  </w:style>
  <w:style w:type="character" w:styleId="Strong">
    <w:name w:val="Strong"/>
    <w:basedOn w:val="DefaultParagraphFont"/>
    <w:uiPriority w:val="22"/>
    <w:qFormat/>
    <w:rsid w:val="00D254F3"/>
    <w:rPr>
      <w:b/>
      <w:bCs/>
    </w:rPr>
  </w:style>
  <w:style w:type="paragraph" w:styleId="ListParagraph">
    <w:name w:val="List Paragraph"/>
    <w:basedOn w:val="Normal"/>
    <w:uiPriority w:val="34"/>
    <w:qFormat/>
    <w:rsid w:val="006C63E1"/>
    <w:pPr>
      <w:spacing w:after="0" w:line="240" w:lineRule="auto"/>
      <w:ind w:left="720"/>
    </w:pPr>
    <w:rPr>
      <w:rFonts w:eastAsiaTheme="minorEastAsia"/>
      <w:lang w:eastAsia="en-GB"/>
    </w:rPr>
  </w:style>
  <w:style w:type="character" w:styleId="Hyperlink">
    <w:name w:val="Hyperlink"/>
    <w:basedOn w:val="DefaultParagraphFont"/>
    <w:uiPriority w:val="99"/>
    <w:unhideWhenUsed/>
    <w:rsid w:val="004A3431"/>
    <w:rPr>
      <w:color w:val="0000FF"/>
      <w:u w:val="single"/>
    </w:rPr>
  </w:style>
  <w:style w:type="paragraph" w:customStyle="1" w:styleId="paragraph">
    <w:name w:val="paragraph"/>
    <w:basedOn w:val="Normal"/>
    <w:rsid w:val="00F549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5490D"/>
  </w:style>
  <w:style w:type="character" w:customStyle="1" w:styleId="eop">
    <w:name w:val="eop"/>
    <w:basedOn w:val="DefaultParagraphFont"/>
    <w:rsid w:val="00F5490D"/>
  </w:style>
  <w:style w:type="paragraph" w:styleId="Revision">
    <w:name w:val="Revision"/>
    <w:hidden/>
    <w:uiPriority w:val="99"/>
    <w:semiHidden/>
    <w:rsid w:val="00173675"/>
    <w:pPr>
      <w:spacing w:after="0" w:line="240" w:lineRule="auto"/>
    </w:pPr>
  </w:style>
  <w:style w:type="character" w:customStyle="1" w:styleId="citationarticleauthors">
    <w:name w:val="citationarticleauthors"/>
    <w:basedOn w:val="DefaultParagraphFont"/>
    <w:rsid w:val="00AD1A03"/>
  </w:style>
  <w:style w:type="character" w:customStyle="1" w:styleId="citationarticleyear">
    <w:name w:val="citationarticleyear"/>
    <w:basedOn w:val="DefaultParagraphFont"/>
    <w:rsid w:val="00AD1A03"/>
  </w:style>
  <w:style w:type="character" w:customStyle="1" w:styleId="citationarticletitle">
    <w:name w:val="citationarticletitle"/>
    <w:basedOn w:val="DefaultParagraphFont"/>
    <w:rsid w:val="00AD1A03"/>
  </w:style>
  <w:style w:type="character" w:customStyle="1" w:styleId="citationjournaltitle">
    <w:name w:val="citationjournaltitle"/>
    <w:basedOn w:val="DefaultParagraphFont"/>
    <w:rsid w:val="00AD1A03"/>
  </w:style>
  <w:style w:type="character" w:customStyle="1" w:styleId="citationjournalvolumeandpart">
    <w:name w:val="citationjournalvolumeandpart"/>
    <w:basedOn w:val="DefaultParagraphFont"/>
    <w:rsid w:val="00AD1A03"/>
  </w:style>
  <w:style w:type="character" w:customStyle="1" w:styleId="citationjournalpages">
    <w:name w:val="citationjournalpages"/>
    <w:basedOn w:val="DefaultParagraphFont"/>
    <w:rsid w:val="00AD1A03"/>
  </w:style>
  <w:style w:type="character" w:customStyle="1" w:styleId="epformexample">
    <w:name w:val="ep_form_example"/>
    <w:basedOn w:val="DefaultParagraphFont"/>
    <w:rsid w:val="008E65B0"/>
  </w:style>
  <w:style w:type="character" w:styleId="UnresolvedMention">
    <w:name w:val="Unresolved Mention"/>
    <w:basedOn w:val="DefaultParagraphFont"/>
    <w:uiPriority w:val="99"/>
    <w:semiHidden/>
    <w:unhideWhenUsed/>
    <w:rsid w:val="008A6C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82170">
      <w:bodyDiv w:val="1"/>
      <w:marLeft w:val="0"/>
      <w:marRight w:val="0"/>
      <w:marTop w:val="0"/>
      <w:marBottom w:val="0"/>
      <w:divBdr>
        <w:top w:val="none" w:sz="0" w:space="0" w:color="auto"/>
        <w:left w:val="none" w:sz="0" w:space="0" w:color="auto"/>
        <w:bottom w:val="none" w:sz="0" w:space="0" w:color="auto"/>
        <w:right w:val="none" w:sz="0" w:space="0" w:color="auto"/>
      </w:divBdr>
    </w:div>
    <w:div w:id="236091619">
      <w:bodyDiv w:val="1"/>
      <w:marLeft w:val="0"/>
      <w:marRight w:val="0"/>
      <w:marTop w:val="0"/>
      <w:marBottom w:val="0"/>
      <w:divBdr>
        <w:top w:val="none" w:sz="0" w:space="0" w:color="auto"/>
        <w:left w:val="none" w:sz="0" w:space="0" w:color="auto"/>
        <w:bottom w:val="none" w:sz="0" w:space="0" w:color="auto"/>
        <w:right w:val="none" w:sz="0" w:space="0" w:color="auto"/>
      </w:divBdr>
    </w:div>
    <w:div w:id="652680839">
      <w:bodyDiv w:val="1"/>
      <w:marLeft w:val="0"/>
      <w:marRight w:val="0"/>
      <w:marTop w:val="0"/>
      <w:marBottom w:val="0"/>
      <w:divBdr>
        <w:top w:val="none" w:sz="0" w:space="0" w:color="auto"/>
        <w:left w:val="none" w:sz="0" w:space="0" w:color="auto"/>
        <w:bottom w:val="none" w:sz="0" w:space="0" w:color="auto"/>
        <w:right w:val="none" w:sz="0" w:space="0" w:color="auto"/>
      </w:divBdr>
      <w:divsChild>
        <w:div w:id="522404498">
          <w:marLeft w:val="0"/>
          <w:marRight w:val="0"/>
          <w:marTop w:val="0"/>
          <w:marBottom w:val="0"/>
          <w:divBdr>
            <w:top w:val="none" w:sz="0" w:space="0" w:color="auto"/>
            <w:left w:val="none" w:sz="0" w:space="0" w:color="auto"/>
            <w:bottom w:val="none" w:sz="0" w:space="0" w:color="auto"/>
            <w:right w:val="none" w:sz="0" w:space="0" w:color="auto"/>
          </w:divBdr>
        </w:div>
        <w:div w:id="53311667">
          <w:marLeft w:val="0"/>
          <w:marRight w:val="0"/>
          <w:marTop w:val="0"/>
          <w:marBottom w:val="0"/>
          <w:divBdr>
            <w:top w:val="none" w:sz="0" w:space="0" w:color="auto"/>
            <w:left w:val="none" w:sz="0" w:space="0" w:color="auto"/>
            <w:bottom w:val="none" w:sz="0" w:space="0" w:color="auto"/>
            <w:right w:val="none" w:sz="0" w:space="0" w:color="auto"/>
          </w:divBdr>
        </w:div>
        <w:div w:id="523520567">
          <w:marLeft w:val="0"/>
          <w:marRight w:val="0"/>
          <w:marTop w:val="0"/>
          <w:marBottom w:val="0"/>
          <w:divBdr>
            <w:top w:val="none" w:sz="0" w:space="0" w:color="auto"/>
            <w:left w:val="none" w:sz="0" w:space="0" w:color="auto"/>
            <w:bottom w:val="none" w:sz="0" w:space="0" w:color="auto"/>
            <w:right w:val="none" w:sz="0" w:space="0" w:color="auto"/>
          </w:divBdr>
        </w:div>
        <w:div w:id="896286355">
          <w:marLeft w:val="0"/>
          <w:marRight w:val="0"/>
          <w:marTop w:val="0"/>
          <w:marBottom w:val="0"/>
          <w:divBdr>
            <w:top w:val="none" w:sz="0" w:space="0" w:color="auto"/>
            <w:left w:val="none" w:sz="0" w:space="0" w:color="auto"/>
            <w:bottom w:val="none" w:sz="0" w:space="0" w:color="auto"/>
            <w:right w:val="none" w:sz="0" w:space="0" w:color="auto"/>
          </w:divBdr>
        </w:div>
      </w:divsChild>
    </w:div>
    <w:div w:id="959145829">
      <w:bodyDiv w:val="1"/>
      <w:marLeft w:val="0"/>
      <w:marRight w:val="0"/>
      <w:marTop w:val="0"/>
      <w:marBottom w:val="0"/>
      <w:divBdr>
        <w:top w:val="none" w:sz="0" w:space="0" w:color="auto"/>
        <w:left w:val="none" w:sz="0" w:space="0" w:color="auto"/>
        <w:bottom w:val="none" w:sz="0" w:space="0" w:color="auto"/>
        <w:right w:val="none" w:sz="0" w:space="0" w:color="auto"/>
      </w:divBdr>
    </w:div>
    <w:div w:id="1100949334">
      <w:bodyDiv w:val="1"/>
      <w:marLeft w:val="0"/>
      <w:marRight w:val="0"/>
      <w:marTop w:val="0"/>
      <w:marBottom w:val="0"/>
      <w:divBdr>
        <w:top w:val="none" w:sz="0" w:space="0" w:color="auto"/>
        <w:left w:val="none" w:sz="0" w:space="0" w:color="auto"/>
        <w:bottom w:val="none" w:sz="0" w:space="0" w:color="auto"/>
        <w:right w:val="none" w:sz="0" w:space="0" w:color="auto"/>
      </w:divBdr>
    </w:div>
    <w:div w:id="1153138571">
      <w:bodyDiv w:val="1"/>
      <w:marLeft w:val="0"/>
      <w:marRight w:val="0"/>
      <w:marTop w:val="0"/>
      <w:marBottom w:val="0"/>
      <w:divBdr>
        <w:top w:val="none" w:sz="0" w:space="0" w:color="auto"/>
        <w:left w:val="none" w:sz="0" w:space="0" w:color="auto"/>
        <w:bottom w:val="none" w:sz="0" w:space="0" w:color="auto"/>
        <w:right w:val="none" w:sz="0" w:space="0" w:color="auto"/>
      </w:divBdr>
      <w:divsChild>
        <w:div w:id="1010916462">
          <w:marLeft w:val="0"/>
          <w:marRight w:val="0"/>
          <w:marTop w:val="0"/>
          <w:marBottom w:val="0"/>
          <w:divBdr>
            <w:top w:val="none" w:sz="0" w:space="0" w:color="auto"/>
            <w:left w:val="none" w:sz="0" w:space="0" w:color="auto"/>
            <w:bottom w:val="none" w:sz="0" w:space="0" w:color="auto"/>
            <w:right w:val="none" w:sz="0" w:space="0" w:color="auto"/>
          </w:divBdr>
        </w:div>
        <w:div w:id="2125228703">
          <w:marLeft w:val="0"/>
          <w:marRight w:val="0"/>
          <w:marTop w:val="0"/>
          <w:marBottom w:val="0"/>
          <w:divBdr>
            <w:top w:val="none" w:sz="0" w:space="0" w:color="auto"/>
            <w:left w:val="none" w:sz="0" w:space="0" w:color="auto"/>
            <w:bottom w:val="none" w:sz="0" w:space="0" w:color="auto"/>
            <w:right w:val="none" w:sz="0" w:space="0" w:color="auto"/>
          </w:divBdr>
        </w:div>
        <w:div w:id="1925066567">
          <w:marLeft w:val="0"/>
          <w:marRight w:val="0"/>
          <w:marTop w:val="0"/>
          <w:marBottom w:val="0"/>
          <w:divBdr>
            <w:top w:val="none" w:sz="0" w:space="0" w:color="auto"/>
            <w:left w:val="none" w:sz="0" w:space="0" w:color="auto"/>
            <w:bottom w:val="none" w:sz="0" w:space="0" w:color="auto"/>
            <w:right w:val="none" w:sz="0" w:space="0" w:color="auto"/>
          </w:divBdr>
        </w:div>
        <w:div w:id="1538741786">
          <w:marLeft w:val="0"/>
          <w:marRight w:val="0"/>
          <w:marTop w:val="0"/>
          <w:marBottom w:val="0"/>
          <w:divBdr>
            <w:top w:val="none" w:sz="0" w:space="0" w:color="auto"/>
            <w:left w:val="none" w:sz="0" w:space="0" w:color="auto"/>
            <w:bottom w:val="none" w:sz="0" w:space="0" w:color="auto"/>
            <w:right w:val="none" w:sz="0" w:space="0" w:color="auto"/>
          </w:divBdr>
        </w:div>
      </w:divsChild>
    </w:div>
    <w:div w:id="1920019997">
      <w:bodyDiv w:val="1"/>
      <w:marLeft w:val="0"/>
      <w:marRight w:val="0"/>
      <w:marTop w:val="0"/>
      <w:marBottom w:val="0"/>
      <w:divBdr>
        <w:top w:val="none" w:sz="0" w:space="0" w:color="auto"/>
        <w:left w:val="none" w:sz="0" w:space="0" w:color="auto"/>
        <w:bottom w:val="none" w:sz="0" w:space="0" w:color="auto"/>
        <w:right w:val="none" w:sz="0" w:space="0" w:color="auto"/>
      </w:divBdr>
    </w:div>
    <w:div w:id="1955091130">
      <w:bodyDiv w:val="1"/>
      <w:marLeft w:val="0"/>
      <w:marRight w:val="0"/>
      <w:marTop w:val="0"/>
      <w:marBottom w:val="0"/>
      <w:divBdr>
        <w:top w:val="none" w:sz="0" w:space="0" w:color="auto"/>
        <w:left w:val="none" w:sz="0" w:space="0" w:color="auto"/>
        <w:bottom w:val="none" w:sz="0" w:space="0" w:color="auto"/>
        <w:right w:val="none" w:sz="0" w:space="0" w:color="auto"/>
      </w:divBdr>
    </w:div>
    <w:div w:id="1982032755">
      <w:bodyDiv w:val="1"/>
      <w:marLeft w:val="0"/>
      <w:marRight w:val="0"/>
      <w:marTop w:val="0"/>
      <w:marBottom w:val="0"/>
      <w:divBdr>
        <w:top w:val="none" w:sz="0" w:space="0" w:color="auto"/>
        <w:left w:val="none" w:sz="0" w:space="0" w:color="auto"/>
        <w:bottom w:val="none" w:sz="0" w:space="0" w:color="auto"/>
        <w:right w:val="none" w:sz="0" w:space="0" w:color="auto"/>
      </w:divBdr>
    </w:div>
    <w:div w:id="21394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4398-8445"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fesoc.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rcid.org/0000-0002-2347-2479" TargetMode="External"/><Relationship Id="rId5" Type="http://schemas.openxmlformats.org/officeDocument/2006/relationships/styles" Target="styles.xml"/><Relationship Id="rId10" Type="http://schemas.openxmlformats.org/officeDocument/2006/relationships/hyperlink" Target="http://orcid.org/" TargetMode="External"/><Relationship Id="rId4" Type="http://schemas.openxmlformats.org/officeDocument/2006/relationships/numbering" Target="numbering.xml"/><Relationship Id="rId9" Type="http://schemas.openxmlformats.org/officeDocument/2006/relationships/hyperlink" Target="https://orcid.org/0000-0002-2347-247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6C42EC091E9043AC537BFA46D804A8" ma:contentTypeVersion="4" ma:contentTypeDescription="Create a new document." ma:contentTypeScope="" ma:versionID="ddb282ac8afe73d5ec221c83a4072a18">
  <xsd:schema xmlns:xsd="http://www.w3.org/2001/XMLSchema" xmlns:xs="http://www.w3.org/2001/XMLSchema" xmlns:p="http://schemas.microsoft.com/office/2006/metadata/properties" xmlns:ns2="442ed077-c1dc-49df-bef4-620c387a8f76" targetNamespace="http://schemas.microsoft.com/office/2006/metadata/properties" ma:root="true" ma:fieldsID="20c5ca16f9f7da9ee8da1a841ef75a72" ns2:_="">
    <xsd:import namespace="442ed077-c1dc-49df-bef4-620c387a8f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ed077-c1dc-49df-bef4-620c387a8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7C2B23-A300-408D-9301-DC6B1ADA8D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A0A544-8A33-4ECF-98D8-392FFF30F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ed077-c1dc-49df-bef4-620c387a8f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DA5C19-7CCA-4121-B573-F1516A6D43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1539</Words>
  <Characters>8776</Characters>
  <Application>Microsoft Office Word</Application>
  <DocSecurity>0</DocSecurity>
  <Lines>73</Lines>
  <Paragraphs>20</Paragraphs>
  <ScaleCrop>false</ScaleCrop>
  <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Banwell-Moore (staff)</dc:creator>
  <cp:keywords/>
  <dc:description/>
  <cp:lastModifiedBy>rebecca banwell-moore</cp:lastModifiedBy>
  <cp:revision>2</cp:revision>
  <dcterms:created xsi:type="dcterms:W3CDTF">2024-06-18T12:00:00Z</dcterms:created>
  <dcterms:modified xsi:type="dcterms:W3CDTF">2024-06-18T12:00:00Z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0x010100756C42EC091E9043AC537BFA46D804A8</vt:lpwstr>
  </property>
</Properties>
</file>