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F565A" w14:textId="77777777" w:rsidR="0081453A" w:rsidRPr="00875EB0" w:rsidRDefault="0081453A" w:rsidP="0081453A">
      <w:pPr>
        <w:rPr>
          <w:rFonts w:eastAsia="Times New Roman" w:cstheme="minorHAnsi"/>
          <w:b/>
          <w:bCs/>
          <w:color w:val="000000"/>
          <w:sz w:val="22"/>
          <w:szCs w:val="22"/>
          <w:u w:val="single"/>
        </w:rPr>
      </w:pPr>
      <w:r w:rsidRPr="00875EB0">
        <w:rPr>
          <w:rFonts w:eastAsia="Times New Roman" w:cstheme="minorHAnsi"/>
          <w:b/>
          <w:bCs/>
          <w:color w:val="000000"/>
          <w:sz w:val="22"/>
          <w:szCs w:val="22"/>
          <w:u w:val="single"/>
        </w:rPr>
        <w:t>Read me</w:t>
      </w:r>
    </w:p>
    <w:p w14:paraId="5C40B427" w14:textId="77777777" w:rsidR="0081453A" w:rsidRPr="00875EB0" w:rsidRDefault="0081453A" w:rsidP="0081453A">
      <w:pPr>
        <w:jc w:val="both"/>
        <w:rPr>
          <w:rFonts w:eastAsia="Times New Roman" w:cstheme="minorHAnsi"/>
          <w:color w:val="000000"/>
          <w:sz w:val="22"/>
          <w:szCs w:val="22"/>
        </w:rPr>
      </w:pPr>
    </w:p>
    <w:p w14:paraId="2E7D4F64" w14:textId="2EBAC7BE" w:rsidR="0081453A" w:rsidRPr="00875EB0" w:rsidRDefault="0081453A" w:rsidP="00875EB0">
      <w:pPr>
        <w:spacing w:after="120" w:line="264" w:lineRule="auto"/>
        <w:jc w:val="both"/>
        <w:rPr>
          <w:rFonts w:cstheme="minorHAnsi"/>
          <w:sz w:val="22"/>
          <w:szCs w:val="22"/>
        </w:rPr>
      </w:pPr>
      <w:r w:rsidRPr="00875EB0">
        <w:rPr>
          <w:rFonts w:cstheme="minorHAnsi"/>
          <w:sz w:val="22"/>
          <w:szCs w:val="22"/>
        </w:rPr>
        <w:t>We appreciate your interest in our data set. Please read this file to navigate more quickly through the contents of this data set.</w:t>
      </w:r>
    </w:p>
    <w:p w14:paraId="60325FD7" w14:textId="760614B1" w:rsidR="0081453A" w:rsidRPr="00875EB0" w:rsidRDefault="0081453A" w:rsidP="00875EB0">
      <w:pPr>
        <w:pStyle w:val="ListParagraph"/>
        <w:numPr>
          <w:ilvl w:val="0"/>
          <w:numId w:val="2"/>
        </w:numPr>
        <w:jc w:val="both"/>
        <w:rPr>
          <w:rFonts w:eastAsia="Times New Roman" w:cstheme="minorHAnsi"/>
          <w:b/>
          <w:bCs/>
          <w:color w:val="000000"/>
          <w:sz w:val="22"/>
          <w:szCs w:val="22"/>
          <w:u w:val="single"/>
        </w:rPr>
      </w:pPr>
      <w:r w:rsidRPr="00875EB0">
        <w:rPr>
          <w:rFonts w:eastAsia="Times New Roman" w:cstheme="minorHAnsi"/>
          <w:b/>
          <w:bCs/>
          <w:color w:val="000000"/>
          <w:sz w:val="22"/>
          <w:szCs w:val="22"/>
          <w:u w:val="single"/>
        </w:rPr>
        <w:t>Folder Content and Description:</w:t>
      </w:r>
    </w:p>
    <w:p w14:paraId="1ECF5EB0" w14:textId="77777777" w:rsidR="0081453A" w:rsidRPr="00875EB0" w:rsidRDefault="0081453A" w:rsidP="0081453A">
      <w:pPr>
        <w:jc w:val="both"/>
        <w:rPr>
          <w:rFonts w:cstheme="minorHAnsi"/>
          <w:sz w:val="22"/>
          <w:szCs w:val="22"/>
        </w:rPr>
      </w:pPr>
    </w:p>
    <w:tbl>
      <w:tblPr>
        <w:tblStyle w:val="TableGrid"/>
        <w:tblW w:w="9498" w:type="dxa"/>
        <w:tblInd w:w="-5" w:type="dxa"/>
        <w:tblLook w:val="04A0" w:firstRow="1" w:lastRow="0" w:firstColumn="1" w:lastColumn="0" w:noHBand="0" w:noVBand="1"/>
      </w:tblPr>
      <w:tblGrid>
        <w:gridCol w:w="2410"/>
        <w:gridCol w:w="7088"/>
      </w:tblGrid>
      <w:tr w:rsidR="00627696" w:rsidRPr="003F551C" w14:paraId="1B36494C" w14:textId="77777777" w:rsidTr="00875EB0">
        <w:tc>
          <w:tcPr>
            <w:tcW w:w="2410" w:type="dxa"/>
          </w:tcPr>
          <w:p w14:paraId="13C15C6A" w14:textId="5B6B9B07" w:rsidR="00627696" w:rsidRPr="003F551C" w:rsidRDefault="003F551C" w:rsidP="0081453A">
            <w:pPr>
              <w:jc w:val="both"/>
              <w:rPr>
                <w:rFonts w:cstheme="minorHAnsi"/>
                <w:b/>
                <w:bCs/>
                <w:sz w:val="20"/>
                <w:szCs w:val="20"/>
              </w:rPr>
            </w:pPr>
            <w:r w:rsidRPr="003F551C">
              <w:rPr>
                <w:rFonts w:cstheme="minorHAnsi"/>
                <w:b/>
                <w:bCs/>
                <w:sz w:val="20"/>
                <w:szCs w:val="20"/>
              </w:rPr>
              <w:t xml:space="preserve">Folder and File </w:t>
            </w:r>
            <w:r w:rsidR="00627696" w:rsidRPr="003F551C">
              <w:rPr>
                <w:rFonts w:cstheme="minorHAnsi"/>
                <w:b/>
                <w:bCs/>
                <w:sz w:val="20"/>
                <w:szCs w:val="20"/>
              </w:rPr>
              <w:t>Name</w:t>
            </w:r>
            <w:r w:rsidRPr="003F551C">
              <w:rPr>
                <w:rFonts w:cstheme="minorHAnsi"/>
                <w:b/>
                <w:bCs/>
                <w:sz w:val="20"/>
                <w:szCs w:val="20"/>
              </w:rPr>
              <w:t>s</w:t>
            </w:r>
          </w:p>
        </w:tc>
        <w:tc>
          <w:tcPr>
            <w:tcW w:w="7088" w:type="dxa"/>
          </w:tcPr>
          <w:p w14:paraId="7C030726" w14:textId="65596B59" w:rsidR="00627696" w:rsidRPr="003F551C" w:rsidRDefault="00627696" w:rsidP="0081453A">
            <w:pPr>
              <w:jc w:val="both"/>
              <w:rPr>
                <w:rFonts w:cstheme="minorHAnsi"/>
                <w:b/>
                <w:bCs/>
                <w:sz w:val="20"/>
                <w:szCs w:val="20"/>
              </w:rPr>
            </w:pPr>
            <w:r w:rsidRPr="003F551C">
              <w:rPr>
                <w:rFonts w:cstheme="minorHAnsi"/>
                <w:b/>
                <w:bCs/>
                <w:sz w:val="20"/>
                <w:szCs w:val="20"/>
              </w:rPr>
              <w:t>File Name and Description</w:t>
            </w:r>
          </w:p>
        </w:tc>
      </w:tr>
      <w:tr w:rsidR="00627696" w:rsidRPr="003F551C" w14:paraId="29B5C7C9" w14:textId="77777777" w:rsidTr="00875EB0">
        <w:tc>
          <w:tcPr>
            <w:tcW w:w="2410" w:type="dxa"/>
          </w:tcPr>
          <w:p w14:paraId="0CA6B244" w14:textId="27AD636D" w:rsidR="00627696" w:rsidRPr="003F551C" w:rsidRDefault="003F551C" w:rsidP="0081453A">
            <w:pPr>
              <w:jc w:val="both"/>
              <w:rPr>
                <w:rFonts w:cstheme="minorHAnsi"/>
                <w:sz w:val="20"/>
                <w:szCs w:val="20"/>
              </w:rPr>
            </w:pPr>
            <w:r w:rsidRPr="00875EB0">
              <w:rPr>
                <w:rFonts w:cstheme="minorHAnsi"/>
                <w:b/>
                <w:bCs/>
                <w:sz w:val="20"/>
                <w:szCs w:val="20"/>
              </w:rPr>
              <w:t>File:</w:t>
            </w:r>
            <w:r w:rsidRPr="003F551C">
              <w:rPr>
                <w:rFonts w:cstheme="minorHAnsi"/>
                <w:sz w:val="20"/>
                <w:szCs w:val="20"/>
              </w:rPr>
              <w:t xml:space="preserve"> </w:t>
            </w:r>
            <w:r w:rsidRPr="003F551C">
              <w:rPr>
                <w:rFonts w:cstheme="minorHAnsi"/>
                <w:i/>
                <w:iCs/>
                <w:sz w:val="20"/>
                <w:szCs w:val="20"/>
              </w:rPr>
              <w:t>‘_read_me.docx’</w:t>
            </w:r>
          </w:p>
        </w:tc>
        <w:tc>
          <w:tcPr>
            <w:tcW w:w="7088" w:type="dxa"/>
          </w:tcPr>
          <w:p w14:paraId="7F16ADA5" w14:textId="77777777" w:rsidR="00627696" w:rsidRPr="003F551C" w:rsidRDefault="003F551C" w:rsidP="0081453A">
            <w:pPr>
              <w:jc w:val="both"/>
              <w:rPr>
                <w:rFonts w:eastAsia="Times New Roman"/>
                <w:color w:val="000000"/>
                <w:sz w:val="20"/>
                <w:szCs w:val="20"/>
              </w:rPr>
            </w:pPr>
            <w:r w:rsidRPr="003F551C">
              <w:rPr>
                <w:rFonts w:eastAsia="Times New Roman"/>
                <w:color w:val="000000"/>
                <w:sz w:val="20"/>
                <w:szCs w:val="20"/>
              </w:rPr>
              <w:t>The present document includes instructions on how to navigate through the data set.</w:t>
            </w:r>
          </w:p>
          <w:p w14:paraId="7211A361" w14:textId="12EA675E" w:rsidR="003F551C" w:rsidRPr="003F551C" w:rsidRDefault="003F551C" w:rsidP="0081453A">
            <w:pPr>
              <w:jc w:val="both"/>
              <w:rPr>
                <w:rFonts w:cstheme="minorHAnsi"/>
                <w:sz w:val="20"/>
                <w:szCs w:val="20"/>
              </w:rPr>
            </w:pPr>
          </w:p>
        </w:tc>
      </w:tr>
      <w:tr w:rsidR="00627696" w:rsidRPr="003F551C" w14:paraId="3FB26392" w14:textId="77777777" w:rsidTr="00875EB0">
        <w:tc>
          <w:tcPr>
            <w:tcW w:w="2410" w:type="dxa"/>
          </w:tcPr>
          <w:p w14:paraId="2FF4DB65" w14:textId="77777777" w:rsidR="00627696" w:rsidRPr="003F551C" w:rsidRDefault="003F551C" w:rsidP="0081453A">
            <w:pPr>
              <w:jc w:val="both"/>
              <w:rPr>
                <w:rFonts w:cstheme="minorHAnsi"/>
                <w:sz w:val="20"/>
                <w:szCs w:val="20"/>
              </w:rPr>
            </w:pPr>
            <w:r w:rsidRPr="00875EB0">
              <w:rPr>
                <w:rFonts w:cstheme="minorHAnsi"/>
                <w:sz w:val="20"/>
                <w:szCs w:val="20"/>
                <w:u w:val="single"/>
              </w:rPr>
              <w:t>Folder:</w:t>
            </w:r>
            <w:r w:rsidRPr="003F551C">
              <w:rPr>
                <w:rFonts w:cstheme="minorHAnsi"/>
                <w:sz w:val="20"/>
                <w:szCs w:val="20"/>
              </w:rPr>
              <w:t xml:space="preserve"> ‘1_Documentation’</w:t>
            </w:r>
          </w:p>
          <w:p w14:paraId="21ACC438" w14:textId="0DE6FC61" w:rsidR="00875EB0" w:rsidRDefault="003F551C" w:rsidP="003F551C">
            <w:pPr>
              <w:pStyle w:val="ListParagraph"/>
              <w:numPr>
                <w:ilvl w:val="0"/>
                <w:numId w:val="1"/>
              </w:numPr>
              <w:jc w:val="both"/>
              <w:rPr>
                <w:rFonts w:cstheme="minorHAnsi"/>
                <w:i/>
                <w:iCs/>
                <w:sz w:val="20"/>
                <w:szCs w:val="20"/>
              </w:rPr>
            </w:pPr>
            <w:r w:rsidRPr="00875EB0">
              <w:rPr>
                <w:rFonts w:cstheme="minorHAnsi"/>
                <w:b/>
                <w:bCs/>
                <w:sz w:val="20"/>
                <w:szCs w:val="20"/>
              </w:rPr>
              <w:t>File:</w:t>
            </w:r>
            <w:r w:rsidRPr="003F551C">
              <w:rPr>
                <w:rFonts w:cstheme="minorHAnsi"/>
                <w:sz w:val="20"/>
                <w:szCs w:val="20"/>
              </w:rPr>
              <w:t xml:space="preserve"> </w:t>
            </w:r>
            <w:r w:rsidRPr="003F551C">
              <w:rPr>
                <w:rFonts w:cstheme="minorHAnsi"/>
                <w:i/>
                <w:iCs/>
                <w:sz w:val="20"/>
                <w:szCs w:val="20"/>
              </w:rPr>
              <w:t>‘1.1_Data_sources</w:t>
            </w:r>
            <w:r w:rsidR="00875EB0">
              <w:rPr>
                <w:rFonts w:cstheme="minorHAnsi"/>
                <w:i/>
                <w:iCs/>
                <w:sz w:val="20"/>
                <w:szCs w:val="20"/>
              </w:rPr>
              <w:t>_</w:t>
            </w:r>
          </w:p>
          <w:p w14:paraId="5F082937" w14:textId="716CD719" w:rsidR="003F551C" w:rsidRPr="00875EB0" w:rsidRDefault="003F551C" w:rsidP="00875EB0">
            <w:pPr>
              <w:jc w:val="right"/>
              <w:rPr>
                <w:rFonts w:cstheme="minorHAnsi"/>
                <w:i/>
                <w:iCs/>
                <w:sz w:val="20"/>
                <w:szCs w:val="20"/>
              </w:rPr>
            </w:pPr>
            <w:r w:rsidRPr="00875EB0">
              <w:rPr>
                <w:rFonts w:cstheme="minorHAnsi"/>
                <w:i/>
                <w:iCs/>
                <w:sz w:val="20"/>
                <w:szCs w:val="20"/>
              </w:rPr>
              <w:t>and_construction.docx’</w:t>
            </w:r>
          </w:p>
          <w:p w14:paraId="47113C73" w14:textId="77777777" w:rsidR="003F551C" w:rsidRPr="003F551C" w:rsidRDefault="003F551C" w:rsidP="003F551C">
            <w:pPr>
              <w:pStyle w:val="ListParagraph"/>
              <w:ind w:left="1080"/>
              <w:jc w:val="both"/>
              <w:rPr>
                <w:rFonts w:cstheme="minorHAnsi"/>
                <w:sz w:val="20"/>
                <w:szCs w:val="20"/>
              </w:rPr>
            </w:pPr>
          </w:p>
          <w:p w14:paraId="350A2753" w14:textId="77777777" w:rsidR="003F551C" w:rsidRPr="003F551C" w:rsidRDefault="003F551C" w:rsidP="003F551C">
            <w:pPr>
              <w:jc w:val="both"/>
              <w:rPr>
                <w:rFonts w:cstheme="minorHAnsi"/>
                <w:sz w:val="20"/>
                <w:szCs w:val="20"/>
              </w:rPr>
            </w:pPr>
          </w:p>
          <w:p w14:paraId="3DBE3420" w14:textId="019B59F6" w:rsidR="003F551C" w:rsidRPr="003F551C" w:rsidRDefault="003F551C" w:rsidP="0081453A">
            <w:pPr>
              <w:jc w:val="both"/>
              <w:rPr>
                <w:rFonts w:cstheme="minorHAnsi"/>
                <w:sz w:val="20"/>
                <w:szCs w:val="20"/>
              </w:rPr>
            </w:pPr>
          </w:p>
        </w:tc>
        <w:tc>
          <w:tcPr>
            <w:tcW w:w="7088" w:type="dxa"/>
          </w:tcPr>
          <w:p w14:paraId="4178EC88" w14:textId="77777777" w:rsidR="009C1A7C" w:rsidRDefault="00C96BB0" w:rsidP="0081453A">
            <w:pPr>
              <w:jc w:val="both"/>
              <w:rPr>
                <w:rFonts w:cstheme="minorHAnsi"/>
                <w:sz w:val="20"/>
                <w:szCs w:val="20"/>
              </w:rPr>
            </w:pPr>
            <w:r>
              <w:rPr>
                <w:rFonts w:cstheme="minorHAnsi"/>
                <w:sz w:val="20"/>
                <w:szCs w:val="20"/>
              </w:rPr>
              <w:t xml:space="preserve">The file contains supplementary information on the data sources and its construction. It includes a detailed explanation of how each measure was constructed, as well as a bibliography list of all sources utilised for the construction of each measure in the paper. </w:t>
            </w:r>
          </w:p>
          <w:p w14:paraId="3EFB022E" w14:textId="77777777" w:rsidR="009C1A7C" w:rsidRDefault="009C1A7C" w:rsidP="009C1A7C">
            <w:pPr>
              <w:jc w:val="both"/>
              <w:rPr>
                <w:rFonts w:cstheme="minorHAnsi"/>
                <w:sz w:val="20"/>
                <w:szCs w:val="20"/>
              </w:rPr>
            </w:pPr>
          </w:p>
          <w:p w14:paraId="6E80D67B" w14:textId="77777777" w:rsidR="009C1A7C" w:rsidRPr="009C1A7C" w:rsidRDefault="009C1A7C" w:rsidP="0081453A">
            <w:pPr>
              <w:jc w:val="both"/>
              <w:rPr>
                <w:rFonts w:cstheme="minorHAnsi"/>
                <w:i/>
                <w:iCs/>
                <w:sz w:val="20"/>
                <w:szCs w:val="20"/>
              </w:rPr>
            </w:pPr>
            <w:r w:rsidRPr="009C1A7C">
              <w:rPr>
                <w:rFonts w:cstheme="minorHAnsi"/>
                <w:i/>
                <w:iCs/>
                <w:sz w:val="20"/>
                <w:szCs w:val="20"/>
              </w:rPr>
              <w:t xml:space="preserve">Note: </w:t>
            </w:r>
          </w:p>
          <w:p w14:paraId="44E27BC1" w14:textId="08242A8B" w:rsidR="00627696" w:rsidRPr="009C1A7C" w:rsidRDefault="00EE6F22" w:rsidP="0081453A">
            <w:pPr>
              <w:jc w:val="both"/>
              <w:rPr>
                <w:rFonts w:cstheme="minorHAnsi"/>
                <w:i/>
                <w:iCs/>
                <w:sz w:val="20"/>
                <w:szCs w:val="20"/>
              </w:rPr>
            </w:pPr>
            <w:r w:rsidRPr="009C1A7C">
              <w:rPr>
                <w:rFonts w:cstheme="minorHAnsi"/>
                <w:sz w:val="20"/>
                <w:szCs w:val="20"/>
              </w:rPr>
              <w:t>The information</w:t>
            </w:r>
            <w:r w:rsidR="009C1A7C" w:rsidRPr="009C1A7C">
              <w:rPr>
                <w:rFonts w:cstheme="minorHAnsi"/>
                <w:sz w:val="20"/>
                <w:szCs w:val="20"/>
              </w:rPr>
              <w:t xml:space="preserve"> in </w:t>
            </w:r>
            <w:r w:rsidR="009C1A7C" w:rsidRPr="009C1A7C">
              <w:rPr>
                <w:rFonts w:cstheme="minorHAnsi"/>
                <w:i/>
                <w:iCs/>
                <w:sz w:val="20"/>
                <w:szCs w:val="20"/>
              </w:rPr>
              <w:t>‘1.1_Data_sources_and_construction.docx’</w:t>
            </w:r>
            <w:r w:rsidR="009C1A7C">
              <w:rPr>
                <w:rFonts w:cstheme="minorHAnsi"/>
                <w:i/>
                <w:iCs/>
                <w:sz w:val="20"/>
                <w:szCs w:val="20"/>
              </w:rPr>
              <w:t xml:space="preserve">, </w:t>
            </w:r>
            <w:r>
              <w:rPr>
                <w:rFonts w:cstheme="minorHAnsi"/>
                <w:sz w:val="20"/>
                <w:szCs w:val="20"/>
              </w:rPr>
              <w:t xml:space="preserve">is the same as the methods section of the present document and its subsequent </w:t>
            </w:r>
            <w:r w:rsidR="009C1A7C">
              <w:rPr>
                <w:rFonts w:cstheme="minorHAnsi"/>
                <w:sz w:val="20"/>
                <w:szCs w:val="20"/>
              </w:rPr>
              <w:t xml:space="preserve">reference list. </w:t>
            </w:r>
          </w:p>
        </w:tc>
      </w:tr>
      <w:tr w:rsidR="00627696" w:rsidRPr="003F551C" w14:paraId="57FB7553" w14:textId="77777777" w:rsidTr="00875EB0">
        <w:tc>
          <w:tcPr>
            <w:tcW w:w="2410" w:type="dxa"/>
          </w:tcPr>
          <w:p w14:paraId="73A9D60C" w14:textId="77777777" w:rsidR="00627696" w:rsidRPr="003F551C" w:rsidRDefault="003F551C" w:rsidP="0081453A">
            <w:pPr>
              <w:jc w:val="both"/>
              <w:rPr>
                <w:rFonts w:cstheme="minorHAnsi"/>
                <w:sz w:val="20"/>
                <w:szCs w:val="20"/>
              </w:rPr>
            </w:pPr>
            <w:r w:rsidRPr="00875EB0">
              <w:rPr>
                <w:rFonts w:cstheme="minorHAnsi"/>
                <w:sz w:val="20"/>
                <w:szCs w:val="20"/>
                <w:u w:val="single"/>
              </w:rPr>
              <w:t>Folder:</w:t>
            </w:r>
            <w:r w:rsidRPr="003F551C">
              <w:rPr>
                <w:rFonts w:cstheme="minorHAnsi"/>
                <w:sz w:val="20"/>
                <w:szCs w:val="20"/>
              </w:rPr>
              <w:t xml:space="preserve"> ‘2_Data’</w:t>
            </w:r>
          </w:p>
          <w:p w14:paraId="7021A37B" w14:textId="6CD16A03" w:rsidR="003F551C" w:rsidRPr="003F551C" w:rsidRDefault="003F551C" w:rsidP="003F551C">
            <w:pPr>
              <w:pStyle w:val="ListParagraph"/>
              <w:numPr>
                <w:ilvl w:val="0"/>
                <w:numId w:val="1"/>
              </w:numPr>
              <w:jc w:val="both"/>
              <w:rPr>
                <w:rFonts w:cstheme="minorHAnsi"/>
                <w:sz w:val="20"/>
                <w:szCs w:val="20"/>
              </w:rPr>
            </w:pPr>
            <w:r w:rsidRPr="00875EB0">
              <w:rPr>
                <w:rFonts w:cstheme="minorHAnsi"/>
                <w:b/>
                <w:bCs/>
                <w:sz w:val="20"/>
                <w:szCs w:val="20"/>
              </w:rPr>
              <w:t>File:</w:t>
            </w:r>
            <w:r w:rsidRPr="003F551C">
              <w:rPr>
                <w:rFonts w:cstheme="minorHAnsi"/>
                <w:sz w:val="20"/>
                <w:szCs w:val="20"/>
              </w:rPr>
              <w:t xml:space="preserve"> </w:t>
            </w:r>
            <w:r w:rsidRPr="003F551C">
              <w:rPr>
                <w:rFonts w:cstheme="minorHAnsi"/>
                <w:i/>
                <w:iCs/>
                <w:sz w:val="20"/>
                <w:szCs w:val="20"/>
              </w:rPr>
              <w:t>‘2.1_Dataset.xlsx’</w:t>
            </w:r>
          </w:p>
          <w:p w14:paraId="6D8D2C54" w14:textId="77777777" w:rsidR="003F551C" w:rsidRPr="003F551C" w:rsidRDefault="003F551C" w:rsidP="003F551C">
            <w:pPr>
              <w:jc w:val="both"/>
              <w:rPr>
                <w:rFonts w:cstheme="minorHAnsi"/>
                <w:sz w:val="20"/>
                <w:szCs w:val="20"/>
              </w:rPr>
            </w:pPr>
          </w:p>
          <w:p w14:paraId="4C90821E" w14:textId="77777777" w:rsidR="003F551C" w:rsidRPr="003F551C" w:rsidRDefault="003F551C" w:rsidP="003F551C">
            <w:pPr>
              <w:jc w:val="both"/>
              <w:rPr>
                <w:rFonts w:cstheme="minorHAnsi"/>
                <w:sz w:val="20"/>
                <w:szCs w:val="20"/>
              </w:rPr>
            </w:pPr>
          </w:p>
          <w:p w14:paraId="39A2A451" w14:textId="579FBD52" w:rsidR="003F551C" w:rsidRPr="003F551C" w:rsidRDefault="003F551C" w:rsidP="003F551C">
            <w:pPr>
              <w:jc w:val="both"/>
              <w:rPr>
                <w:rFonts w:cstheme="minorHAnsi"/>
                <w:sz w:val="20"/>
                <w:szCs w:val="20"/>
              </w:rPr>
            </w:pPr>
          </w:p>
        </w:tc>
        <w:tc>
          <w:tcPr>
            <w:tcW w:w="7088" w:type="dxa"/>
          </w:tcPr>
          <w:p w14:paraId="6C507DFE" w14:textId="19240BB0" w:rsidR="00627696" w:rsidRDefault="009C1A7C" w:rsidP="0081453A">
            <w:pPr>
              <w:jc w:val="both"/>
              <w:rPr>
                <w:rFonts w:cstheme="minorHAnsi"/>
                <w:sz w:val="20"/>
                <w:szCs w:val="20"/>
              </w:rPr>
            </w:pPr>
            <w:r>
              <w:rPr>
                <w:rFonts w:cstheme="minorHAnsi"/>
                <w:sz w:val="20"/>
                <w:szCs w:val="20"/>
              </w:rPr>
              <w:t xml:space="preserve">The file </w:t>
            </w:r>
            <w:r w:rsidRPr="003F551C">
              <w:rPr>
                <w:rFonts w:cstheme="minorHAnsi"/>
                <w:i/>
                <w:iCs/>
                <w:sz w:val="20"/>
                <w:szCs w:val="20"/>
              </w:rPr>
              <w:t>‘2.1_Dataset.xlsx’</w:t>
            </w:r>
            <w:r>
              <w:rPr>
                <w:rFonts w:cstheme="minorHAnsi"/>
                <w:sz w:val="20"/>
                <w:szCs w:val="20"/>
              </w:rPr>
              <w:t xml:space="preserve">, contains the dataset used to construct the five figures for </w:t>
            </w:r>
            <w:r w:rsidRPr="009C1A7C">
              <w:rPr>
                <w:rFonts w:cstheme="minorHAnsi"/>
                <w:sz w:val="20"/>
                <w:szCs w:val="20"/>
              </w:rPr>
              <w:t>Fouquet, R. (2024) ‘The Digitalisation, Dematerialisation and Decarbonisation of the Global Economy in Historical Perspective: The Relationship between Energy and Information since</w:t>
            </w:r>
            <w:r>
              <w:rPr>
                <w:rFonts w:cstheme="minorHAnsi"/>
                <w:sz w:val="20"/>
                <w:szCs w:val="20"/>
              </w:rPr>
              <w:t xml:space="preserve"> </w:t>
            </w:r>
            <w:r w:rsidRPr="009C1A7C">
              <w:rPr>
                <w:rFonts w:cstheme="minorHAnsi"/>
                <w:sz w:val="20"/>
                <w:szCs w:val="20"/>
              </w:rPr>
              <w:t xml:space="preserve">1850.’ Environmental Research Letters 19(1) </w:t>
            </w:r>
            <w:hyperlink r:id="rId8" w:history="1">
              <w:r w:rsidRPr="007B2867">
                <w:rPr>
                  <w:rStyle w:val="Hyperlink"/>
                  <w:rFonts w:cstheme="minorHAnsi"/>
                  <w:sz w:val="20"/>
                  <w:szCs w:val="20"/>
                </w:rPr>
                <w:t>https://doi.org/10.1088/1748-9326/ad11c0</w:t>
              </w:r>
            </w:hyperlink>
            <w:r w:rsidRPr="009C1A7C">
              <w:rPr>
                <w:rFonts w:cstheme="minorHAnsi"/>
                <w:sz w:val="20"/>
                <w:szCs w:val="20"/>
              </w:rPr>
              <w:t>.</w:t>
            </w:r>
          </w:p>
          <w:p w14:paraId="12481CCE" w14:textId="77777777" w:rsidR="009C1A7C" w:rsidRDefault="009C1A7C" w:rsidP="0081453A">
            <w:pPr>
              <w:jc w:val="both"/>
              <w:rPr>
                <w:rFonts w:cstheme="minorHAnsi"/>
                <w:sz w:val="20"/>
                <w:szCs w:val="20"/>
              </w:rPr>
            </w:pPr>
          </w:p>
          <w:p w14:paraId="604D6A26" w14:textId="1D1CE94B" w:rsidR="009C1A7C" w:rsidRDefault="009C1A7C" w:rsidP="0081453A">
            <w:pPr>
              <w:jc w:val="both"/>
              <w:rPr>
                <w:rFonts w:cstheme="minorHAnsi"/>
                <w:sz w:val="20"/>
                <w:szCs w:val="20"/>
              </w:rPr>
            </w:pPr>
            <w:r>
              <w:rPr>
                <w:rFonts w:cstheme="minorHAnsi"/>
                <w:sz w:val="20"/>
                <w:szCs w:val="20"/>
              </w:rPr>
              <w:t>The file comprises four tabs in the following order:</w:t>
            </w:r>
          </w:p>
          <w:p w14:paraId="0DF872B2" w14:textId="77777777" w:rsidR="009C1A7C" w:rsidRDefault="009C1A7C" w:rsidP="009C1A7C">
            <w:pPr>
              <w:pStyle w:val="ListParagraph"/>
              <w:numPr>
                <w:ilvl w:val="0"/>
                <w:numId w:val="1"/>
              </w:numPr>
              <w:jc w:val="both"/>
              <w:rPr>
                <w:rFonts w:cstheme="minorHAnsi"/>
                <w:sz w:val="20"/>
                <w:szCs w:val="20"/>
              </w:rPr>
            </w:pPr>
            <w:r>
              <w:rPr>
                <w:rFonts w:cstheme="minorHAnsi"/>
                <w:sz w:val="20"/>
                <w:szCs w:val="20"/>
              </w:rPr>
              <w:t xml:space="preserve">‘Sources’: </w:t>
            </w:r>
            <w:r w:rsidR="00766FDB">
              <w:rPr>
                <w:rFonts w:cstheme="minorHAnsi"/>
                <w:sz w:val="20"/>
                <w:szCs w:val="20"/>
              </w:rPr>
              <w:t>contains data notes, units, and dataset sources for the data in the subsequent three tabs.</w:t>
            </w:r>
          </w:p>
          <w:p w14:paraId="28D7B9AA" w14:textId="77777777" w:rsidR="00766FDB" w:rsidRPr="00766FDB" w:rsidRDefault="00766FDB" w:rsidP="00766FDB">
            <w:pPr>
              <w:jc w:val="both"/>
              <w:rPr>
                <w:rFonts w:cstheme="minorHAnsi"/>
                <w:sz w:val="20"/>
                <w:szCs w:val="20"/>
              </w:rPr>
            </w:pPr>
          </w:p>
          <w:p w14:paraId="39F9FFFF" w14:textId="77777777" w:rsidR="00766FDB" w:rsidRDefault="00766FDB" w:rsidP="009C1A7C">
            <w:pPr>
              <w:pStyle w:val="ListParagraph"/>
              <w:numPr>
                <w:ilvl w:val="0"/>
                <w:numId w:val="1"/>
              </w:numPr>
              <w:jc w:val="both"/>
              <w:rPr>
                <w:rFonts w:cstheme="minorHAnsi"/>
                <w:sz w:val="20"/>
                <w:szCs w:val="20"/>
              </w:rPr>
            </w:pPr>
            <w:r>
              <w:rPr>
                <w:rFonts w:cstheme="minorHAnsi"/>
                <w:sz w:val="20"/>
                <w:szCs w:val="20"/>
              </w:rPr>
              <w:t xml:space="preserve">‘Fig 1-4’: includes all data used to create figures 1 to 4 in the research paper. </w:t>
            </w:r>
          </w:p>
          <w:p w14:paraId="46DEB7BF" w14:textId="77777777" w:rsidR="00766FDB" w:rsidRPr="00766FDB" w:rsidRDefault="00766FDB" w:rsidP="00766FDB">
            <w:pPr>
              <w:pStyle w:val="ListParagraph"/>
              <w:rPr>
                <w:rFonts w:cstheme="minorHAnsi"/>
                <w:sz w:val="20"/>
                <w:szCs w:val="20"/>
              </w:rPr>
            </w:pPr>
          </w:p>
          <w:p w14:paraId="5D1ACE80" w14:textId="09037BAD" w:rsidR="00766FDB" w:rsidRDefault="00766FDB" w:rsidP="00766FDB">
            <w:pPr>
              <w:pStyle w:val="ListParagraph"/>
              <w:numPr>
                <w:ilvl w:val="1"/>
                <w:numId w:val="1"/>
              </w:numPr>
              <w:jc w:val="both"/>
              <w:rPr>
                <w:rFonts w:cstheme="minorHAnsi"/>
                <w:sz w:val="20"/>
                <w:szCs w:val="20"/>
              </w:rPr>
            </w:pPr>
            <w:r>
              <w:rPr>
                <w:rFonts w:cstheme="minorHAnsi"/>
                <w:sz w:val="20"/>
                <w:szCs w:val="20"/>
              </w:rPr>
              <w:t>For Figure 1, energy intensity refers to</w:t>
            </w:r>
            <w:r w:rsidR="009F7711">
              <w:rPr>
                <w:rFonts w:cstheme="minorHAnsi"/>
                <w:sz w:val="20"/>
                <w:szCs w:val="20"/>
              </w:rPr>
              <w:t xml:space="preserve"> global primary energy consumption divided by global GDP</w:t>
            </w:r>
            <w:r>
              <w:rPr>
                <w:rFonts w:cstheme="minorHAnsi"/>
                <w:sz w:val="20"/>
                <w:szCs w:val="20"/>
              </w:rPr>
              <w:t>. The measure is global and is available annually from 1850 to 2019.</w:t>
            </w:r>
          </w:p>
          <w:p w14:paraId="12A780B3" w14:textId="2A7B2196" w:rsidR="00766FDB" w:rsidRDefault="00766FDB" w:rsidP="00766FDB">
            <w:pPr>
              <w:pStyle w:val="ListParagraph"/>
              <w:numPr>
                <w:ilvl w:val="1"/>
                <w:numId w:val="1"/>
              </w:numPr>
              <w:jc w:val="both"/>
              <w:rPr>
                <w:rFonts w:cstheme="minorHAnsi"/>
                <w:sz w:val="20"/>
                <w:szCs w:val="20"/>
              </w:rPr>
            </w:pPr>
            <w:r>
              <w:rPr>
                <w:rFonts w:cstheme="minorHAnsi"/>
                <w:sz w:val="20"/>
                <w:szCs w:val="20"/>
              </w:rPr>
              <w:t>For Figure 2, communication intensity refers to</w:t>
            </w:r>
            <w:r w:rsidR="009F7711">
              <w:rPr>
                <w:rFonts w:cstheme="minorHAnsi"/>
                <w:sz w:val="20"/>
                <w:szCs w:val="20"/>
              </w:rPr>
              <w:t xml:space="preserve"> global communication use divided by global GDP</w:t>
            </w:r>
            <w:r>
              <w:rPr>
                <w:rFonts w:cstheme="minorHAnsi"/>
                <w:sz w:val="20"/>
                <w:szCs w:val="20"/>
              </w:rPr>
              <w:t>. The measure is global and is available annually from 1850 to 2019.</w:t>
            </w:r>
          </w:p>
          <w:p w14:paraId="4B0A05D0" w14:textId="66DAAAE9" w:rsidR="00766FDB" w:rsidRDefault="00766FDB" w:rsidP="00766FDB">
            <w:pPr>
              <w:pStyle w:val="ListParagraph"/>
              <w:numPr>
                <w:ilvl w:val="1"/>
                <w:numId w:val="1"/>
              </w:numPr>
              <w:jc w:val="both"/>
              <w:rPr>
                <w:rFonts w:cstheme="minorHAnsi"/>
                <w:sz w:val="20"/>
                <w:szCs w:val="20"/>
              </w:rPr>
            </w:pPr>
            <w:r>
              <w:rPr>
                <w:rFonts w:cstheme="minorHAnsi"/>
                <w:sz w:val="20"/>
                <w:szCs w:val="20"/>
              </w:rPr>
              <w:t>For Figure 3, the data in the two previous columns (Energy Intensity and Communication Intensity) is replicated for the same period.</w:t>
            </w:r>
          </w:p>
          <w:p w14:paraId="1DB12775" w14:textId="264ED8AD" w:rsidR="00766FDB" w:rsidRDefault="00766FDB" w:rsidP="00766FDB">
            <w:pPr>
              <w:pStyle w:val="ListParagraph"/>
              <w:numPr>
                <w:ilvl w:val="1"/>
                <w:numId w:val="1"/>
              </w:numPr>
              <w:jc w:val="both"/>
              <w:rPr>
                <w:rFonts w:cstheme="minorHAnsi"/>
                <w:sz w:val="20"/>
                <w:szCs w:val="20"/>
              </w:rPr>
            </w:pPr>
            <w:r>
              <w:rPr>
                <w:rFonts w:cstheme="minorHAnsi"/>
                <w:sz w:val="20"/>
                <w:szCs w:val="20"/>
              </w:rPr>
              <w:t>For figure 4, there are two main measures calculate</w:t>
            </w:r>
            <w:r w:rsidR="007359BE">
              <w:rPr>
                <w:rFonts w:cstheme="minorHAnsi"/>
                <w:sz w:val="20"/>
                <w:szCs w:val="20"/>
              </w:rPr>
              <w:t>d</w:t>
            </w:r>
            <w:r>
              <w:rPr>
                <w:rFonts w:cstheme="minorHAnsi"/>
                <w:sz w:val="20"/>
                <w:szCs w:val="20"/>
              </w:rPr>
              <w:t>. The first is the marginal rate of technical substitution (MRTS)</w:t>
            </w:r>
            <w:r w:rsidR="007359BE">
              <w:rPr>
                <w:rFonts w:cstheme="minorHAnsi"/>
                <w:sz w:val="20"/>
                <w:szCs w:val="20"/>
              </w:rPr>
              <w:t xml:space="preserve"> for 1857 to 2015, and its 5 year lag</w:t>
            </w:r>
            <w:r>
              <w:rPr>
                <w:rFonts w:cstheme="minorHAnsi"/>
                <w:sz w:val="20"/>
                <w:szCs w:val="20"/>
              </w:rPr>
              <w:t xml:space="preserve">, which </w:t>
            </w:r>
            <w:r w:rsidR="007359BE">
              <w:rPr>
                <w:rFonts w:cstheme="minorHAnsi"/>
                <w:sz w:val="20"/>
                <w:szCs w:val="20"/>
              </w:rPr>
              <w:t xml:space="preserve">is the </w:t>
            </w:r>
            <w:r w:rsidR="007359BE" w:rsidRPr="007359BE">
              <w:rPr>
                <w:rFonts w:cstheme="minorHAnsi"/>
                <w:sz w:val="20"/>
                <w:szCs w:val="20"/>
              </w:rPr>
              <w:t>change in communication intensity relative to the change in energy intensity</w:t>
            </w:r>
            <w:r w:rsidR="007359BE">
              <w:rPr>
                <w:rFonts w:cstheme="minorHAnsi"/>
                <w:sz w:val="20"/>
                <w:szCs w:val="20"/>
              </w:rPr>
              <w:t xml:space="preserve"> (measured in kB per kWh). The second measure is </w:t>
            </w:r>
            <w:r w:rsidR="007359BE" w:rsidRPr="007359BE">
              <w:rPr>
                <w:rFonts w:cstheme="minorHAnsi"/>
                <w:sz w:val="20"/>
                <w:szCs w:val="20"/>
              </w:rPr>
              <w:t>Energy Price-Communication Price Ratio</w:t>
            </w:r>
            <w:r w:rsidR="007359BE">
              <w:rPr>
                <w:rFonts w:cstheme="minorHAnsi"/>
                <w:sz w:val="20"/>
                <w:szCs w:val="20"/>
              </w:rPr>
              <w:t xml:space="preserve"> which is</w:t>
            </w:r>
            <w:r w:rsidR="009B23DB">
              <w:rPr>
                <w:rFonts w:cstheme="minorHAnsi"/>
                <w:sz w:val="20"/>
                <w:szCs w:val="20"/>
              </w:rPr>
              <w:t xml:space="preserve"> the price of energy divided by the price of communication</w:t>
            </w:r>
            <w:r w:rsidR="007359BE">
              <w:rPr>
                <w:rFonts w:cstheme="minorHAnsi"/>
                <w:sz w:val="20"/>
                <w:szCs w:val="20"/>
              </w:rPr>
              <w:t>, followed by Energy price and Communication price.</w:t>
            </w:r>
          </w:p>
          <w:p w14:paraId="6870F7F6" w14:textId="77777777" w:rsidR="00766FDB" w:rsidRPr="00766FDB" w:rsidRDefault="00766FDB" w:rsidP="00766FDB">
            <w:pPr>
              <w:pStyle w:val="ListParagraph"/>
              <w:rPr>
                <w:rFonts w:cstheme="minorHAnsi"/>
                <w:sz w:val="20"/>
                <w:szCs w:val="20"/>
              </w:rPr>
            </w:pPr>
          </w:p>
          <w:p w14:paraId="2A61E0AF" w14:textId="1AC77659" w:rsidR="00766FDB" w:rsidRDefault="007359BE" w:rsidP="009C1A7C">
            <w:pPr>
              <w:pStyle w:val="ListParagraph"/>
              <w:numPr>
                <w:ilvl w:val="0"/>
                <w:numId w:val="1"/>
              </w:numPr>
              <w:jc w:val="both"/>
              <w:rPr>
                <w:rFonts w:cstheme="minorHAnsi"/>
                <w:sz w:val="20"/>
                <w:szCs w:val="20"/>
              </w:rPr>
            </w:pPr>
            <w:r>
              <w:rPr>
                <w:rFonts w:cstheme="minorHAnsi"/>
                <w:sz w:val="20"/>
                <w:szCs w:val="20"/>
              </w:rPr>
              <w:t xml:space="preserve">‘Fig 5 Energy’: contains a measure for energy </w:t>
            </w:r>
            <w:r w:rsidRPr="008A3FD0">
              <w:rPr>
                <w:rFonts w:cstheme="minorHAnsi"/>
                <w:sz w:val="20"/>
                <w:szCs w:val="20"/>
              </w:rPr>
              <w:t>intensity (</w:t>
            </w:r>
            <w:r w:rsidR="009D2273" w:rsidRPr="008A3FD0">
              <w:rPr>
                <w:rFonts w:cstheme="minorHAnsi"/>
                <w:sz w:val="20"/>
                <w:szCs w:val="20"/>
              </w:rPr>
              <w:t xml:space="preserve">i.e., </w:t>
            </w:r>
            <w:r w:rsidR="00AC1ACB" w:rsidRPr="008A3FD0">
              <w:rPr>
                <w:rFonts w:cstheme="minorHAnsi"/>
                <w:sz w:val="20"/>
                <w:szCs w:val="20"/>
              </w:rPr>
              <w:t xml:space="preserve">national </w:t>
            </w:r>
            <w:r w:rsidR="009D2273" w:rsidRPr="008A3FD0">
              <w:rPr>
                <w:rFonts w:cstheme="minorHAnsi"/>
                <w:sz w:val="20"/>
                <w:szCs w:val="20"/>
              </w:rPr>
              <w:t xml:space="preserve">primary energy consumption divided by </w:t>
            </w:r>
            <w:r w:rsidR="00AC1ACB" w:rsidRPr="008A3FD0">
              <w:rPr>
                <w:rFonts w:cstheme="minorHAnsi"/>
                <w:sz w:val="20"/>
                <w:szCs w:val="20"/>
              </w:rPr>
              <w:t>national</w:t>
            </w:r>
            <w:r w:rsidR="009D2273" w:rsidRPr="008A3FD0">
              <w:rPr>
                <w:rFonts w:cstheme="minorHAnsi"/>
                <w:sz w:val="20"/>
                <w:szCs w:val="20"/>
              </w:rPr>
              <w:t xml:space="preserve"> GDP</w:t>
            </w:r>
            <w:r w:rsidRPr="008A3FD0">
              <w:rPr>
                <w:rFonts w:cstheme="minorHAnsi"/>
                <w:sz w:val="20"/>
                <w:szCs w:val="20"/>
              </w:rPr>
              <w:t>) for nineteen countries, from 1850 to 2018. The</w:t>
            </w:r>
            <w:r>
              <w:rPr>
                <w:rFonts w:cstheme="minorHAnsi"/>
                <w:sz w:val="20"/>
                <w:szCs w:val="20"/>
              </w:rPr>
              <w:t xml:space="preserve"> countries included are: Canada, Mexico, United States, Argentina, Brazil, Chile, France, Germany, Italy, Spain, United Kingdom, Egypt, Morocco, South Africa, Kenya, Nigeria, Australia, China, India, Indonesia, and Japan. </w:t>
            </w:r>
          </w:p>
          <w:p w14:paraId="2F868DD2" w14:textId="3E501E8D" w:rsidR="007359BE" w:rsidRPr="009C1A7C" w:rsidRDefault="007359BE" w:rsidP="009C1A7C">
            <w:pPr>
              <w:pStyle w:val="ListParagraph"/>
              <w:numPr>
                <w:ilvl w:val="0"/>
                <w:numId w:val="1"/>
              </w:numPr>
              <w:jc w:val="both"/>
              <w:rPr>
                <w:rFonts w:cstheme="minorHAnsi"/>
                <w:sz w:val="20"/>
                <w:szCs w:val="20"/>
              </w:rPr>
            </w:pPr>
            <w:r>
              <w:rPr>
                <w:rFonts w:cstheme="minorHAnsi"/>
                <w:sz w:val="20"/>
                <w:szCs w:val="20"/>
              </w:rPr>
              <w:t xml:space="preserve">‘Fig 5 Comms’: </w:t>
            </w:r>
            <w:r w:rsidR="00264C72">
              <w:rPr>
                <w:rFonts w:cstheme="minorHAnsi"/>
                <w:sz w:val="20"/>
                <w:szCs w:val="20"/>
              </w:rPr>
              <w:t>has a measure for communication inte</w:t>
            </w:r>
            <w:r w:rsidR="00264C72" w:rsidRPr="008A3FD0">
              <w:rPr>
                <w:rFonts w:cstheme="minorHAnsi"/>
                <w:sz w:val="20"/>
                <w:szCs w:val="20"/>
              </w:rPr>
              <w:t>nsity (</w:t>
            </w:r>
            <w:r w:rsidR="00AC1ACB" w:rsidRPr="008A3FD0">
              <w:rPr>
                <w:rFonts w:cstheme="minorHAnsi"/>
                <w:sz w:val="20"/>
                <w:szCs w:val="20"/>
              </w:rPr>
              <w:t xml:space="preserve">i.e., national communication </w:t>
            </w:r>
            <w:r w:rsidR="008A3FD0" w:rsidRPr="008A3FD0">
              <w:rPr>
                <w:rFonts w:cstheme="minorHAnsi"/>
                <w:sz w:val="20"/>
                <w:szCs w:val="20"/>
              </w:rPr>
              <w:t xml:space="preserve">use </w:t>
            </w:r>
            <w:r w:rsidR="00AC1ACB" w:rsidRPr="008A3FD0">
              <w:rPr>
                <w:rFonts w:cstheme="minorHAnsi"/>
                <w:sz w:val="20"/>
                <w:szCs w:val="20"/>
              </w:rPr>
              <w:t>divided by national GDP</w:t>
            </w:r>
            <w:r w:rsidR="00264C72" w:rsidRPr="008A3FD0">
              <w:rPr>
                <w:rFonts w:cstheme="minorHAnsi"/>
                <w:sz w:val="20"/>
                <w:szCs w:val="20"/>
              </w:rPr>
              <w:t>) for the same nineteen countries as in</w:t>
            </w:r>
            <w:r w:rsidR="00264C72">
              <w:rPr>
                <w:rFonts w:cstheme="minorHAnsi"/>
                <w:sz w:val="20"/>
                <w:szCs w:val="20"/>
              </w:rPr>
              <w:t xml:space="preserve"> ‘Fig 5 Energy’, from 1850 to 2015 for most countries. non-existent values are signalled with a dash.</w:t>
            </w:r>
          </w:p>
        </w:tc>
      </w:tr>
    </w:tbl>
    <w:p w14:paraId="29C2DAE6" w14:textId="77777777" w:rsidR="00875EB0" w:rsidRDefault="00875EB0" w:rsidP="00875EB0">
      <w:pPr>
        <w:jc w:val="both"/>
        <w:rPr>
          <w:rFonts w:eastAsia="Times New Roman" w:cstheme="minorHAnsi"/>
          <w:b/>
          <w:bCs/>
          <w:color w:val="000000"/>
          <w:sz w:val="22"/>
          <w:szCs w:val="22"/>
          <w:u w:val="single"/>
        </w:rPr>
      </w:pPr>
    </w:p>
    <w:p w14:paraId="31B2B484" w14:textId="6751BBE0" w:rsidR="00BB2E6C" w:rsidRPr="00A92B58" w:rsidRDefault="0081453A" w:rsidP="00BB2E6C">
      <w:pPr>
        <w:pStyle w:val="ListParagraph"/>
        <w:numPr>
          <w:ilvl w:val="0"/>
          <w:numId w:val="2"/>
        </w:numPr>
        <w:jc w:val="both"/>
        <w:rPr>
          <w:rFonts w:cstheme="minorHAnsi"/>
          <w:color w:val="000000" w:themeColor="text1"/>
          <w:sz w:val="22"/>
          <w:szCs w:val="22"/>
        </w:rPr>
      </w:pPr>
      <w:r w:rsidRPr="00875EB0">
        <w:rPr>
          <w:rFonts w:eastAsia="Times New Roman" w:cstheme="minorHAnsi"/>
          <w:b/>
          <w:bCs/>
          <w:color w:val="000000"/>
          <w:sz w:val="22"/>
          <w:szCs w:val="22"/>
          <w:u w:val="single"/>
        </w:rPr>
        <w:lastRenderedPageBreak/>
        <w:t>Level of Access:</w:t>
      </w:r>
      <w:r w:rsidRPr="00875EB0">
        <w:rPr>
          <w:rFonts w:eastAsia="Times New Roman" w:cstheme="minorHAnsi"/>
          <w:color w:val="000000"/>
          <w:sz w:val="22"/>
          <w:szCs w:val="22"/>
        </w:rPr>
        <w:t xml:space="preserve"> </w:t>
      </w:r>
      <w:r w:rsidR="00A464E6" w:rsidRPr="00875EB0">
        <w:rPr>
          <w:rFonts w:eastAsia="Times New Roman" w:cstheme="minorHAnsi"/>
          <w:color w:val="000000"/>
          <w:sz w:val="22"/>
          <w:szCs w:val="22"/>
        </w:rPr>
        <w:t>Open to all</w:t>
      </w:r>
      <w:r w:rsidR="00627696" w:rsidRPr="00875EB0">
        <w:rPr>
          <w:rFonts w:eastAsia="Times New Roman" w:cstheme="minorHAnsi"/>
          <w:color w:val="000000"/>
          <w:sz w:val="22"/>
          <w:szCs w:val="22"/>
        </w:rPr>
        <w:t>, even to unregistered users.</w:t>
      </w:r>
    </w:p>
    <w:p w14:paraId="35EB26A4" w14:textId="77777777" w:rsidR="00A92B58" w:rsidRPr="00BB2E6C" w:rsidRDefault="00A92B58" w:rsidP="00A92B58">
      <w:pPr>
        <w:pStyle w:val="ListParagraph"/>
        <w:jc w:val="both"/>
        <w:rPr>
          <w:rFonts w:cstheme="minorHAnsi"/>
          <w:color w:val="000000" w:themeColor="text1"/>
          <w:sz w:val="22"/>
          <w:szCs w:val="22"/>
        </w:rPr>
      </w:pPr>
    </w:p>
    <w:p w14:paraId="0EEF80D4" w14:textId="2B6A8DD6" w:rsidR="00BB2E6C" w:rsidRPr="00BB2E6C" w:rsidRDefault="0081453A" w:rsidP="00BB2E6C">
      <w:pPr>
        <w:pStyle w:val="ListParagraph"/>
        <w:numPr>
          <w:ilvl w:val="0"/>
          <w:numId w:val="2"/>
        </w:numPr>
        <w:jc w:val="both"/>
        <w:rPr>
          <w:rStyle w:val="xxcontentpasted1"/>
          <w:rFonts w:cstheme="minorHAnsi"/>
          <w:color w:val="000000" w:themeColor="text1"/>
          <w:sz w:val="22"/>
          <w:szCs w:val="22"/>
        </w:rPr>
      </w:pPr>
      <w:r w:rsidRPr="00875EB0">
        <w:rPr>
          <w:rStyle w:val="xxcontentpasted1"/>
          <w:rFonts w:cstheme="minorHAnsi"/>
          <w:b/>
          <w:bCs/>
          <w:color w:val="000000"/>
          <w:sz w:val="22"/>
          <w:szCs w:val="22"/>
          <w:u w:val="single"/>
        </w:rPr>
        <w:t>Embargo Date:</w:t>
      </w:r>
      <w:r w:rsidRPr="00875EB0">
        <w:rPr>
          <w:rStyle w:val="xxcontentpasted1"/>
          <w:rFonts w:cstheme="minorHAnsi"/>
          <w:color w:val="000000"/>
          <w:sz w:val="22"/>
          <w:szCs w:val="22"/>
        </w:rPr>
        <w:t xml:space="preserve"> No embargo date</w:t>
      </w:r>
      <w:r w:rsidR="00EE6F22" w:rsidRPr="00875EB0">
        <w:rPr>
          <w:rStyle w:val="xxcontentpasted1"/>
          <w:rFonts w:cstheme="minorHAnsi"/>
          <w:color w:val="000000"/>
          <w:sz w:val="22"/>
          <w:szCs w:val="22"/>
        </w:rPr>
        <w:t>; the paper has already been</w:t>
      </w:r>
      <w:r w:rsidR="00627696" w:rsidRPr="00875EB0">
        <w:rPr>
          <w:rStyle w:val="xxcontentpasted1"/>
          <w:rFonts w:cstheme="minorHAnsi"/>
          <w:color w:val="000000"/>
          <w:sz w:val="22"/>
          <w:szCs w:val="22"/>
        </w:rPr>
        <w:t xml:space="preserve"> published.</w:t>
      </w:r>
    </w:p>
    <w:p w14:paraId="7408C160" w14:textId="77777777" w:rsidR="00BB2E6C" w:rsidRPr="00BB2E6C" w:rsidRDefault="00BB2E6C" w:rsidP="00BB2E6C">
      <w:pPr>
        <w:jc w:val="both"/>
        <w:rPr>
          <w:rStyle w:val="xxcontentpasted1"/>
          <w:rFonts w:cstheme="minorHAnsi"/>
          <w:color w:val="000000" w:themeColor="text1"/>
          <w:sz w:val="22"/>
          <w:szCs w:val="22"/>
        </w:rPr>
      </w:pPr>
    </w:p>
    <w:p w14:paraId="197FB526" w14:textId="5530DB37" w:rsidR="00BB2E6C" w:rsidRPr="00A92B58" w:rsidRDefault="0081453A" w:rsidP="00BB2E6C">
      <w:pPr>
        <w:pStyle w:val="ListParagraph"/>
        <w:numPr>
          <w:ilvl w:val="0"/>
          <w:numId w:val="2"/>
        </w:numPr>
        <w:jc w:val="both"/>
        <w:rPr>
          <w:rStyle w:val="xxcontentpasted1"/>
          <w:rFonts w:cstheme="minorHAnsi"/>
          <w:color w:val="000000" w:themeColor="text1"/>
          <w:sz w:val="22"/>
          <w:szCs w:val="22"/>
        </w:rPr>
      </w:pPr>
      <w:r w:rsidRPr="00875EB0">
        <w:rPr>
          <w:rStyle w:val="xxcontentpasted1"/>
          <w:rFonts w:cstheme="minorHAnsi"/>
          <w:b/>
          <w:bCs/>
          <w:color w:val="000000"/>
          <w:sz w:val="22"/>
          <w:szCs w:val="22"/>
          <w:u w:val="single"/>
        </w:rPr>
        <w:t>Methods employed:</w:t>
      </w:r>
      <w:r w:rsidR="00627696" w:rsidRPr="00875EB0">
        <w:rPr>
          <w:rStyle w:val="xxcontentpasted1"/>
          <w:rFonts w:cstheme="minorHAnsi"/>
          <w:b/>
          <w:bCs/>
          <w:color w:val="000000"/>
          <w:sz w:val="22"/>
          <w:szCs w:val="22"/>
        </w:rPr>
        <w:t xml:space="preserve"> </w:t>
      </w:r>
    </w:p>
    <w:p w14:paraId="1418392D" w14:textId="4E56B967" w:rsidR="0081453A" w:rsidRPr="00BB2E6C" w:rsidRDefault="00BB2E6C" w:rsidP="00A92B58">
      <w:pPr>
        <w:pStyle w:val="xxmsonormal"/>
        <w:spacing w:after="160"/>
        <w:jc w:val="both"/>
        <w:rPr>
          <w:rStyle w:val="xxcontentpasted1"/>
          <w:rFonts w:asciiTheme="minorHAnsi" w:hAnsiTheme="minorHAnsi" w:cstheme="minorHAnsi"/>
          <w:b/>
          <w:bCs/>
          <w:color w:val="000000"/>
          <w:u w:val="single"/>
        </w:rPr>
      </w:pPr>
      <w:r w:rsidRPr="00A92B58">
        <w:rPr>
          <w:rStyle w:val="xxcontentpasted1"/>
          <w:b/>
          <w:bCs/>
          <w:color w:val="000000"/>
        </w:rPr>
        <w:t>IV.I.</w:t>
      </w:r>
      <w:r w:rsidRPr="00BB2E6C">
        <w:rPr>
          <w:rStyle w:val="xxcontentpasted1"/>
          <w:b/>
          <w:bCs/>
          <w:color w:val="000000"/>
        </w:rPr>
        <w:t xml:space="preserve"> </w:t>
      </w:r>
      <w:r w:rsidR="00A92B58">
        <w:rPr>
          <w:rStyle w:val="xxcontentpasted1"/>
          <w:b/>
          <w:bCs/>
          <w:color w:val="000000"/>
        </w:rPr>
        <w:tab/>
      </w:r>
      <w:r w:rsidR="00627696" w:rsidRPr="00BB2E6C">
        <w:rPr>
          <w:rStyle w:val="xxcontentpasted1"/>
          <w:b/>
          <w:bCs/>
          <w:color w:val="000000"/>
        </w:rPr>
        <w:t>Data Sources and Construction</w:t>
      </w:r>
    </w:p>
    <w:p w14:paraId="6CC23F18" w14:textId="77777777" w:rsidR="00627696" w:rsidRPr="00875EB0" w:rsidRDefault="00627696" w:rsidP="00627696">
      <w:pPr>
        <w:spacing w:after="120" w:line="264" w:lineRule="auto"/>
        <w:jc w:val="both"/>
        <w:rPr>
          <w:rFonts w:cstheme="minorHAnsi"/>
          <w:sz w:val="22"/>
          <w:szCs w:val="22"/>
        </w:rPr>
      </w:pPr>
      <w:r w:rsidRPr="00875EB0">
        <w:rPr>
          <w:rFonts w:cstheme="minorHAnsi"/>
          <w:sz w:val="22"/>
          <w:szCs w:val="22"/>
        </w:rPr>
        <w:t xml:space="preserve">The global energy consumption data is from Malanima (2020). The national-level primary energy consumption data is based on Kander et al. (2013) for European economies, and from Fouquet (2009) for other countries, and updated using BP (2022). Fodder for animal power is not included in the national </w:t>
      </w:r>
      <w:proofErr w:type="gramStart"/>
      <w:r w:rsidRPr="00875EB0">
        <w:rPr>
          <w:rFonts w:cstheme="minorHAnsi"/>
          <w:sz w:val="22"/>
          <w:szCs w:val="22"/>
        </w:rPr>
        <w:t>level, but</w:t>
      </w:r>
      <w:proofErr w:type="gramEnd"/>
      <w:r w:rsidRPr="00875EB0">
        <w:rPr>
          <w:rFonts w:cstheme="minorHAnsi"/>
          <w:sz w:val="22"/>
          <w:szCs w:val="22"/>
        </w:rPr>
        <w:t xml:space="preserve"> is in the global estimates. </w:t>
      </w:r>
    </w:p>
    <w:p w14:paraId="72FB5AF3" w14:textId="77777777" w:rsidR="00627696" w:rsidRPr="00875EB0" w:rsidRDefault="00627696" w:rsidP="00627696">
      <w:pPr>
        <w:spacing w:after="120" w:line="264" w:lineRule="auto"/>
        <w:jc w:val="both"/>
        <w:rPr>
          <w:rFonts w:cstheme="minorHAnsi"/>
          <w:sz w:val="22"/>
          <w:szCs w:val="22"/>
        </w:rPr>
      </w:pPr>
      <w:r w:rsidRPr="00875EB0">
        <w:rPr>
          <w:rFonts w:cstheme="minorHAnsi"/>
          <w:sz w:val="22"/>
          <w:szCs w:val="22"/>
        </w:rPr>
        <w:t>The estimates for communication use and intensity in this paper are based on collecting statistics on the number of letters, telegrams, text messages and emails, and on the minutes of telephone, mobile and mobile ‘app’ conversations. The historical postal statistics (in number of letters), telegraph statistics (in number of messages) and telephone statistics (in number of calls) are from Mitchell (2007). This data is also available from and updated by CNTS (2020). In addition, mobile phone and SMS text messaging is available from ITU (2022) – the ITU website also provides the original telephone and telegraph statistics back to 1849.</w:t>
      </w:r>
    </w:p>
    <w:p w14:paraId="2FDD1763" w14:textId="77777777" w:rsidR="00627696" w:rsidRPr="00875EB0" w:rsidRDefault="00627696" w:rsidP="00627696">
      <w:pPr>
        <w:spacing w:after="120" w:line="264" w:lineRule="auto"/>
        <w:jc w:val="both"/>
        <w:rPr>
          <w:rFonts w:cstheme="minorHAnsi"/>
          <w:sz w:val="22"/>
          <w:szCs w:val="22"/>
        </w:rPr>
      </w:pPr>
      <w:r w:rsidRPr="00875EB0">
        <w:rPr>
          <w:rFonts w:cstheme="minorHAnsi"/>
          <w:sz w:val="22"/>
          <w:szCs w:val="22"/>
        </w:rPr>
        <w:t xml:space="preserve">The global consumption of communication estimates </w:t>
      </w:r>
      <w:proofErr w:type="gramStart"/>
      <w:r w:rsidRPr="00875EB0">
        <w:rPr>
          <w:rFonts w:cstheme="minorHAnsi"/>
          <w:sz w:val="22"/>
          <w:szCs w:val="22"/>
        </w:rPr>
        <w:t>are</w:t>
      </w:r>
      <w:proofErr w:type="gramEnd"/>
      <w:r w:rsidRPr="00875EB0">
        <w:rPr>
          <w:rFonts w:cstheme="minorHAnsi"/>
          <w:sz w:val="22"/>
          <w:szCs w:val="22"/>
        </w:rPr>
        <w:t xml:space="preserve"> based on converting letters, messages and conversations into bytes of information using the method developed in Fouquet and Hippe (2019, 2022). This method relies on several significant assumptions. For example, one important assumption is that the average letter is 200 words (they tended to vary between 100 and 500 words) and that they averaged four characters per word, thus, equivalent to 800 bytes. It is assumed that emails are of equal length. Text messages are assumed to be shorter – five words long. Turning to conversations, a telephone or mobile phone call generated 120 words or 480 bytes per minute. Based on statistics of the minutes of phone conversation and the number of phone calls made, the average conversation tended to be close to three minutes long – this assumption is used when data only reveals conversations rather than minutes. Also, prior to ITU (2022) data, much of the global telephone data is for the number of phones used rather than minutes or calls (Mitchell 2007). Having data on both for a set of European countries and the USA, an average of the minutes per phone in any year is estimated and used to convert phone ownership into minutes of conversations. In sum, these numerous assumptions ensure that the different communication technologies can be converted into an estimate of one-to-one information sent and received, despite the inevitable limitations about trying to use a single metric for very different behaviours and technologies.  </w:t>
      </w:r>
    </w:p>
    <w:p w14:paraId="048A77C2" w14:textId="5E2AD251" w:rsidR="00627696" w:rsidRPr="00875EB0" w:rsidRDefault="00627696" w:rsidP="00627696">
      <w:pPr>
        <w:spacing w:after="120" w:line="264" w:lineRule="auto"/>
        <w:jc w:val="both"/>
        <w:rPr>
          <w:rFonts w:cstheme="minorHAnsi"/>
          <w:sz w:val="22"/>
          <w:szCs w:val="22"/>
        </w:rPr>
      </w:pPr>
      <w:r w:rsidRPr="00875EB0">
        <w:rPr>
          <w:rFonts w:cstheme="minorHAnsi"/>
          <w:sz w:val="22"/>
          <w:szCs w:val="22"/>
        </w:rPr>
        <w:t xml:space="preserve">The growth rate has been consistently rapid since the mid-nineteenth century. Waves of new technologies, such as telephones, mobile phones, and email, have boosted one-to-one information that the average person ‘consumed’ and the economy used. Apart from the period between 1925 and 1950, annual growth rates were above 5%. The final quarter of the nineteenth century experienced annual growth rates above 7%, as did the final quarter of the twentieth century, and the first decade of the twenty-first century. The global transition from analog to digital communication took 15 years (here, measured as an increase from a 5% to </w:t>
      </w:r>
      <w:proofErr w:type="gramStart"/>
      <w:r w:rsidRPr="00875EB0">
        <w:rPr>
          <w:rFonts w:cstheme="minorHAnsi"/>
          <w:sz w:val="22"/>
          <w:szCs w:val="22"/>
        </w:rPr>
        <w:t>a</w:t>
      </w:r>
      <w:proofErr w:type="gramEnd"/>
      <w:r w:rsidRPr="00875EB0">
        <w:rPr>
          <w:rFonts w:cstheme="minorHAnsi"/>
          <w:sz w:val="22"/>
          <w:szCs w:val="22"/>
        </w:rPr>
        <w:t xml:space="preserve"> 80% share of the market. Yet, it is worth noting that, although the most recent increase in communication use has been associated with digitalisation, the rapid increase began before the transition to digital technologies. This suggests that the demand for communication may also have boosted the transition to digitalisation.</w:t>
      </w:r>
      <w:r w:rsidR="00BB2E6C">
        <w:rPr>
          <w:rFonts w:cstheme="minorHAnsi"/>
          <w:sz w:val="22"/>
          <w:szCs w:val="22"/>
        </w:rPr>
        <w:t xml:space="preserve"> </w:t>
      </w:r>
      <w:r w:rsidRPr="00875EB0">
        <w:rPr>
          <w:rFonts w:cstheme="minorHAnsi"/>
          <w:sz w:val="22"/>
          <w:szCs w:val="22"/>
        </w:rPr>
        <w:t xml:space="preserve">Energy prices are based on the average energy price series in Fouquet (2011). It has been updated to incorporate the ONS (2020) information on the retail price index series for fuel and light, which is available in Fouquet (2020). </w:t>
      </w:r>
    </w:p>
    <w:p w14:paraId="01F443FF" w14:textId="27E2F6C1" w:rsidR="00627696" w:rsidRPr="00875EB0" w:rsidRDefault="00627696" w:rsidP="00627696">
      <w:pPr>
        <w:spacing w:after="120" w:line="264" w:lineRule="auto"/>
        <w:jc w:val="both"/>
        <w:rPr>
          <w:rFonts w:cstheme="minorHAnsi"/>
          <w:sz w:val="22"/>
          <w:szCs w:val="22"/>
        </w:rPr>
      </w:pPr>
      <w:r w:rsidRPr="00875EB0">
        <w:rPr>
          <w:rFonts w:cstheme="minorHAnsi"/>
          <w:sz w:val="22"/>
          <w:szCs w:val="22"/>
        </w:rPr>
        <w:lastRenderedPageBreak/>
        <w:t>Communication prices are the expenditure weighted average of postal prices (Campbell-Smith 2011), telegraph prices (Kieve 1973), and telephone prices (Baldwin 1925 p.657, Post Office 1975, ONS 2020). All prices presented are in real terms (that is, in $(2020) money). The Bank of England Millenium Data set (2020) also builds a series back to the thirteenth century.</w:t>
      </w:r>
      <w:r w:rsidRPr="00875EB0">
        <w:rPr>
          <w:rFonts w:cstheme="minorHAnsi"/>
          <w:sz w:val="22"/>
          <w:szCs w:val="22"/>
        </w:rPr>
        <w:tab/>
      </w:r>
    </w:p>
    <w:p w14:paraId="2AD13E6D" w14:textId="63730A2E" w:rsidR="00627696" w:rsidRPr="00BB2E6C" w:rsidRDefault="00BB2E6C" w:rsidP="00A92B58">
      <w:pPr>
        <w:pStyle w:val="xxmsonormal"/>
        <w:spacing w:after="160"/>
        <w:jc w:val="both"/>
        <w:rPr>
          <w:rStyle w:val="xxcontentpasted1"/>
          <w:color w:val="000000"/>
        </w:rPr>
      </w:pPr>
      <w:r w:rsidRPr="00A92B58">
        <w:rPr>
          <w:rStyle w:val="xxcontentpasted1"/>
          <w:b/>
          <w:bCs/>
          <w:color w:val="000000"/>
        </w:rPr>
        <w:t>IV.II.</w:t>
      </w:r>
      <w:r w:rsidRPr="00BB2E6C">
        <w:rPr>
          <w:rStyle w:val="xxcontentpasted1"/>
          <w:color w:val="000000"/>
        </w:rPr>
        <w:t xml:space="preserve"> </w:t>
      </w:r>
      <w:r w:rsidR="00A92B58">
        <w:rPr>
          <w:rStyle w:val="xxcontentpasted1"/>
          <w:color w:val="000000"/>
        </w:rPr>
        <w:tab/>
      </w:r>
      <w:r w:rsidR="00627696" w:rsidRPr="00BB2E6C">
        <w:rPr>
          <w:rStyle w:val="xxcontentpasted1"/>
          <w:b/>
          <w:bCs/>
          <w:color w:val="000000"/>
        </w:rPr>
        <w:t>References</w:t>
      </w:r>
    </w:p>
    <w:p w14:paraId="38549691"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Baldwin, F.G.C. (1925) The History of the Telephone in the United Kingdom. Richard Clay. Bungay.</w:t>
      </w:r>
    </w:p>
    <w:p w14:paraId="202110A5"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Bank of England (2020) A Millennium of Macroeconomic Data. </w:t>
      </w:r>
      <w:hyperlink r:id="rId9" w:history="1">
        <w:r w:rsidRPr="00875EB0">
          <w:rPr>
            <w:rStyle w:val="Hyperlink"/>
            <w:rFonts w:cstheme="minorHAnsi"/>
            <w:sz w:val="21"/>
            <w:szCs w:val="21"/>
          </w:rPr>
          <w:t>https://www.bankofengland.co.uk/statistics/research-datasets</w:t>
        </w:r>
      </w:hyperlink>
    </w:p>
    <w:p w14:paraId="2F8846DC"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BP (2022) Statistical Review of World Energy. </w:t>
      </w:r>
      <w:hyperlink r:id="rId10" w:history="1">
        <w:r w:rsidRPr="00875EB0">
          <w:rPr>
            <w:rStyle w:val="Hyperlink"/>
            <w:rFonts w:cstheme="minorHAnsi"/>
            <w:sz w:val="21"/>
            <w:szCs w:val="21"/>
          </w:rPr>
          <w:t>https://www.bp.com/en/global/corporate/energy-economics/statistical-review-of-world-energy.html</w:t>
        </w:r>
      </w:hyperlink>
      <w:r w:rsidRPr="00875EB0">
        <w:rPr>
          <w:rFonts w:cstheme="minorHAnsi"/>
          <w:sz w:val="21"/>
          <w:szCs w:val="21"/>
        </w:rPr>
        <w:t xml:space="preserve">  </w:t>
      </w:r>
    </w:p>
    <w:p w14:paraId="1A133340" w14:textId="77777777" w:rsidR="00627696" w:rsidRPr="00875EB0" w:rsidRDefault="00627696" w:rsidP="00627696">
      <w:pPr>
        <w:spacing w:after="120" w:line="264" w:lineRule="auto"/>
        <w:jc w:val="both"/>
        <w:rPr>
          <w:rFonts w:cstheme="minorHAnsi"/>
          <w:sz w:val="21"/>
          <w:szCs w:val="21"/>
        </w:rPr>
      </w:pPr>
      <w:bookmarkStart w:id="0" w:name="OLE_LINK3"/>
      <w:r w:rsidRPr="00875EB0">
        <w:rPr>
          <w:rFonts w:cstheme="minorHAnsi"/>
          <w:sz w:val="21"/>
          <w:szCs w:val="21"/>
        </w:rPr>
        <w:t xml:space="preserve">Campbell-Smith, D. (2011) Masters of the Post: The Authorized History of the Royal Mail. </w:t>
      </w:r>
      <w:hyperlink r:id="rId11" w:history="1">
        <w:r w:rsidRPr="00875EB0">
          <w:rPr>
            <w:rStyle w:val="Hyperlink"/>
            <w:rFonts w:cstheme="minorHAnsi"/>
            <w:sz w:val="21"/>
            <w:szCs w:val="21"/>
          </w:rPr>
          <w:t>http://www.postalheritage.org.uk/page/statistics</w:t>
        </w:r>
      </w:hyperlink>
      <w:r w:rsidRPr="00875EB0">
        <w:rPr>
          <w:rFonts w:cstheme="minorHAnsi"/>
          <w:sz w:val="21"/>
          <w:szCs w:val="21"/>
        </w:rPr>
        <w:t xml:space="preserve"> </w:t>
      </w:r>
    </w:p>
    <w:p w14:paraId="6DA1E31B"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CNTS (2021) The Cross-National Time-Series Data Archive. </w:t>
      </w:r>
      <w:hyperlink r:id="rId12" w:history="1">
        <w:r w:rsidRPr="00875EB0">
          <w:rPr>
            <w:rStyle w:val="Hyperlink"/>
            <w:rFonts w:cstheme="minorHAnsi"/>
            <w:sz w:val="21"/>
            <w:szCs w:val="21"/>
          </w:rPr>
          <w:t>https://www.cntsdata.com/</w:t>
        </w:r>
      </w:hyperlink>
      <w:r w:rsidRPr="00875EB0">
        <w:rPr>
          <w:rFonts w:cstheme="minorHAnsi"/>
          <w:sz w:val="21"/>
          <w:szCs w:val="21"/>
        </w:rPr>
        <w:t xml:space="preserve"> </w:t>
      </w:r>
    </w:p>
    <w:bookmarkEnd w:id="0"/>
    <w:p w14:paraId="7692803C"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Fouquet, R. (2011) ‘Divergences in long run trends in the prices of energy and energy services.’ Review of Environmental Economics and Policy 5(2) 196-218.  </w:t>
      </w:r>
    </w:p>
    <w:p w14:paraId="6D4E808B"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Fouquet, R. (2020) National Historical Energy Dataset. </w:t>
      </w:r>
      <w:hyperlink r:id="rId13" w:history="1">
        <w:r w:rsidRPr="00875EB0">
          <w:rPr>
            <w:rStyle w:val="Hyperlink"/>
            <w:rFonts w:cstheme="minorHAnsi"/>
            <w:sz w:val="21"/>
            <w:szCs w:val="21"/>
          </w:rPr>
          <w:t>https://nic.org.uk/data/all-data/historic-energy/</w:t>
        </w:r>
      </w:hyperlink>
      <w:r w:rsidRPr="00875EB0">
        <w:rPr>
          <w:rFonts w:cstheme="minorHAnsi"/>
          <w:sz w:val="21"/>
          <w:szCs w:val="21"/>
        </w:rPr>
        <w:t xml:space="preserve"> </w:t>
      </w:r>
    </w:p>
    <w:p w14:paraId="77A65359"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Fouquet, R. and Hippe, R. (2019) ‘The Transition from a Fossil-Fuel Economy to a Knowledge Economy’ in Fouquet, R. (ed.) Handbook on Green Growth. Edward Elgar Publications. Cheltenham, UK, and Northampton, MA, USA. </w:t>
      </w:r>
    </w:p>
    <w:p w14:paraId="42D86B1A"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Fouquet, R. and Hippe, R. (2022) ‘Twin Transitions of Decarbonisation and Digitalisation: A Historical Perspective on Energy and Information in European Economies.’ Energy Research &amp; Social Science 91: 102736.</w:t>
      </w:r>
    </w:p>
    <w:p w14:paraId="0391A256" w14:textId="77777777" w:rsidR="00627696" w:rsidRPr="00875EB0" w:rsidRDefault="00627696" w:rsidP="00627696">
      <w:pPr>
        <w:spacing w:after="120" w:line="264" w:lineRule="auto"/>
        <w:jc w:val="both"/>
        <w:rPr>
          <w:rFonts w:cstheme="minorHAnsi"/>
          <w:sz w:val="21"/>
          <w:szCs w:val="21"/>
        </w:rPr>
      </w:pPr>
      <w:bookmarkStart w:id="1" w:name="OLE_LINK4"/>
      <w:r w:rsidRPr="00875EB0">
        <w:rPr>
          <w:rFonts w:cstheme="minorHAnsi"/>
          <w:sz w:val="21"/>
          <w:szCs w:val="21"/>
        </w:rPr>
        <w:t xml:space="preserve">ITU (2022) World Telecommunications Database. </w:t>
      </w:r>
      <w:hyperlink r:id="rId14" w:history="1">
        <w:r w:rsidRPr="00875EB0">
          <w:rPr>
            <w:rStyle w:val="Hyperlink"/>
            <w:rFonts w:cstheme="minorHAnsi"/>
            <w:sz w:val="21"/>
            <w:szCs w:val="21"/>
          </w:rPr>
          <w:t>https://www.itu.int/en/ITU-D/Statistics/Pages/publications/wtid.aspx</w:t>
        </w:r>
      </w:hyperlink>
      <w:r w:rsidRPr="00875EB0">
        <w:rPr>
          <w:rFonts w:cstheme="minorHAnsi"/>
          <w:sz w:val="21"/>
          <w:szCs w:val="21"/>
        </w:rPr>
        <w:t xml:space="preserve">. </w:t>
      </w:r>
    </w:p>
    <w:bookmarkEnd w:id="1"/>
    <w:p w14:paraId="050D6136"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Kander, A., Malanima, P. and Ward, P. (2013) Power to the People: Energy in Europe over the Last Five Centuries. Princeton University Press. Princeton, NJ.</w:t>
      </w:r>
    </w:p>
    <w:p w14:paraId="6D570F49"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Kieve JL (1973). The electric telegraph: a social and economic history, New York: Barnes &amp; Noble.</w:t>
      </w:r>
    </w:p>
    <w:p w14:paraId="3FF245FA"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Malanima, P. (2020) World Energy Consumption: A Database 1820-2018. </w:t>
      </w:r>
      <w:hyperlink r:id="rId15" w:history="1">
        <w:r w:rsidRPr="00875EB0">
          <w:rPr>
            <w:rStyle w:val="Hyperlink"/>
            <w:rFonts w:cstheme="minorHAnsi"/>
            <w:sz w:val="21"/>
            <w:szCs w:val="21"/>
          </w:rPr>
          <w:t>https://histecon.fas.harvard.edu/energyhistory/DATABASE%20World%20Energy%20Consumption.pdf</w:t>
        </w:r>
      </w:hyperlink>
      <w:r w:rsidRPr="00875EB0">
        <w:rPr>
          <w:rFonts w:cstheme="minorHAnsi"/>
          <w:sz w:val="21"/>
          <w:szCs w:val="21"/>
        </w:rPr>
        <w:t xml:space="preserve"> </w:t>
      </w:r>
    </w:p>
    <w:p w14:paraId="4C735539" w14:textId="77777777" w:rsidR="00627696" w:rsidRPr="00875EB0" w:rsidRDefault="00627696" w:rsidP="00627696">
      <w:pPr>
        <w:spacing w:after="120" w:line="264" w:lineRule="auto"/>
        <w:jc w:val="both"/>
        <w:rPr>
          <w:rFonts w:cstheme="minorHAnsi"/>
          <w:sz w:val="21"/>
          <w:szCs w:val="21"/>
        </w:rPr>
      </w:pPr>
      <w:bookmarkStart w:id="2" w:name="OLE_LINK5"/>
      <w:r w:rsidRPr="00875EB0">
        <w:rPr>
          <w:rFonts w:cstheme="minorHAnsi"/>
          <w:sz w:val="21"/>
          <w:szCs w:val="21"/>
        </w:rPr>
        <w:t>Mitchell, B.R. (2007) International historical statistics. Europe, 1750-2005. 6th ed. Palgrave Macmillan. Basingstoke, Hampshire.</w:t>
      </w:r>
    </w:p>
    <w:bookmarkEnd w:id="2"/>
    <w:p w14:paraId="7F993788" w14:textId="77777777" w:rsidR="00627696" w:rsidRPr="00875EB0" w:rsidRDefault="00627696" w:rsidP="00627696">
      <w:pPr>
        <w:spacing w:after="120" w:line="264" w:lineRule="auto"/>
        <w:jc w:val="both"/>
        <w:rPr>
          <w:rFonts w:cstheme="minorHAnsi"/>
          <w:sz w:val="21"/>
          <w:szCs w:val="21"/>
        </w:rPr>
      </w:pPr>
      <w:r w:rsidRPr="00875EB0">
        <w:rPr>
          <w:rFonts w:cstheme="minorHAnsi"/>
          <w:sz w:val="21"/>
          <w:szCs w:val="21"/>
        </w:rPr>
        <w:t xml:space="preserve">ONS (2020) Consumer Price Indices. Office for National Statistics. </w:t>
      </w:r>
      <w:hyperlink r:id="rId16" w:history="1">
        <w:r w:rsidRPr="00875EB0">
          <w:rPr>
            <w:rStyle w:val="Hyperlink"/>
            <w:rFonts w:cstheme="minorHAnsi"/>
            <w:sz w:val="21"/>
            <w:szCs w:val="21"/>
          </w:rPr>
          <w:t>http://www.ons.gov.uk/ons/rel/cpi/consumer-price-indices/august-2011/cpi-time-series-data.html</w:t>
        </w:r>
      </w:hyperlink>
    </w:p>
    <w:p w14:paraId="76DFF9C0" w14:textId="097D272D" w:rsidR="00BB2E6C" w:rsidRDefault="00627696" w:rsidP="00BB2E6C">
      <w:pPr>
        <w:spacing w:after="120" w:line="264" w:lineRule="auto"/>
        <w:jc w:val="both"/>
        <w:rPr>
          <w:rFonts w:cstheme="minorHAnsi"/>
          <w:sz w:val="21"/>
          <w:szCs w:val="21"/>
        </w:rPr>
      </w:pPr>
      <w:r w:rsidRPr="00875EB0">
        <w:rPr>
          <w:rFonts w:cstheme="minorHAnsi"/>
          <w:sz w:val="21"/>
          <w:szCs w:val="21"/>
        </w:rPr>
        <w:t>Post Office (1975) Telecommunications Management Services Department (1975). Telecommunications statistics. Post Office. London.</w:t>
      </w:r>
    </w:p>
    <w:p w14:paraId="5CDF446B" w14:textId="77777777" w:rsidR="00BB2E6C" w:rsidRPr="00BB2E6C" w:rsidRDefault="00BB2E6C" w:rsidP="00BB2E6C">
      <w:pPr>
        <w:spacing w:after="120" w:line="264" w:lineRule="auto"/>
        <w:jc w:val="both"/>
        <w:rPr>
          <w:rStyle w:val="xxcontentpasted1"/>
          <w:rFonts w:cstheme="minorHAnsi"/>
          <w:sz w:val="21"/>
          <w:szCs w:val="21"/>
        </w:rPr>
      </w:pPr>
    </w:p>
    <w:p w14:paraId="24E6A9A7" w14:textId="41F7A587" w:rsidR="0081453A" w:rsidRPr="00875EB0" w:rsidRDefault="0081453A" w:rsidP="00BB2E6C">
      <w:pPr>
        <w:pStyle w:val="xxmsonormal"/>
        <w:numPr>
          <w:ilvl w:val="0"/>
          <w:numId w:val="2"/>
        </w:numPr>
        <w:spacing w:after="160"/>
        <w:jc w:val="both"/>
        <w:rPr>
          <w:rFonts w:asciiTheme="minorHAnsi" w:hAnsiTheme="minorHAnsi" w:cstheme="minorHAnsi"/>
          <w:b/>
          <w:bCs/>
          <w:color w:val="000000"/>
        </w:rPr>
      </w:pPr>
      <w:r w:rsidRPr="00875EB0">
        <w:rPr>
          <w:rStyle w:val="xxcontentpasted1"/>
          <w:rFonts w:asciiTheme="minorHAnsi" w:hAnsiTheme="minorHAnsi" w:cstheme="minorHAnsi"/>
          <w:b/>
          <w:bCs/>
          <w:color w:val="000000"/>
          <w:u w:val="single"/>
        </w:rPr>
        <w:t>License:</w:t>
      </w:r>
      <w:r w:rsidRPr="00875EB0">
        <w:rPr>
          <w:rStyle w:val="xxcontentpasted1"/>
          <w:rFonts w:asciiTheme="minorHAnsi" w:hAnsiTheme="minorHAnsi" w:cstheme="minorHAnsi"/>
          <w:b/>
          <w:bCs/>
          <w:color w:val="000000"/>
        </w:rPr>
        <w:t xml:space="preserve"> </w:t>
      </w:r>
    </w:p>
    <w:p w14:paraId="673EA0E3" w14:textId="7C50ABD6" w:rsidR="00BB2E6C" w:rsidRPr="00875EB0" w:rsidRDefault="0081453A" w:rsidP="00627696">
      <w:pPr>
        <w:spacing w:after="120" w:line="264" w:lineRule="auto"/>
        <w:jc w:val="both"/>
        <w:rPr>
          <w:rFonts w:cstheme="minorHAnsi"/>
          <w:sz w:val="22"/>
          <w:szCs w:val="22"/>
        </w:rPr>
      </w:pPr>
      <w:r w:rsidRPr="00875EB0">
        <w:rPr>
          <w:rFonts w:cstheme="minorHAnsi"/>
          <w:sz w:val="22"/>
          <w:szCs w:val="22"/>
        </w:rPr>
        <w:t>Original content from this work may be used under the terms of the Creative Commons Attribution 4.0 licence. Any further distribution of this work must maintain attribution to the author(s) and the title of the work, journal citation and DOI.</w:t>
      </w:r>
    </w:p>
    <w:sectPr w:rsidR="00BB2E6C" w:rsidRPr="00875EB0">
      <w:headerReference w:type="default" r:id="rId17"/>
      <w:footerReference w:type="even"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363F" w14:textId="77777777" w:rsidR="00917697" w:rsidRDefault="00917697" w:rsidP="00602CE9">
      <w:r>
        <w:separator/>
      </w:r>
    </w:p>
  </w:endnote>
  <w:endnote w:type="continuationSeparator" w:id="0">
    <w:p w14:paraId="0C8CECD5" w14:textId="77777777" w:rsidR="00917697" w:rsidRDefault="00917697" w:rsidP="0060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4602728"/>
      <w:docPartObj>
        <w:docPartGallery w:val="Page Numbers (Bottom of Page)"/>
        <w:docPartUnique/>
      </w:docPartObj>
    </w:sdtPr>
    <w:sdtContent>
      <w:p w14:paraId="62336B63" w14:textId="791E9DA3" w:rsidR="00602CE9" w:rsidRDefault="00602CE9" w:rsidP="00A375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3C23BB" w14:textId="77777777" w:rsidR="00602CE9" w:rsidRDefault="00602CE9" w:rsidP="00602C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7730535"/>
      <w:docPartObj>
        <w:docPartGallery w:val="Page Numbers (Bottom of Page)"/>
        <w:docPartUnique/>
      </w:docPartObj>
    </w:sdtPr>
    <w:sdtEndPr>
      <w:rPr>
        <w:rStyle w:val="PageNumber"/>
        <w:rFonts w:asciiTheme="minorHAnsi" w:hAnsiTheme="minorHAnsi" w:cstheme="minorHAnsi"/>
      </w:rPr>
    </w:sdtEndPr>
    <w:sdtContent>
      <w:p w14:paraId="5AEA7F32" w14:textId="0DAC1D2E" w:rsidR="00602CE9" w:rsidRDefault="00602CE9" w:rsidP="00A375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6C2595" w14:textId="77777777" w:rsidR="00602CE9" w:rsidRDefault="00602CE9" w:rsidP="00602C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F454" w14:textId="77777777" w:rsidR="00917697" w:rsidRDefault="00917697" w:rsidP="00602CE9">
      <w:r>
        <w:separator/>
      </w:r>
    </w:p>
  </w:footnote>
  <w:footnote w:type="continuationSeparator" w:id="0">
    <w:p w14:paraId="02CC3D81" w14:textId="77777777" w:rsidR="00917697" w:rsidRDefault="00917697" w:rsidP="0060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5799B" w14:textId="057240D4" w:rsidR="00875EB0" w:rsidRPr="00875EB0" w:rsidRDefault="00875EB0" w:rsidP="00875EB0">
    <w:pPr>
      <w:pStyle w:val="Header"/>
      <w:jc w:val="center"/>
      <w:rPr>
        <w:sz w:val="18"/>
        <w:szCs w:val="18"/>
      </w:rPr>
    </w:pPr>
    <w:r>
      <w:rPr>
        <w:rFonts w:cstheme="minorHAnsi"/>
        <w:sz w:val="18"/>
        <w:szCs w:val="18"/>
      </w:rPr>
      <w:t>Dataset for ‘</w:t>
    </w:r>
    <w:r w:rsidRPr="00875EB0">
      <w:rPr>
        <w:rFonts w:cstheme="minorHAnsi"/>
        <w:sz w:val="18"/>
        <w:szCs w:val="18"/>
      </w:rPr>
      <w:t>The Digitalisation, Dematerialisation and Decarbonisation of the Global Economy in Historical Perspective: The Relationship between Energy and Information since 1850.</w:t>
    </w:r>
    <w:r>
      <w:rPr>
        <w:rFonts w:cstheme="minorHAnsi"/>
        <w:sz w:val="18"/>
        <w:szCs w:val="18"/>
      </w:rPr>
      <w:t>’ By Roger Fouquet.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766B5"/>
    <w:multiLevelType w:val="hybridMultilevel"/>
    <w:tmpl w:val="D1A897A4"/>
    <w:lvl w:ilvl="0" w:tplc="EAD2FD16">
      <w:start w:val="1"/>
      <w:numFmt w:val="upperRoman"/>
      <w:lvlText w:val="%1."/>
      <w:lvlJc w:val="left"/>
      <w:pPr>
        <w:ind w:left="720" w:hanging="72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A67642A"/>
    <w:multiLevelType w:val="hybridMultilevel"/>
    <w:tmpl w:val="C5D4F9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26957696">
    <w:abstractNumId w:val="1"/>
  </w:num>
  <w:num w:numId="2" w16cid:durableId="963772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722"/>
    <w:rsid w:val="000F1B0B"/>
    <w:rsid w:val="00226E20"/>
    <w:rsid w:val="00264C72"/>
    <w:rsid w:val="002E71E9"/>
    <w:rsid w:val="0038139A"/>
    <w:rsid w:val="003F551C"/>
    <w:rsid w:val="00602CE9"/>
    <w:rsid w:val="00627696"/>
    <w:rsid w:val="006351A8"/>
    <w:rsid w:val="007359BE"/>
    <w:rsid w:val="00766FDB"/>
    <w:rsid w:val="0081453A"/>
    <w:rsid w:val="00875EB0"/>
    <w:rsid w:val="008A3FD0"/>
    <w:rsid w:val="008F29E2"/>
    <w:rsid w:val="008F3778"/>
    <w:rsid w:val="00917697"/>
    <w:rsid w:val="00972D44"/>
    <w:rsid w:val="00986C48"/>
    <w:rsid w:val="009B23DB"/>
    <w:rsid w:val="009C1A7C"/>
    <w:rsid w:val="009D2273"/>
    <w:rsid w:val="009F7711"/>
    <w:rsid w:val="00A464E6"/>
    <w:rsid w:val="00A92B58"/>
    <w:rsid w:val="00AC1ACB"/>
    <w:rsid w:val="00AC5AD5"/>
    <w:rsid w:val="00B0511A"/>
    <w:rsid w:val="00BB2E6C"/>
    <w:rsid w:val="00BE68C9"/>
    <w:rsid w:val="00C20188"/>
    <w:rsid w:val="00C96BB0"/>
    <w:rsid w:val="00E500B8"/>
    <w:rsid w:val="00EE6F22"/>
    <w:rsid w:val="00FB3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8D74"/>
  <w15:chartTrackingRefBased/>
  <w15:docId w15:val="{5858665B-D0DC-BC42-A914-C09016B9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0511A"/>
    <w:pPr>
      <w:spacing w:after="100" w:line="259" w:lineRule="auto"/>
    </w:pPr>
    <w:rPr>
      <w:rFonts w:ascii="Times New Roman" w:hAnsi="Times New Roman"/>
      <w:kern w:val="0"/>
      <w:szCs w:val="22"/>
      <w14:ligatures w14:val="none"/>
    </w:rPr>
  </w:style>
  <w:style w:type="paragraph" w:styleId="TOC3">
    <w:name w:val="toc 3"/>
    <w:basedOn w:val="Normal"/>
    <w:next w:val="Normal"/>
    <w:autoRedefine/>
    <w:uiPriority w:val="39"/>
    <w:unhideWhenUsed/>
    <w:rsid w:val="002E71E9"/>
    <w:pPr>
      <w:spacing w:line="360" w:lineRule="auto"/>
      <w:ind w:left="480"/>
    </w:pPr>
    <w:rPr>
      <w:rFonts w:ascii="Arial" w:hAnsi="Arial" w:cstheme="minorHAnsi"/>
      <w:sz w:val="20"/>
      <w:szCs w:val="20"/>
    </w:rPr>
  </w:style>
  <w:style w:type="paragraph" w:styleId="TOC2">
    <w:name w:val="toc 2"/>
    <w:basedOn w:val="Normal"/>
    <w:next w:val="Normal"/>
    <w:autoRedefine/>
    <w:uiPriority w:val="39"/>
    <w:unhideWhenUsed/>
    <w:rsid w:val="002E71E9"/>
    <w:pPr>
      <w:spacing w:before="120" w:line="360" w:lineRule="auto"/>
      <w:ind w:left="240"/>
    </w:pPr>
    <w:rPr>
      <w:rFonts w:ascii="Arial" w:hAnsi="Arial" w:cstheme="minorHAnsi"/>
      <w:bCs/>
      <w:sz w:val="22"/>
      <w:szCs w:val="22"/>
    </w:rPr>
  </w:style>
  <w:style w:type="paragraph" w:customStyle="1" w:styleId="figures">
    <w:name w:val="figures"/>
    <w:basedOn w:val="Normal"/>
    <w:autoRedefine/>
    <w:qFormat/>
    <w:rsid w:val="0038139A"/>
    <w:pPr>
      <w:spacing w:before="120" w:after="120"/>
      <w:jc w:val="center"/>
    </w:pPr>
    <w:rPr>
      <w:rFonts w:ascii="Arial" w:hAnsi="Arial"/>
      <w:sz w:val="22"/>
    </w:rPr>
  </w:style>
  <w:style w:type="paragraph" w:customStyle="1" w:styleId="tables">
    <w:name w:val="tables"/>
    <w:basedOn w:val="figures"/>
    <w:autoRedefine/>
    <w:qFormat/>
    <w:rsid w:val="0038139A"/>
    <w:pPr>
      <w:widowControl w:val="0"/>
      <w:autoSpaceDE w:val="0"/>
      <w:autoSpaceDN w:val="0"/>
      <w:adjustRightInd w:val="0"/>
      <w:spacing w:line="276" w:lineRule="auto"/>
    </w:pPr>
    <w:rPr>
      <w:rFonts w:cs="Arial"/>
      <w:szCs w:val="22"/>
    </w:rPr>
  </w:style>
  <w:style w:type="paragraph" w:customStyle="1" w:styleId="figuresII">
    <w:name w:val="figures II"/>
    <w:basedOn w:val="figures"/>
    <w:autoRedefine/>
    <w:qFormat/>
    <w:rsid w:val="00226E20"/>
    <w:rPr>
      <w:noProof/>
      <w:sz w:val="21"/>
    </w:rPr>
  </w:style>
  <w:style w:type="paragraph" w:customStyle="1" w:styleId="H4">
    <w:name w:val="H4"/>
    <w:basedOn w:val="Normal"/>
    <w:autoRedefine/>
    <w:qFormat/>
    <w:rsid w:val="00226E20"/>
    <w:pPr>
      <w:spacing w:line="276" w:lineRule="auto"/>
      <w:jc w:val="both"/>
    </w:pPr>
    <w:rPr>
      <w:rFonts w:ascii="Arial" w:hAnsi="Arial" w:cs="Arial"/>
      <w:b/>
      <w:sz w:val="22"/>
      <w:szCs w:val="22"/>
    </w:rPr>
  </w:style>
  <w:style w:type="paragraph" w:styleId="TOC4">
    <w:name w:val="toc 4"/>
    <w:basedOn w:val="Normal"/>
    <w:next w:val="Normal"/>
    <w:autoRedefine/>
    <w:uiPriority w:val="39"/>
    <w:unhideWhenUsed/>
    <w:qFormat/>
    <w:rsid w:val="00226E20"/>
    <w:pPr>
      <w:spacing w:line="360" w:lineRule="auto"/>
      <w:ind w:left="720"/>
    </w:pPr>
    <w:rPr>
      <w:rFonts w:ascii="Arial" w:hAnsi="Arial" w:cstheme="minorHAnsi"/>
      <w:sz w:val="20"/>
      <w:szCs w:val="20"/>
    </w:rPr>
  </w:style>
  <w:style w:type="paragraph" w:styleId="Footer">
    <w:name w:val="footer"/>
    <w:basedOn w:val="Normal"/>
    <w:link w:val="FooterChar"/>
    <w:autoRedefine/>
    <w:uiPriority w:val="99"/>
    <w:unhideWhenUsed/>
    <w:qFormat/>
    <w:rsid w:val="008F3778"/>
    <w:pPr>
      <w:tabs>
        <w:tab w:val="center" w:pos="4513"/>
        <w:tab w:val="right" w:pos="9026"/>
      </w:tabs>
      <w:jc w:val="both"/>
    </w:pPr>
    <w:rPr>
      <w:rFonts w:ascii="Arial" w:hAnsi="Arial"/>
      <w:sz w:val="20"/>
    </w:rPr>
  </w:style>
  <w:style w:type="character" w:customStyle="1" w:styleId="FooterChar">
    <w:name w:val="Footer Char"/>
    <w:basedOn w:val="DefaultParagraphFont"/>
    <w:link w:val="Footer"/>
    <w:uiPriority w:val="99"/>
    <w:rsid w:val="008F3778"/>
    <w:rPr>
      <w:rFonts w:ascii="Arial" w:hAnsi="Arial"/>
      <w:sz w:val="20"/>
    </w:rPr>
  </w:style>
  <w:style w:type="paragraph" w:customStyle="1" w:styleId="Style1">
    <w:name w:val="Style1"/>
    <w:basedOn w:val="Normal"/>
    <w:autoRedefine/>
    <w:qFormat/>
    <w:rsid w:val="000F1B0B"/>
    <w:pPr>
      <w:tabs>
        <w:tab w:val="left" w:pos="3769"/>
      </w:tabs>
      <w:spacing w:line="276" w:lineRule="auto"/>
      <w:jc w:val="both"/>
    </w:pPr>
    <w:rPr>
      <w:rFonts w:ascii="Arial" w:hAnsi="Arial"/>
    </w:rPr>
  </w:style>
  <w:style w:type="character" w:styleId="FootnoteReference">
    <w:name w:val="footnote reference"/>
    <w:basedOn w:val="DefaultParagraphFont"/>
    <w:uiPriority w:val="99"/>
    <w:semiHidden/>
    <w:unhideWhenUsed/>
    <w:qFormat/>
    <w:rsid w:val="00986C48"/>
    <w:rPr>
      <w:rFonts w:ascii="Arial" w:hAnsi="Arial"/>
      <w:sz w:val="20"/>
      <w:vertAlign w:val="superscript"/>
    </w:rPr>
  </w:style>
  <w:style w:type="paragraph" w:customStyle="1" w:styleId="xxmsonormal">
    <w:name w:val="x_x_msonormal"/>
    <w:basedOn w:val="Normal"/>
    <w:rsid w:val="0081453A"/>
    <w:rPr>
      <w:rFonts w:ascii="Calibri" w:hAnsi="Calibri" w:cs="Calibri"/>
      <w:kern w:val="0"/>
      <w:sz w:val="22"/>
      <w:szCs w:val="22"/>
      <w:lang w:eastAsia="en-GB"/>
      <w14:ligatures w14:val="none"/>
    </w:rPr>
  </w:style>
  <w:style w:type="character" w:customStyle="1" w:styleId="xxcontentpasted1">
    <w:name w:val="x_x_contentpasted1"/>
    <w:basedOn w:val="DefaultParagraphFont"/>
    <w:rsid w:val="0081453A"/>
  </w:style>
  <w:style w:type="character" w:styleId="Hyperlink">
    <w:name w:val="Hyperlink"/>
    <w:basedOn w:val="DefaultParagraphFont"/>
    <w:uiPriority w:val="99"/>
    <w:unhideWhenUsed/>
    <w:rsid w:val="00627696"/>
    <w:rPr>
      <w:color w:val="0563C1"/>
      <w:u w:val="single"/>
    </w:rPr>
  </w:style>
  <w:style w:type="table" w:styleId="TableGrid">
    <w:name w:val="Table Grid"/>
    <w:basedOn w:val="TableNormal"/>
    <w:uiPriority w:val="39"/>
    <w:rsid w:val="006276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551C"/>
    <w:pPr>
      <w:ind w:left="720"/>
      <w:contextualSpacing/>
    </w:pPr>
  </w:style>
  <w:style w:type="character" w:styleId="UnresolvedMention">
    <w:name w:val="Unresolved Mention"/>
    <w:basedOn w:val="DefaultParagraphFont"/>
    <w:uiPriority w:val="99"/>
    <w:semiHidden/>
    <w:unhideWhenUsed/>
    <w:rsid w:val="009C1A7C"/>
    <w:rPr>
      <w:color w:val="605E5C"/>
      <w:shd w:val="clear" w:color="auto" w:fill="E1DFDD"/>
    </w:rPr>
  </w:style>
  <w:style w:type="character" w:styleId="PageNumber">
    <w:name w:val="page number"/>
    <w:basedOn w:val="DefaultParagraphFont"/>
    <w:uiPriority w:val="99"/>
    <w:semiHidden/>
    <w:unhideWhenUsed/>
    <w:rsid w:val="00602CE9"/>
  </w:style>
  <w:style w:type="paragraph" w:styleId="Header">
    <w:name w:val="header"/>
    <w:basedOn w:val="Normal"/>
    <w:link w:val="HeaderChar"/>
    <w:uiPriority w:val="99"/>
    <w:unhideWhenUsed/>
    <w:rsid w:val="00602CE9"/>
    <w:pPr>
      <w:tabs>
        <w:tab w:val="center" w:pos="4513"/>
        <w:tab w:val="right" w:pos="9026"/>
      </w:tabs>
    </w:pPr>
  </w:style>
  <w:style w:type="character" w:customStyle="1" w:styleId="HeaderChar">
    <w:name w:val="Header Char"/>
    <w:basedOn w:val="DefaultParagraphFont"/>
    <w:link w:val="Header"/>
    <w:uiPriority w:val="99"/>
    <w:rsid w:val="00602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8/1748-9326/ad11c0" TargetMode="External"/><Relationship Id="rId13" Type="http://schemas.openxmlformats.org/officeDocument/2006/relationships/hyperlink" Target="https://nic.org.uk/data/all-data/historic-energ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ntsdata.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ns.gov.uk/ons/rel/cpi/consumer-price-indices/august-2011/cpi-time-series-data.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stalheritage.org.uk/page/statistics" TargetMode="External"/><Relationship Id="rId5" Type="http://schemas.openxmlformats.org/officeDocument/2006/relationships/webSettings" Target="webSettings.xml"/><Relationship Id="rId15" Type="http://schemas.openxmlformats.org/officeDocument/2006/relationships/hyperlink" Target="https://histecon.fas.harvard.edu/energyhistory/DATABASE%20World%20Energy%20Consumption.pdf" TargetMode="External"/><Relationship Id="rId10" Type="http://schemas.openxmlformats.org/officeDocument/2006/relationships/hyperlink" Target="https://www.bp.com/en/global/corporate/energy-economics/statistical-review-of-world-energy.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ankofengland.co.uk/statistics/research-datasets" TargetMode="External"/><Relationship Id="rId14" Type="http://schemas.openxmlformats.org/officeDocument/2006/relationships/hyperlink" Target="https://www.itu.int/en/ITU-D/Statistics/Pages/publications/wti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DB483-0858-CE45-AA49-1F8DF3D68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Aguirre</dc:creator>
  <cp:keywords/>
  <dc:description/>
  <cp:lastModifiedBy>Beatriz Aguirre</cp:lastModifiedBy>
  <cp:revision>10</cp:revision>
  <dcterms:created xsi:type="dcterms:W3CDTF">2024-01-31T09:12:00Z</dcterms:created>
  <dcterms:modified xsi:type="dcterms:W3CDTF">2024-01-31T17:50:00Z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10a3fc29-5484-3386-828c-ce988edf8acf</vt:lpwstr>
  </property>
</Properties>
</file>