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E21F9" w14:textId="5740A709" w:rsidR="004B0546" w:rsidRDefault="004B0546" w:rsidP="004B0546">
      <w:pPr>
        <w:rPr>
          <w:rFonts w:cstheme="minorHAnsi"/>
          <w:b/>
          <w:bCs/>
          <w:sz w:val="20"/>
          <w:szCs w:val="20"/>
        </w:rPr>
      </w:pPr>
      <w:r w:rsidRPr="00795391">
        <w:rPr>
          <w:rFonts w:cstheme="minorHAnsi"/>
          <w:b/>
          <w:bCs/>
          <w:sz w:val="20"/>
          <w:szCs w:val="20"/>
        </w:rPr>
        <w:t>Investigating children’s attitudes and learning about soil invertebrates</w:t>
      </w:r>
    </w:p>
    <w:p w14:paraId="1A99FC37" w14:textId="77777777" w:rsidR="004B0546" w:rsidRPr="004B0546" w:rsidRDefault="004B0546" w:rsidP="004B0546">
      <w:pPr>
        <w:rPr>
          <w:rFonts w:cstheme="minorHAnsi"/>
          <w:b/>
          <w:bCs/>
          <w:i/>
          <w:iCs/>
          <w:sz w:val="20"/>
          <w:szCs w:val="20"/>
        </w:rPr>
      </w:pPr>
      <w:r w:rsidRPr="004B0546">
        <w:rPr>
          <w:rFonts w:cstheme="minorHAnsi"/>
          <w:b/>
          <w:bCs/>
          <w:i/>
          <w:iCs/>
          <w:sz w:val="20"/>
          <w:szCs w:val="20"/>
        </w:rPr>
        <w:t>Introduction</w:t>
      </w:r>
    </w:p>
    <w:p w14:paraId="16E5DF2A" w14:textId="4EB76396" w:rsidR="004B0546" w:rsidRDefault="004B0546" w:rsidP="004B0546">
      <w:pPr>
        <w:rPr>
          <w:rFonts w:cstheme="minorHAnsi"/>
          <w:sz w:val="20"/>
          <w:szCs w:val="20"/>
        </w:rPr>
      </w:pPr>
      <w:r>
        <w:rPr>
          <w:rFonts w:cstheme="minorHAnsi"/>
          <w:sz w:val="20"/>
          <w:szCs w:val="20"/>
        </w:rPr>
        <w:t>Soil invertebrates play a central role in terrestrial ecosystem functioning but public awareness about the importance of soil invertebrates is low and they are neglected in conservation research and policy. This study investigated children’s perceptions of soil invertebrates and the impact of an educational intervention on these. Our focal audience was children aged 7-9 years because this is considered an important period for disgust development and attitude formation. The intervention was designed to promote close, in-depth observation of invertebrates through a series of questions about the appearance, movement and behaviour of the animals under observation and drawing.</w:t>
      </w:r>
      <w:r>
        <w:rPr>
          <w:rFonts w:cstheme="minorHAnsi"/>
          <w:i/>
          <w:iCs/>
          <w:sz w:val="20"/>
          <w:szCs w:val="20"/>
        </w:rPr>
        <w:t xml:space="preserve"> </w:t>
      </w:r>
    </w:p>
    <w:p w14:paraId="4C628808" w14:textId="02DFA7A7" w:rsidR="00F17589" w:rsidRDefault="004B0546" w:rsidP="004B0546">
      <w:pPr>
        <w:rPr>
          <w:rFonts w:cstheme="minorHAnsi"/>
          <w:sz w:val="20"/>
          <w:szCs w:val="20"/>
        </w:rPr>
      </w:pPr>
      <w:r>
        <w:rPr>
          <w:rFonts w:cstheme="minorHAnsi"/>
          <w:sz w:val="20"/>
          <w:szCs w:val="20"/>
        </w:rPr>
        <w:t xml:space="preserve">We used a pre-post-evaluation of the intervention and a mixed methods approach based on questionnaires with open-choice and closed-choice questions, interviews, and learner-generated drawings to investigate the variables of interest. </w:t>
      </w:r>
      <w:r w:rsidR="00A13176">
        <w:rPr>
          <w:rFonts w:cstheme="minorHAnsi"/>
          <w:sz w:val="20"/>
          <w:szCs w:val="20"/>
        </w:rPr>
        <w:t xml:space="preserve">The methodology draws on </w:t>
      </w:r>
      <w:r w:rsidR="00F17589">
        <w:rPr>
          <w:rFonts w:cstheme="minorHAnsi"/>
          <w:sz w:val="20"/>
          <w:szCs w:val="20"/>
        </w:rPr>
        <w:t>theories of fear and disgust (Matchett &amp; Davey, 1991; Rozin &amp; Fallon, 1987) and</w:t>
      </w:r>
      <w:r w:rsidR="00A13176">
        <w:rPr>
          <w:rFonts w:cstheme="minorHAnsi"/>
          <w:sz w:val="20"/>
          <w:szCs w:val="20"/>
        </w:rPr>
        <w:t xml:space="preserve"> psychological distance theory</w:t>
      </w:r>
      <w:r w:rsidR="00F17589">
        <w:rPr>
          <w:rFonts w:cstheme="minorHAnsi"/>
          <w:sz w:val="20"/>
          <w:szCs w:val="20"/>
        </w:rPr>
        <w:t xml:space="preserve"> (Trope &amp; Liberman, 2010), which </w:t>
      </w:r>
      <w:r w:rsidR="00F17589" w:rsidRPr="00F17589">
        <w:rPr>
          <w:rFonts w:cstheme="minorHAnsi"/>
          <w:sz w:val="20"/>
          <w:szCs w:val="20"/>
        </w:rPr>
        <w:t>proposes that we have different cognitive and affective perceptions of phenomena we experience infrequently compared to those that we regularly interact with in daily life</w:t>
      </w:r>
      <w:r w:rsidR="00F17589">
        <w:rPr>
          <w:rFonts w:cstheme="minorHAnsi"/>
          <w:sz w:val="20"/>
          <w:szCs w:val="20"/>
        </w:rPr>
        <w:t>.</w:t>
      </w:r>
    </w:p>
    <w:p w14:paraId="29AA53C1" w14:textId="0140B387" w:rsidR="004B0546" w:rsidRDefault="004B0546" w:rsidP="004B0546">
      <w:pPr>
        <w:rPr>
          <w:rFonts w:cstheme="minorHAnsi"/>
          <w:sz w:val="20"/>
          <w:szCs w:val="20"/>
        </w:rPr>
      </w:pPr>
      <w:r>
        <w:rPr>
          <w:rFonts w:cstheme="minorHAnsi"/>
          <w:sz w:val="20"/>
          <w:szCs w:val="20"/>
        </w:rPr>
        <w:t>We invited schools to participate via an email bulletin about the project circulated to primary schools in the target areas. A total of 220 children aged 7 – 9 years at four primary schools took part, from April – June 2023. Children completed a questionnaire before and immediately afterwards the session.</w:t>
      </w:r>
    </w:p>
    <w:p w14:paraId="5E565D2B" w14:textId="77777777" w:rsidR="004B0546" w:rsidRPr="009A1CF2" w:rsidRDefault="004B0546" w:rsidP="004B0546">
      <w:pPr>
        <w:rPr>
          <w:rFonts w:cstheme="minorHAnsi"/>
          <w:b/>
          <w:bCs/>
          <w:i/>
          <w:iCs/>
          <w:sz w:val="20"/>
          <w:szCs w:val="20"/>
        </w:rPr>
      </w:pPr>
      <w:r w:rsidRPr="009A1CF2">
        <w:rPr>
          <w:rFonts w:cstheme="minorHAnsi"/>
          <w:b/>
          <w:bCs/>
          <w:i/>
          <w:iCs/>
          <w:sz w:val="20"/>
          <w:szCs w:val="20"/>
        </w:rPr>
        <w:t>Questionnaire</w:t>
      </w:r>
    </w:p>
    <w:p w14:paraId="6CA61A32" w14:textId="660627AC" w:rsidR="00A13176" w:rsidRDefault="004B0546" w:rsidP="004B0546">
      <w:pPr>
        <w:rPr>
          <w:rFonts w:cstheme="minorHAnsi"/>
          <w:sz w:val="20"/>
          <w:szCs w:val="20"/>
        </w:rPr>
      </w:pPr>
      <w:r>
        <w:rPr>
          <w:rFonts w:cstheme="minorHAnsi"/>
          <w:sz w:val="20"/>
          <w:szCs w:val="20"/>
        </w:rPr>
        <w:t xml:space="preserve">The questionnaire </w:t>
      </w:r>
      <w:r w:rsidR="00A13176">
        <w:rPr>
          <w:rFonts w:cstheme="minorHAnsi"/>
          <w:sz w:val="20"/>
          <w:szCs w:val="20"/>
        </w:rPr>
        <w:t xml:space="preserve">comprised </w:t>
      </w:r>
      <w:r w:rsidR="00E443A2">
        <w:rPr>
          <w:rFonts w:cstheme="minorHAnsi"/>
          <w:sz w:val="20"/>
          <w:szCs w:val="20"/>
        </w:rPr>
        <w:t xml:space="preserve">the following </w:t>
      </w:r>
      <w:r w:rsidR="00A13176">
        <w:rPr>
          <w:rFonts w:cstheme="minorHAnsi"/>
          <w:sz w:val="20"/>
          <w:szCs w:val="20"/>
        </w:rPr>
        <w:t>sections:</w:t>
      </w:r>
    </w:p>
    <w:p w14:paraId="29E0726B" w14:textId="26ED0DC0" w:rsidR="00A13176" w:rsidRDefault="00A13176" w:rsidP="00A13176">
      <w:pPr>
        <w:pStyle w:val="ListParagraph"/>
        <w:numPr>
          <w:ilvl w:val="0"/>
          <w:numId w:val="2"/>
        </w:numPr>
        <w:rPr>
          <w:rFonts w:cstheme="minorHAnsi"/>
          <w:sz w:val="20"/>
          <w:szCs w:val="20"/>
        </w:rPr>
      </w:pPr>
      <w:r>
        <w:rPr>
          <w:rFonts w:cstheme="minorHAnsi"/>
          <w:sz w:val="20"/>
          <w:szCs w:val="20"/>
        </w:rPr>
        <w:t>A list of statements in random order based on three subscales (fear, disgust and psychological distance). Statements are rated using a 5-part Likert scale.</w:t>
      </w:r>
    </w:p>
    <w:p w14:paraId="13573468" w14:textId="776C082D" w:rsidR="00F17589" w:rsidRDefault="00F17589" w:rsidP="00F17589">
      <w:pPr>
        <w:pStyle w:val="ListParagraph"/>
        <w:numPr>
          <w:ilvl w:val="0"/>
          <w:numId w:val="2"/>
        </w:numPr>
        <w:rPr>
          <w:rFonts w:cstheme="minorHAnsi"/>
          <w:sz w:val="20"/>
          <w:szCs w:val="20"/>
        </w:rPr>
      </w:pPr>
      <w:r>
        <w:rPr>
          <w:rFonts w:cstheme="minorHAnsi"/>
          <w:sz w:val="20"/>
          <w:szCs w:val="20"/>
        </w:rPr>
        <w:t>A series of photographs with two semantic differential scales, where participants are asked to position themselves between two polar opposites (in this case</w:t>
      </w:r>
      <w:r w:rsidR="004B0546">
        <w:rPr>
          <w:rFonts w:cstheme="minorHAnsi"/>
          <w:sz w:val="20"/>
          <w:szCs w:val="20"/>
        </w:rPr>
        <w:t>, ‘disgusted’ to ‘pleased’ and ‘scared’ to ‘relaxed’</w:t>
      </w:r>
    </w:p>
    <w:p w14:paraId="5CE0451B" w14:textId="3FFC7849" w:rsidR="00E443A2" w:rsidRDefault="00E443A2" w:rsidP="00F17589">
      <w:pPr>
        <w:pStyle w:val="ListParagraph"/>
        <w:numPr>
          <w:ilvl w:val="0"/>
          <w:numId w:val="2"/>
        </w:numPr>
        <w:rPr>
          <w:rFonts w:cstheme="minorHAnsi"/>
          <w:sz w:val="20"/>
          <w:szCs w:val="20"/>
        </w:rPr>
      </w:pPr>
      <w:r>
        <w:rPr>
          <w:rFonts w:cstheme="minorHAnsi"/>
          <w:sz w:val="20"/>
          <w:szCs w:val="20"/>
        </w:rPr>
        <w:t>The ‘post participation’ questionnaire also contained one ‘closed choice’ and one ‘open choice’ feedback questions.</w:t>
      </w:r>
    </w:p>
    <w:p w14:paraId="324126AB" w14:textId="195A1D97" w:rsidR="004B0546" w:rsidRPr="00F17589" w:rsidRDefault="003D344C" w:rsidP="00F17589">
      <w:pPr>
        <w:rPr>
          <w:rFonts w:cstheme="minorHAnsi"/>
          <w:sz w:val="20"/>
          <w:szCs w:val="20"/>
        </w:rPr>
      </w:pPr>
      <w:r>
        <w:rPr>
          <w:rFonts w:cstheme="minorHAnsi"/>
          <w:sz w:val="20"/>
          <w:szCs w:val="20"/>
        </w:rPr>
        <w:t xml:space="preserve">The questionnaire was refined during a pilot phase with 22 children. </w:t>
      </w:r>
      <w:r w:rsidR="00F17589">
        <w:rPr>
          <w:rFonts w:cstheme="minorHAnsi"/>
          <w:sz w:val="20"/>
          <w:szCs w:val="20"/>
        </w:rPr>
        <w:t xml:space="preserve">The </w:t>
      </w:r>
      <w:r w:rsidR="004B0546" w:rsidRPr="00F17589">
        <w:rPr>
          <w:rFonts w:cstheme="minorHAnsi"/>
          <w:sz w:val="20"/>
          <w:szCs w:val="20"/>
        </w:rPr>
        <w:t xml:space="preserve">order of presentation of the photographs and </w:t>
      </w:r>
      <w:r w:rsidR="00F17589">
        <w:rPr>
          <w:rFonts w:cstheme="minorHAnsi"/>
          <w:sz w:val="20"/>
          <w:szCs w:val="20"/>
        </w:rPr>
        <w:t>statements were randomised</w:t>
      </w:r>
      <w:r w:rsidR="004B0546" w:rsidRPr="00F17589">
        <w:rPr>
          <w:rFonts w:cstheme="minorHAnsi"/>
          <w:sz w:val="20"/>
          <w:szCs w:val="20"/>
        </w:rPr>
        <w:t xml:space="preserve"> </w:t>
      </w:r>
      <w:r>
        <w:rPr>
          <w:rFonts w:cstheme="minorHAnsi"/>
          <w:sz w:val="20"/>
          <w:szCs w:val="20"/>
        </w:rPr>
        <w:t xml:space="preserve">in the investigation </w:t>
      </w:r>
      <w:r w:rsidR="004B0546" w:rsidRPr="00F17589">
        <w:rPr>
          <w:rFonts w:cstheme="minorHAnsi"/>
          <w:sz w:val="20"/>
          <w:szCs w:val="20"/>
        </w:rPr>
        <w:t>to produce 2 separate versions of each questionnaire, to control for an effect relating to order of presentation (e.g. response fatigue).</w:t>
      </w:r>
      <w:r w:rsidR="00904E62">
        <w:rPr>
          <w:rFonts w:cstheme="minorHAnsi"/>
          <w:sz w:val="20"/>
          <w:szCs w:val="20"/>
        </w:rPr>
        <w:t xml:space="preserve"> </w:t>
      </w:r>
      <w:r w:rsidR="0007375F">
        <w:rPr>
          <w:rFonts w:cstheme="minorHAnsi"/>
          <w:sz w:val="20"/>
          <w:szCs w:val="20"/>
        </w:rPr>
        <w:t>Children completed printed paper questionnaires immediately before and after the intervention, with no conferring.</w:t>
      </w:r>
    </w:p>
    <w:p w14:paraId="0875451E" w14:textId="77777777" w:rsidR="004B0546" w:rsidRDefault="004B0546" w:rsidP="004B0546">
      <w:pPr>
        <w:rPr>
          <w:rFonts w:cstheme="minorHAnsi"/>
          <w:b/>
          <w:bCs/>
          <w:i/>
          <w:iCs/>
          <w:sz w:val="20"/>
          <w:szCs w:val="20"/>
        </w:rPr>
      </w:pPr>
      <w:r>
        <w:rPr>
          <w:rFonts w:cstheme="minorHAnsi"/>
          <w:b/>
          <w:bCs/>
          <w:i/>
          <w:iCs/>
          <w:sz w:val="20"/>
          <w:szCs w:val="20"/>
        </w:rPr>
        <w:t xml:space="preserve">Interviews </w:t>
      </w:r>
    </w:p>
    <w:p w14:paraId="15E93EF5" w14:textId="41C61791" w:rsidR="004B0546" w:rsidRDefault="00DF362F" w:rsidP="004B0546">
      <w:pPr>
        <w:rPr>
          <w:rFonts w:cstheme="minorHAnsi"/>
          <w:sz w:val="20"/>
          <w:szCs w:val="20"/>
        </w:rPr>
      </w:pPr>
      <w:r>
        <w:rPr>
          <w:rFonts w:cstheme="minorHAnsi"/>
          <w:sz w:val="20"/>
          <w:szCs w:val="20"/>
        </w:rPr>
        <w:t>Semi-structured i</w:t>
      </w:r>
      <w:r w:rsidR="004B0546">
        <w:rPr>
          <w:rFonts w:cstheme="minorHAnsi"/>
          <w:sz w:val="20"/>
          <w:szCs w:val="20"/>
        </w:rPr>
        <w:t>nterviews were conducted in three schools, 2-3 weeks after the intervention to obtain additional data about children’s</w:t>
      </w:r>
      <w:r w:rsidR="004B0546" w:rsidRPr="009A1CF2">
        <w:rPr>
          <w:rFonts w:cstheme="minorHAnsi"/>
          <w:sz w:val="20"/>
          <w:szCs w:val="20"/>
        </w:rPr>
        <w:t xml:space="preserve"> perceptions and experiences of ground invertebrates. </w:t>
      </w:r>
      <w:r w:rsidR="004B0546">
        <w:rPr>
          <w:rFonts w:cstheme="minorHAnsi"/>
          <w:sz w:val="20"/>
          <w:szCs w:val="20"/>
        </w:rPr>
        <w:t>Interviews were conducted by the lead author, with children in groups of two or three, selected by the teacher.</w:t>
      </w:r>
      <w:r w:rsidR="00504541">
        <w:rPr>
          <w:rFonts w:cstheme="minorHAnsi"/>
          <w:sz w:val="20"/>
          <w:szCs w:val="20"/>
        </w:rPr>
        <w:t xml:space="preserve"> Eaqch interview was approximately 15 minutes in length.</w:t>
      </w:r>
      <w:r w:rsidR="004B0546">
        <w:rPr>
          <w:rFonts w:cstheme="minorHAnsi"/>
          <w:sz w:val="20"/>
          <w:szCs w:val="20"/>
        </w:rPr>
        <w:t xml:space="preserve"> </w:t>
      </w:r>
      <w:r>
        <w:rPr>
          <w:rFonts w:cstheme="minorHAnsi"/>
          <w:sz w:val="20"/>
          <w:szCs w:val="20"/>
        </w:rPr>
        <w:t>Interviews were recorded and transcribed using a transcription service.</w:t>
      </w:r>
    </w:p>
    <w:p w14:paraId="3020F32E" w14:textId="77777777" w:rsidR="004B0546" w:rsidRPr="00F17589" w:rsidRDefault="004B0546" w:rsidP="004B0546">
      <w:pPr>
        <w:rPr>
          <w:rFonts w:cstheme="minorHAnsi"/>
          <w:b/>
          <w:bCs/>
          <w:i/>
          <w:iCs/>
          <w:sz w:val="20"/>
          <w:szCs w:val="20"/>
        </w:rPr>
      </w:pPr>
      <w:r w:rsidRPr="00F17589">
        <w:rPr>
          <w:rFonts w:cstheme="minorHAnsi"/>
          <w:b/>
          <w:bCs/>
          <w:i/>
          <w:iCs/>
          <w:sz w:val="20"/>
          <w:szCs w:val="20"/>
        </w:rPr>
        <w:t>Assessment and analysis: drawings</w:t>
      </w:r>
    </w:p>
    <w:p w14:paraId="7F8EEDEA" w14:textId="7B86F90F" w:rsidR="00F17589" w:rsidRDefault="00F17589" w:rsidP="004B0546">
      <w:pPr>
        <w:rPr>
          <w:rFonts w:cstheme="minorHAnsi"/>
          <w:sz w:val="20"/>
          <w:szCs w:val="20"/>
        </w:rPr>
      </w:pPr>
      <w:r>
        <w:rPr>
          <w:rFonts w:cstheme="minorHAnsi"/>
          <w:sz w:val="20"/>
          <w:szCs w:val="20"/>
        </w:rPr>
        <w:t>The d</w:t>
      </w:r>
      <w:r w:rsidR="004B0546">
        <w:rPr>
          <w:rFonts w:cstheme="minorHAnsi"/>
          <w:sz w:val="20"/>
          <w:szCs w:val="20"/>
        </w:rPr>
        <w:t>rawing assessment and analysis was based on the methodological approaches developed by Wilson and Bradbury (2016)</w:t>
      </w:r>
      <w:r>
        <w:rPr>
          <w:rFonts w:cstheme="minorHAnsi"/>
          <w:sz w:val="20"/>
          <w:szCs w:val="20"/>
        </w:rPr>
        <w:t xml:space="preserve"> and</w:t>
      </w:r>
      <w:r w:rsidR="004B0546">
        <w:rPr>
          <w:rFonts w:cstheme="minorHAnsi"/>
          <w:sz w:val="20"/>
          <w:szCs w:val="20"/>
        </w:rPr>
        <w:t xml:space="preserve"> Stagg and Verde (2018)</w:t>
      </w:r>
      <w:r>
        <w:rPr>
          <w:rFonts w:cstheme="minorHAnsi"/>
          <w:sz w:val="20"/>
          <w:szCs w:val="20"/>
        </w:rPr>
        <w:t xml:space="preserve">. </w:t>
      </w:r>
      <w:r w:rsidR="004B0546">
        <w:rPr>
          <w:rFonts w:cstheme="minorHAnsi"/>
          <w:sz w:val="20"/>
          <w:szCs w:val="20"/>
        </w:rPr>
        <w:t xml:space="preserve">A list of diagnostic morphological characters was produced for each taxonomic order, using </w:t>
      </w:r>
      <w:r>
        <w:rPr>
          <w:rFonts w:cstheme="minorHAnsi"/>
          <w:sz w:val="20"/>
          <w:szCs w:val="20"/>
        </w:rPr>
        <w:t>invertebrate classification guides</w:t>
      </w:r>
      <w:r w:rsidR="004B0546">
        <w:rPr>
          <w:rFonts w:cstheme="minorHAnsi"/>
          <w:sz w:val="20"/>
          <w:szCs w:val="20"/>
        </w:rPr>
        <w:t xml:space="preserve">. Each drawing was visually assessed to score the number of characters discernible in the </w:t>
      </w:r>
      <w:r w:rsidR="00334E96">
        <w:rPr>
          <w:rFonts w:cstheme="minorHAnsi"/>
          <w:sz w:val="20"/>
          <w:szCs w:val="20"/>
        </w:rPr>
        <w:t xml:space="preserve">drawing, with each character being scored ‘0’ if absent and ‘1’ if present. The data was validated using two </w:t>
      </w:r>
      <w:r w:rsidR="00904E62">
        <w:rPr>
          <w:rFonts w:cstheme="minorHAnsi"/>
          <w:sz w:val="20"/>
          <w:szCs w:val="20"/>
        </w:rPr>
        <w:t xml:space="preserve">independent </w:t>
      </w:r>
      <w:r w:rsidR="00334E96">
        <w:rPr>
          <w:rFonts w:cstheme="minorHAnsi"/>
          <w:sz w:val="20"/>
          <w:szCs w:val="20"/>
        </w:rPr>
        <w:t xml:space="preserve">assessors and a Cronbach’s Alpha coefficient. </w:t>
      </w:r>
    </w:p>
    <w:p w14:paraId="4279E8AC" w14:textId="77777777" w:rsidR="00904E62" w:rsidRDefault="00904E62" w:rsidP="00904E62">
      <w:pPr>
        <w:rPr>
          <w:rFonts w:cstheme="minorHAnsi"/>
          <w:b/>
          <w:bCs/>
          <w:sz w:val="20"/>
          <w:szCs w:val="20"/>
        </w:rPr>
      </w:pPr>
    </w:p>
    <w:p w14:paraId="77F61BC4" w14:textId="3A8C420E" w:rsidR="00904E62" w:rsidRPr="00904E62" w:rsidRDefault="00904E62" w:rsidP="00904E62">
      <w:pPr>
        <w:rPr>
          <w:rFonts w:cstheme="minorHAnsi"/>
          <w:b/>
          <w:bCs/>
          <w:sz w:val="20"/>
          <w:szCs w:val="20"/>
        </w:rPr>
      </w:pPr>
      <w:r w:rsidRPr="00904E62">
        <w:rPr>
          <w:rFonts w:cstheme="minorHAnsi"/>
          <w:b/>
          <w:bCs/>
          <w:sz w:val="20"/>
          <w:szCs w:val="20"/>
        </w:rPr>
        <w:lastRenderedPageBreak/>
        <w:t>References</w:t>
      </w:r>
    </w:p>
    <w:p w14:paraId="37943753" w14:textId="77777777" w:rsidR="00904E62" w:rsidRPr="00904E62" w:rsidRDefault="00904E62" w:rsidP="00904E62">
      <w:pPr>
        <w:rPr>
          <w:rFonts w:cstheme="minorHAnsi"/>
          <w:sz w:val="20"/>
          <w:szCs w:val="20"/>
        </w:rPr>
      </w:pPr>
      <w:r w:rsidRPr="00904E62">
        <w:rPr>
          <w:rFonts w:cstheme="minorHAnsi"/>
          <w:sz w:val="20"/>
          <w:szCs w:val="20"/>
        </w:rPr>
        <w:t>Matchett, G., &amp; Davey, G. C. (1991). A test of a disease-avoidance model of animal phobias. Behaviour research and therapy, 29(1), 91-94.</w:t>
      </w:r>
    </w:p>
    <w:p w14:paraId="4C1B2E36" w14:textId="77777777" w:rsidR="00904E62" w:rsidRPr="00904E62" w:rsidRDefault="00904E62" w:rsidP="00904E62">
      <w:pPr>
        <w:rPr>
          <w:rFonts w:cstheme="minorHAnsi"/>
          <w:sz w:val="20"/>
          <w:szCs w:val="20"/>
        </w:rPr>
      </w:pPr>
      <w:r w:rsidRPr="00904E62">
        <w:rPr>
          <w:rFonts w:cstheme="minorHAnsi"/>
          <w:sz w:val="20"/>
          <w:szCs w:val="20"/>
        </w:rPr>
        <w:t>Rozin, P., &amp; Fallon, A. E. (1987). A perspective on disgust. Psychological review, 94(1), 23.</w:t>
      </w:r>
    </w:p>
    <w:p w14:paraId="49C8BD43" w14:textId="77777777" w:rsidR="00904E62" w:rsidRPr="00904E62" w:rsidRDefault="00904E62" w:rsidP="00904E62">
      <w:pPr>
        <w:rPr>
          <w:rFonts w:cstheme="minorHAnsi"/>
          <w:sz w:val="20"/>
          <w:szCs w:val="20"/>
        </w:rPr>
      </w:pPr>
      <w:r w:rsidRPr="00904E62">
        <w:rPr>
          <w:rFonts w:cstheme="minorHAnsi"/>
          <w:sz w:val="20"/>
          <w:szCs w:val="20"/>
        </w:rPr>
        <w:t>Stagg, B. C., &amp; Verde, M. F. (2019). A comparison of descriptive writing and drawing of plants for the development of adult novices’ botanical knowledge. Journal of Biological Education, 53(1), 63-78.</w:t>
      </w:r>
    </w:p>
    <w:p w14:paraId="35117F8B" w14:textId="77777777" w:rsidR="00904E62" w:rsidRPr="00904E62" w:rsidRDefault="00904E62" w:rsidP="00904E62">
      <w:pPr>
        <w:rPr>
          <w:rFonts w:cstheme="minorHAnsi"/>
          <w:sz w:val="20"/>
          <w:szCs w:val="20"/>
        </w:rPr>
      </w:pPr>
      <w:r w:rsidRPr="00904E62">
        <w:rPr>
          <w:rFonts w:cstheme="minorHAnsi"/>
          <w:sz w:val="20"/>
          <w:szCs w:val="20"/>
        </w:rPr>
        <w:t>Trope, Y., &amp; Liberman, N. (2010). Construal-level theory of psychological distance. Psychological review, 117(2), 440.</w:t>
      </w:r>
    </w:p>
    <w:p w14:paraId="5C99F23B" w14:textId="7B56C6EB" w:rsidR="00904E62" w:rsidRDefault="00904E62" w:rsidP="00904E62">
      <w:pPr>
        <w:rPr>
          <w:rFonts w:cstheme="minorHAnsi"/>
          <w:sz w:val="20"/>
          <w:szCs w:val="20"/>
        </w:rPr>
      </w:pPr>
      <w:r w:rsidRPr="00904E62">
        <w:rPr>
          <w:rFonts w:cstheme="minorHAnsi"/>
          <w:sz w:val="20"/>
          <w:szCs w:val="20"/>
        </w:rPr>
        <w:t>Wilson, R. E., &amp; Bradbury, L. U. (2016). The pedagogical potential of drawing and writing in a primary science multimodal unit. International Journal of Science Education, 38(17), 2621-2641.</w:t>
      </w:r>
    </w:p>
    <w:p w14:paraId="2F2B2D12" w14:textId="77777777" w:rsidR="00F17589" w:rsidRDefault="00F17589" w:rsidP="004B0546">
      <w:pPr>
        <w:rPr>
          <w:noProof/>
          <w14:ligatures w14:val="standardContextual"/>
        </w:rPr>
      </w:pPr>
    </w:p>
    <w:p w14:paraId="3B1E669C" w14:textId="77777777" w:rsidR="00F17589" w:rsidRDefault="00F17589" w:rsidP="004B0546">
      <w:pPr>
        <w:rPr>
          <w:noProof/>
          <w14:ligatures w14:val="standardContextual"/>
        </w:rPr>
      </w:pPr>
    </w:p>
    <w:p w14:paraId="75FAF41D" w14:textId="77777777" w:rsidR="004B0546" w:rsidRDefault="004B0546" w:rsidP="004B0546">
      <w:pPr>
        <w:rPr>
          <w:noProof/>
          <w14:ligatures w14:val="standardContextual"/>
        </w:rPr>
      </w:pPr>
    </w:p>
    <w:p w14:paraId="77ADF0AA" w14:textId="77777777" w:rsidR="004B0546" w:rsidRDefault="004B0546" w:rsidP="004B0546">
      <w:pPr>
        <w:rPr>
          <w:noProof/>
          <w14:ligatures w14:val="standardContextual"/>
        </w:rPr>
      </w:pPr>
    </w:p>
    <w:p w14:paraId="1C599CC7" w14:textId="77777777" w:rsidR="004B0546" w:rsidRDefault="004B0546" w:rsidP="004B0546">
      <w:pPr>
        <w:rPr>
          <w:noProof/>
          <w14:ligatures w14:val="standardContextual"/>
        </w:rPr>
      </w:pPr>
    </w:p>
    <w:p w14:paraId="1CA20D89" w14:textId="77777777" w:rsidR="004B0546" w:rsidRDefault="004B0546" w:rsidP="004B0546">
      <w:pPr>
        <w:rPr>
          <w:noProof/>
          <w14:ligatures w14:val="standardContextual"/>
        </w:rPr>
      </w:pPr>
    </w:p>
    <w:p w14:paraId="39E7A238" w14:textId="77777777" w:rsidR="004B0546" w:rsidRDefault="004B0546" w:rsidP="004B0546">
      <w:pPr>
        <w:rPr>
          <w:noProof/>
          <w14:ligatures w14:val="standardContextual"/>
        </w:rPr>
      </w:pPr>
    </w:p>
    <w:p w14:paraId="6F5541CE" w14:textId="77777777" w:rsidR="004B0546" w:rsidRDefault="004B0546" w:rsidP="004B0546">
      <w:pPr>
        <w:rPr>
          <w:noProof/>
          <w14:ligatures w14:val="standardContextual"/>
        </w:rPr>
      </w:pPr>
    </w:p>
    <w:p w14:paraId="5616C80A" w14:textId="77777777" w:rsidR="004B0546" w:rsidRDefault="004B0546" w:rsidP="004B0546">
      <w:pPr>
        <w:rPr>
          <w:noProof/>
          <w14:ligatures w14:val="standardContextual"/>
        </w:rPr>
      </w:pPr>
    </w:p>
    <w:p w14:paraId="318976F8" w14:textId="77777777" w:rsidR="004B0546" w:rsidRDefault="004B0546" w:rsidP="004B0546">
      <w:pPr>
        <w:rPr>
          <w:noProof/>
          <w14:ligatures w14:val="standardContextual"/>
        </w:rPr>
      </w:pPr>
    </w:p>
    <w:p w14:paraId="4F8C7107" w14:textId="77777777" w:rsidR="004B0546" w:rsidRDefault="004B0546" w:rsidP="004B0546">
      <w:pPr>
        <w:rPr>
          <w:noProof/>
          <w14:ligatures w14:val="standardContextual"/>
        </w:rPr>
      </w:pPr>
    </w:p>
    <w:p w14:paraId="73BE6B12" w14:textId="77777777" w:rsidR="004B0546" w:rsidRDefault="004B0546" w:rsidP="004B0546">
      <w:pPr>
        <w:rPr>
          <w:noProof/>
          <w14:ligatures w14:val="standardContextual"/>
        </w:rPr>
      </w:pPr>
    </w:p>
    <w:p w14:paraId="0C62D373" w14:textId="77777777" w:rsidR="004B0546" w:rsidRDefault="004B0546" w:rsidP="004B0546">
      <w:pPr>
        <w:rPr>
          <w:noProof/>
          <w14:ligatures w14:val="standardContextual"/>
        </w:rPr>
      </w:pPr>
    </w:p>
    <w:p w14:paraId="03BAC2AF" w14:textId="77777777" w:rsidR="004B0546" w:rsidRDefault="004B0546" w:rsidP="004B0546">
      <w:pPr>
        <w:rPr>
          <w:noProof/>
          <w14:ligatures w14:val="standardContextual"/>
        </w:rPr>
      </w:pPr>
    </w:p>
    <w:p w14:paraId="4D45A37F" w14:textId="77777777" w:rsidR="004B0546" w:rsidRDefault="004B0546" w:rsidP="004B0546">
      <w:pPr>
        <w:rPr>
          <w:noProof/>
          <w14:ligatures w14:val="standardContextual"/>
        </w:rPr>
      </w:pPr>
    </w:p>
    <w:p w14:paraId="5B6ED160" w14:textId="08567EB6" w:rsidR="004B0546" w:rsidRDefault="004B0546" w:rsidP="004B0546">
      <w:pPr>
        <w:rPr>
          <w:noProof/>
          <w14:ligatures w14:val="standardContextual"/>
        </w:rPr>
      </w:pPr>
    </w:p>
    <w:p w14:paraId="0C1E16CC" w14:textId="77777777" w:rsidR="004B0546" w:rsidRDefault="004B0546" w:rsidP="004B0546">
      <w:pPr>
        <w:rPr>
          <w:noProof/>
          <w14:ligatures w14:val="standardContextual"/>
        </w:rPr>
      </w:pPr>
    </w:p>
    <w:p w14:paraId="0AC879BA" w14:textId="77777777" w:rsidR="004B0546" w:rsidRDefault="004B0546" w:rsidP="004B0546">
      <w:pPr>
        <w:rPr>
          <w:noProof/>
          <w14:ligatures w14:val="standardContextual"/>
        </w:rPr>
      </w:pPr>
    </w:p>
    <w:p w14:paraId="2DF87293" w14:textId="23703403" w:rsidR="004B0546" w:rsidRDefault="004B0546" w:rsidP="004B0546">
      <w:pPr>
        <w:rPr>
          <w:rFonts w:cstheme="minorHAnsi"/>
          <w:sz w:val="20"/>
          <w:szCs w:val="20"/>
        </w:rPr>
      </w:pPr>
    </w:p>
    <w:sectPr w:rsidR="004B054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27C53" w14:textId="77777777" w:rsidR="005550C4" w:rsidRDefault="005550C4">
      <w:pPr>
        <w:spacing w:after="0" w:line="240" w:lineRule="auto"/>
      </w:pPr>
      <w:r>
        <w:separator/>
      </w:r>
    </w:p>
  </w:endnote>
  <w:endnote w:type="continuationSeparator" w:id="0">
    <w:p w14:paraId="3CCB2399" w14:textId="77777777" w:rsidR="005550C4" w:rsidRDefault="00555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9379297"/>
      <w:docPartObj>
        <w:docPartGallery w:val="Page Numbers (Bottom of Page)"/>
        <w:docPartUnique/>
      </w:docPartObj>
    </w:sdtPr>
    <w:sdtEndPr>
      <w:rPr>
        <w:noProof/>
      </w:rPr>
    </w:sdtEndPr>
    <w:sdtContent>
      <w:p w14:paraId="2D4CDC5E" w14:textId="77777777" w:rsidR="00904504"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8AED5B1" w14:textId="77777777" w:rsidR="00904504" w:rsidRDefault="009045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CBCD3" w14:textId="77777777" w:rsidR="005550C4" w:rsidRDefault="005550C4">
      <w:pPr>
        <w:spacing w:after="0" w:line="240" w:lineRule="auto"/>
      </w:pPr>
      <w:r>
        <w:separator/>
      </w:r>
    </w:p>
  </w:footnote>
  <w:footnote w:type="continuationSeparator" w:id="0">
    <w:p w14:paraId="2CE929B8" w14:textId="77777777" w:rsidR="005550C4" w:rsidRDefault="005550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515052"/>
    <w:multiLevelType w:val="hybridMultilevel"/>
    <w:tmpl w:val="B6046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4566929"/>
    <w:multiLevelType w:val="hybridMultilevel"/>
    <w:tmpl w:val="545A7D98"/>
    <w:lvl w:ilvl="0" w:tplc="77F0B758">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32129028">
    <w:abstractNumId w:val="1"/>
  </w:num>
  <w:num w:numId="2" w16cid:durableId="1467624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546"/>
    <w:rsid w:val="0007375F"/>
    <w:rsid w:val="00190EB5"/>
    <w:rsid w:val="0029626F"/>
    <w:rsid w:val="00334E96"/>
    <w:rsid w:val="003D344C"/>
    <w:rsid w:val="004B0546"/>
    <w:rsid w:val="00504541"/>
    <w:rsid w:val="005550C4"/>
    <w:rsid w:val="005A2BF8"/>
    <w:rsid w:val="006F4B7A"/>
    <w:rsid w:val="00701737"/>
    <w:rsid w:val="00737E59"/>
    <w:rsid w:val="00904504"/>
    <w:rsid w:val="00904E62"/>
    <w:rsid w:val="00A13176"/>
    <w:rsid w:val="00B43266"/>
    <w:rsid w:val="00BD2895"/>
    <w:rsid w:val="00D0017F"/>
    <w:rsid w:val="00D4477A"/>
    <w:rsid w:val="00DF362F"/>
    <w:rsid w:val="00E443A2"/>
    <w:rsid w:val="00F17589"/>
    <w:rsid w:val="00FF6C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77304"/>
  <w15:chartTrackingRefBased/>
  <w15:docId w15:val="{77C4A163-0030-4F18-94EA-305C02A2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546"/>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0546"/>
    <w:pPr>
      <w:ind w:left="720"/>
      <w:contextualSpacing/>
    </w:pPr>
  </w:style>
  <w:style w:type="character" w:styleId="Hyperlink">
    <w:name w:val="Hyperlink"/>
    <w:basedOn w:val="DefaultParagraphFont"/>
    <w:uiPriority w:val="99"/>
    <w:unhideWhenUsed/>
    <w:rsid w:val="004B0546"/>
    <w:rPr>
      <w:color w:val="0563C1" w:themeColor="hyperlink"/>
      <w:u w:val="single"/>
    </w:rPr>
  </w:style>
  <w:style w:type="paragraph" w:styleId="Footer">
    <w:name w:val="footer"/>
    <w:basedOn w:val="Normal"/>
    <w:link w:val="FooterChar"/>
    <w:uiPriority w:val="99"/>
    <w:unhideWhenUsed/>
    <w:rsid w:val="004B05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0546"/>
    <w:rPr>
      <w:kern w:val="0"/>
      <w14:ligatures w14:val="none"/>
    </w:rPr>
  </w:style>
  <w:style w:type="table" w:styleId="TableGrid">
    <w:name w:val="Table Grid"/>
    <w:basedOn w:val="TableNormal"/>
    <w:uiPriority w:val="39"/>
    <w:rsid w:val="004B054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B05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042811">
      <w:bodyDiv w:val="1"/>
      <w:marLeft w:val="0"/>
      <w:marRight w:val="0"/>
      <w:marTop w:val="0"/>
      <w:marBottom w:val="0"/>
      <w:divBdr>
        <w:top w:val="none" w:sz="0" w:space="0" w:color="auto"/>
        <w:left w:val="none" w:sz="0" w:space="0" w:color="auto"/>
        <w:bottom w:val="none" w:sz="0" w:space="0" w:color="auto"/>
        <w:right w:val="none" w:sz="0" w:space="0" w:color="auto"/>
      </w:divBdr>
    </w:div>
    <w:div w:id="1080448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Stagg, Bethan</dc:creator>
  <cp:keywords/>
  <dc:description/>
  <cp:lastModifiedBy>Stagg, Bethan</cp:lastModifiedBy>
  <cp:revision>8</cp:revision>
  <dcterms:created xsi:type="dcterms:W3CDTF">2023-12-17T22:49:00Z</dcterms:created>
  <dcterms:modified xsi:type="dcterms:W3CDTF">2023-12-27T11:13:00Z</dcterms:modified>
</cp:coreProperties>
</file>