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Data End User Types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 user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Number of interviewees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Interviewee Indentifiers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Charity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002, 003,005,006, 016,017, 018,024,029, 035, 036, 041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Land Managing charity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001, 004, 019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Utility Company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034, 040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Local Authority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007, 008,009, 022, 030, 031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Consultancy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011, 013, 014, 015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Public land managing body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010, 020, 028, 037, 038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Nature partnership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023, 033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Academic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