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A0C9F" w14:textId="77777777" w:rsidR="00B7507A" w:rsidRDefault="00B7507A" w:rsidP="00572A33">
      <w:pPr>
        <w:ind w:left="720" w:hanging="360"/>
      </w:pPr>
      <w:bookmarkStart w:id="0" w:name="_Hlk40006575"/>
    </w:p>
    <w:p w14:paraId="06C38471" w14:textId="60C2FBE3" w:rsidR="00572A33" w:rsidRPr="00BF25C5" w:rsidRDefault="00572A33" w:rsidP="00572A33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Name: </w:t>
      </w:r>
    </w:p>
    <w:p w14:paraId="15BC90FC" w14:textId="705AF8F2" w:rsidR="00572A33" w:rsidRDefault="00572A33" w:rsidP="00572A33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ASEAN</w:t>
      </w:r>
      <w:r w:rsidRPr="00BF25C5">
        <w:rPr>
          <w:rFonts w:cstheme="minorHAnsi"/>
          <w:szCs w:val="22"/>
          <w:lang w:val="en-US"/>
        </w:rPr>
        <w:t xml:space="preserve"> </w:t>
      </w:r>
      <w:r>
        <w:rPr>
          <w:rFonts w:cstheme="minorHAnsi"/>
          <w:szCs w:val="22"/>
          <w:lang w:val="en-US"/>
        </w:rPr>
        <w:t>Ministerial Meeting on Transnational Crime</w:t>
      </w:r>
    </w:p>
    <w:p w14:paraId="7E12D448" w14:textId="77777777" w:rsidR="00572A33" w:rsidRPr="00232ED8" w:rsidRDefault="00572A33" w:rsidP="00572A33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232ED8">
        <w:rPr>
          <w:rFonts w:cstheme="minorHAnsi"/>
          <w:b/>
          <w:bCs/>
          <w:lang w:val="en-US"/>
        </w:rPr>
        <w:t xml:space="preserve">Short description: </w:t>
      </w:r>
    </w:p>
    <w:p w14:paraId="3366CBF6" w14:textId="77777777" w:rsidR="00572A33" w:rsidRPr="00232ED8" w:rsidRDefault="00572A33" w:rsidP="00572A33">
      <w:pPr>
        <w:rPr>
          <w:rFonts w:cstheme="minorHAnsi"/>
          <w:szCs w:val="22"/>
          <w:lang w:val="en-US"/>
        </w:rPr>
      </w:pPr>
      <w:r w:rsidRPr="00232ED8">
        <w:rPr>
          <w:rFonts w:cstheme="minorHAnsi"/>
          <w:szCs w:val="22"/>
          <w:lang w:val="en-US"/>
        </w:rPr>
        <w:t xml:space="preserve">The </w:t>
      </w:r>
      <w:r>
        <w:rPr>
          <w:rFonts w:cstheme="minorHAnsi"/>
          <w:szCs w:val="22"/>
          <w:lang w:val="en-US"/>
        </w:rPr>
        <w:t>AMIM</w:t>
      </w:r>
      <w:r w:rsidRPr="00846EEF">
        <w:rPr>
          <w:rFonts w:cstheme="minorHAnsi"/>
          <w:szCs w:val="22"/>
          <w:lang w:val="en-US"/>
        </w:rPr>
        <w:t xml:space="preserve"> is an annual gathering of military intelligence chiefs of ASEAN Member States to discuss intelligence aspects of various </w:t>
      </w:r>
      <w:proofErr w:type="spellStart"/>
      <w:r w:rsidRPr="00846EEF">
        <w:rPr>
          <w:rFonts w:cstheme="minorHAnsi"/>
          <w:szCs w:val="22"/>
          <w:lang w:val="en-US"/>
        </w:rPr>
        <w:t>defence</w:t>
      </w:r>
      <w:proofErr w:type="spellEnd"/>
      <w:r w:rsidRPr="00846EEF">
        <w:rPr>
          <w:rFonts w:cstheme="minorHAnsi"/>
          <w:szCs w:val="22"/>
          <w:lang w:val="en-US"/>
        </w:rPr>
        <w:t xml:space="preserve"> and security issues affecting Southeast Asia.</w:t>
      </w:r>
    </w:p>
    <w:p w14:paraId="09AB7550" w14:textId="77777777" w:rsidR="00572A33" w:rsidRPr="00BF25C5" w:rsidRDefault="00572A33" w:rsidP="00572A33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lang w:val="en-US" w:bidi="th-TH"/>
        </w:rPr>
        <w:t xml:space="preserve"> </w:t>
      </w:r>
      <w:r w:rsidRPr="00BF25C5">
        <w:rPr>
          <w:rFonts w:cstheme="minorHAnsi"/>
          <w:b/>
          <w:bCs/>
          <w:lang w:val="en-US"/>
        </w:rPr>
        <w:t xml:space="preserve">Formality: </w:t>
      </w:r>
    </w:p>
    <w:p w14:paraId="11C0227B" w14:textId="77777777" w:rsidR="00572A33" w:rsidRDefault="00572A33" w:rsidP="00572A33">
      <w:pPr>
        <w:rPr>
          <w:rFonts w:cstheme="minorHAnsi"/>
          <w:szCs w:val="22"/>
          <w:lang w:val="en-US"/>
        </w:rPr>
      </w:pPr>
      <w:r w:rsidRPr="00BF25C5">
        <w:rPr>
          <w:rFonts w:cstheme="minorHAnsi"/>
          <w:szCs w:val="22"/>
          <w:lang w:val="en-US"/>
        </w:rPr>
        <w:t xml:space="preserve">Formal. Operates within the </w:t>
      </w:r>
      <w:r>
        <w:rPr>
          <w:rFonts w:cstheme="minorHAnsi"/>
          <w:szCs w:val="22"/>
          <w:lang w:val="en-US"/>
        </w:rPr>
        <w:t>ASEAN</w:t>
      </w:r>
      <w:r w:rsidRPr="00BF25C5">
        <w:rPr>
          <w:rFonts w:cstheme="minorHAnsi"/>
          <w:szCs w:val="22"/>
          <w:lang w:val="en-US"/>
        </w:rPr>
        <w:t xml:space="preserve"> Secretariat</w:t>
      </w:r>
      <w:r>
        <w:rPr>
          <w:rFonts w:cstheme="minorHAnsi"/>
          <w:szCs w:val="22"/>
          <w:lang w:val="en-US"/>
        </w:rPr>
        <w:t xml:space="preserve">. </w:t>
      </w:r>
    </w:p>
    <w:p w14:paraId="12F786CD" w14:textId="77777777" w:rsidR="00572A33" w:rsidRPr="00846EEF" w:rsidRDefault="00572A33" w:rsidP="00572A33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846EEF">
        <w:rPr>
          <w:rFonts w:cstheme="minorHAnsi"/>
          <w:b/>
          <w:bCs/>
          <w:lang w:val="en-US"/>
        </w:rPr>
        <w:t xml:space="preserve">Regional coverage: </w:t>
      </w:r>
    </w:p>
    <w:p w14:paraId="3CFB3034" w14:textId="77777777" w:rsidR="00572A33" w:rsidRPr="00BF25C5" w:rsidRDefault="00572A33" w:rsidP="00572A33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Southeast Asia</w:t>
      </w:r>
    </w:p>
    <w:p w14:paraId="0B750A8B" w14:textId="77777777" w:rsidR="00572A33" w:rsidRPr="00BF25C5" w:rsidRDefault="00572A33" w:rsidP="00572A33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Members (including states and non-states): </w:t>
      </w:r>
    </w:p>
    <w:p w14:paraId="24222D32" w14:textId="6D234FF1" w:rsidR="00572A33" w:rsidRDefault="00572A33" w:rsidP="00572A33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ASEAN member states</w:t>
      </w:r>
      <w:r w:rsidR="003E2603">
        <w:rPr>
          <w:rFonts w:cstheme="minorHAnsi"/>
          <w:szCs w:val="22"/>
          <w:lang w:val="en-US"/>
        </w:rPr>
        <w:t>.</w:t>
      </w:r>
    </w:p>
    <w:p w14:paraId="7EBEC8E2" w14:textId="374EE98E" w:rsidR="003E2603" w:rsidRPr="00BF25C5" w:rsidRDefault="003E2603" w:rsidP="00572A33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There are 3 AMMTC+1s with China, Japan, and South Korea. There is also an AMMTC+3 which includes all 13 member states in one meeting.</w:t>
      </w:r>
    </w:p>
    <w:p w14:paraId="4E2CA191" w14:textId="08BECC59" w:rsidR="00572A33" w:rsidRPr="00B7507A" w:rsidRDefault="00572A33" w:rsidP="00572A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F25C5">
        <w:rPr>
          <w:rFonts w:cstheme="minorHAnsi"/>
          <w:b/>
          <w:bCs/>
          <w:lang w:val="en-US"/>
        </w:rPr>
        <w:t xml:space="preserve">Includes non-state </w:t>
      </w:r>
      <w:proofErr w:type="gramStart"/>
      <w:r w:rsidRPr="00BF25C5">
        <w:rPr>
          <w:rFonts w:cstheme="minorHAnsi"/>
          <w:b/>
          <w:bCs/>
          <w:lang w:val="en-US"/>
        </w:rPr>
        <w:t>actors?</w:t>
      </w:r>
      <w:proofErr w:type="gramEnd"/>
      <w:r w:rsidRPr="00BF25C5">
        <w:rPr>
          <w:rFonts w:cstheme="minorHAnsi"/>
          <w:b/>
          <w:bCs/>
          <w:lang w:val="en-US"/>
        </w:rPr>
        <w:t xml:space="preserve"> </w:t>
      </w:r>
    </w:p>
    <w:p w14:paraId="1AB2394B" w14:textId="77777777" w:rsidR="00B7507A" w:rsidRPr="00BF25C5" w:rsidRDefault="00B7507A" w:rsidP="00B7507A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FBFEEDA" w14:textId="424CA63F" w:rsidR="00572A33" w:rsidRDefault="00572A33" w:rsidP="00572A33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Date created: </w:t>
      </w:r>
    </w:p>
    <w:p w14:paraId="11929AFA" w14:textId="1B12E9DC" w:rsidR="00B7507A" w:rsidRPr="00326CD9" w:rsidRDefault="00326CD9" w:rsidP="00326CD9">
      <w:pPr>
        <w:rPr>
          <w:rFonts w:cstheme="minorHAnsi"/>
          <w:lang w:val="en-US"/>
        </w:rPr>
      </w:pPr>
      <w:r w:rsidRPr="00326CD9">
        <w:rPr>
          <w:rFonts w:cstheme="minorHAnsi"/>
          <w:lang w:val="en-US"/>
        </w:rPr>
        <w:t>1997</w:t>
      </w:r>
    </w:p>
    <w:p w14:paraId="5C1CB834" w14:textId="77777777" w:rsidR="00572A33" w:rsidRPr="00BF25C5" w:rsidRDefault="00572A33" w:rsidP="00572A33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>Date visibly started to engage with maritime security (e.g. first document that refers to it):</w:t>
      </w:r>
    </w:p>
    <w:p w14:paraId="54D38186" w14:textId="77777777" w:rsidR="00572A33" w:rsidRPr="00BF25C5" w:rsidRDefault="00572A33" w:rsidP="00572A33">
      <w:pPr>
        <w:rPr>
          <w:rFonts w:cstheme="minorHAnsi"/>
          <w:szCs w:val="22"/>
          <w:lang w:val="en-US"/>
        </w:rPr>
      </w:pPr>
      <w:r w:rsidRPr="00A31239">
        <w:rPr>
          <w:rFonts w:cstheme="minorHAnsi"/>
          <w:szCs w:val="22"/>
          <w:lang w:val="en-US"/>
        </w:rPr>
        <w:t>Unclear</w:t>
      </w:r>
    </w:p>
    <w:p w14:paraId="511CDB54" w14:textId="77777777" w:rsidR="00572A33" w:rsidRPr="00BF25C5" w:rsidRDefault="00572A33" w:rsidP="00572A33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Brief History and Description: </w:t>
      </w:r>
    </w:p>
    <w:p w14:paraId="7FED21C7" w14:textId="05809C55" w:rsidR="00B7507A" w:rsidRDefault="00B7507A" w:rsidP="00B7507A">
      <w:pPr>
        <w:rPr>
          <w:rFonts w:cstheme="minorHAnsi"/>
          <w:lang w:val="en-US"/>
        </w:rPr>
      </w:pPr>
      <w:r w:rsidRPr="00B7507A">
        <w:rPr>
          <w:rFonts w:cstheme="minorHAnsi"/>
          <w:lang w:val="en-US"/>
        </w:rPr>
        <w:t>The highest policymaking body in the ASEAN Ministers</w:t>
      </w:r>
      <w:r>
        <w:rPr>
          <w:rFonts w:cstheme="minorHAnsi"/>
          <w:lang w:val="en-US"/>
        </w:rPr>
        <w:t xml:space="preserve"> </w:t>
      </w:r>
      <w:r w:rsidRPr="00B7507A">
        <w:rPr>
          <w:rFonts w:cstheme="minorHAnsi"/>
          <w:lang w:val="en-US"/>
        </w:rPr>
        <w:t>Meeting (AMM) in matters relating to transnational crime is the ASEAN</w:t>
      </w:r>
      <w:r>
        <w:rPr>
          <w:rFonts w:cstheme="minorHAnsi"/>
          <w:lang w:val="en-US"/>
        </w:rPr>
        <w:t xml:space="preserve"> </w:t>
      </w:r>
      <w:r w:rsidRPr="00B7507A">
        <w:rPr>
          <w:rFonts w:cstheme="minorHAnsi"/>
          <w:lang w:val="en-US"/>
        </w:rPr>
        <w:t>Ministerial</w:t>
      </w:r>
      <w:r>
        <w:rPr>
          <w:rFonts w:cstheme="minorHAnsi"/>
          <w:lang w:val="en-US"/>
        </w:rPr>
        <w:t xml:space="preserve"> </w:t>
      </w:r>
      <w:r w:rsidRPr="00B7507A">
        <w:rPr>
          <w:rFonts w:cstheme="minorHAnsi"/>
          <w:lang w:val="en-US"/>
        </w:rPr>
        <w:t>Meeting on Transnational Crime (AMMTC)</w:t>
      </w:r>
      <w:r>
        <w:rPr>
          <w:rFonts w:cstheme="minorHAnsi"/>
          <w:lang w:val="en-US"/>
        </w:rPr>
        <w:t xml:space="preserve">. </w:t>
      </w:r>
      <w:r w:rsidRPr="00B7507A">
        <w:rPr>
          <w:rFonts w:cstheme="minorHAnsi"/>
          <w:lang w:val="en-US"/>
        </w:rPr>
        <w:t>The AMTTC performs coordination of various cooperation between the ASEAN</w:t>
      </w:r>
      <w:r>
        <w:rPr>
          <w:rFonts w:cstheme="minorHAnsi"/>
          <w:lang w:val="en-US"/>
        </w:rPr>
        <w:t xml:space="preserve"> </w:t>
      </w:r>
      <w:r w:rsidRPr="00B7507A">
        <w:rPr>
          <w:rFonts w:cstheme="minorHAnsi"/>
          <w:lang w:val="en-US"/>
        </w:rPr>
        <w:t>agencies for combating transnational crime, such as ASEAN Senior Officials on</w:t>
      </w:r>
      <w:r>
        <w:rPr>
          <w:rFonts w:cstheme="minorHAnsi"/>
          <w:lang w:val="en-US"/>
        </w:rPr>
        <w:t xml:space="preserve"> </w:t>
      </w:r>
      <w:r w:rsidRPr="00B7507A">
        <w:rPr>
          <w:rFonts w:cstheme="minorHAnsi"/>
          <w:lang w:val="en-US"/>
        </w:rPr>
        <w:t>Drug Matters (ASOD), ASEAN Chiefs of National Police (ASEANAPOL), ASEAN</w:t>
      </w:r>
      <w:r>
        <w:rPr>
          <w:rFonts w:cstheme="minorHAnsi"/>
          <w:lang w:val="en-US"/>
        </w:rPr>
        <w:t xml:space="preserve"> </w:t>
      </w:r>
      <w:r w:rsidRPr="00B7507A">
        <w:rPr>
          <w:rFonts w:cstheme="minorHAnsi"/>
          <w:lang w:val="en-US"/>
        </w:rPr>
        <w:t>Directors-General of Customs,</w:t>
      </w:r>
      <w:r>
        <w:rPr>
          <w:rFonts w:cstheme="minorHAnsi"/>
          <w:lang w:val="en-US"/>
        </w:rPr>
        <w:t xml:space="preserve"> </w:t>
      </w:r>
      <w:bookmarkStart w:id="1" w:name="_Hlk108371528"/>
      <w:r w:rsidRPr="00B7507A">
        <w:rPr>
          <w:rFonts w:cstheme="minorHAnsi"/>
          <w:lang w:val="en-US"/>
        </w:rPr>
        <w:t>ASEAN</w:t>
      </w:r>
      <w:r>
        <w:rPr>
          <w:rFonts w:cstheme="minorHAnsi"/>
          <w:lang w:val="en-US"/>
        </w:rPr>
        <w:t xml:space="preserve"> </w:t>
      </w:r>
      <w:r w:rsidRPr="00B7507A">
        <w:rPr>
          <w:rFonts w:cstheme="minorHAnsi"/>
          <w:lang w:val="en-US"/>
        </w:rPr>
        <w:t>Directors-General of Immigration and Heads</w:t>
      </w:r>
      <w:r>
        <w:rPr>
          <w:rFonts w:cstheme="minorHAnsi"/>
          <w:lang w:val="en-US"/>
        </w:rPr>
        <w:t xml:space="preserve"> </w:t>
      </w:r>
      <w:r w:rsidRPr="00B7507A">
        <w:rPr>
          <w:rFonts w:cstheme="minorHAnsi"/>
          <w:lang w:val="en-US"/>
        </w:rPr>
        <w:t xml:space="preserve">of Consular Division, and Ministry of Foreign Affairs (DGCIM). </w:t>
      </w:r>
      <w:bookmarkEnd w:id="1"/>
      <w:r w:rsidRPr="00B7507A">
        <w:rPr>
          <w:rFonts w:cstheme="minorHAnsi"/>
          <w:lang w:val="en-US"/>
        </w:rPr>
        <w:t>A Senior Official</w:t>
      </w:r>
      <w:r>
        <w:rPr>
          <w:rFonts w:cstheme="minorHAnsi"/>
          <w:lang w:val="en-US"/>
        </w:rPr>
        <w:t xml:space="preserve"> </w:t>
      </w:r>
      <w:r w:rsidRPr="00B7507A">
        <w:rPr>
          <w:rFonts w:cstheme="minorHAnsi"/>
          <w:lang w:val="en-US"/>
        </w:rPr>
        <w:t>Meeting on Transnational Crime (SOMTC) is held annually to implement and</w:t>
      </w:r>
      <w:r>
        <w:rPr>
          <w:rFonts w:cstheme="minorHAnsi"/>
          <w:lang w:val="en-US"/>
        </w:rPr>
        <w:t xml:space="preserve"> </w:t>
      </w:r>
      <w:r w:rsidRPr="00B7507A">
        <w:rPr>
          <w:rFonts w:cstheme="minorHAnsi"/>
          <w:lang w:val="en-US"/>
        </w:rPr>
        <w:t>coordinate all the policies and action plans as outlined by AMMTC</w:t>
      </w:r>
      <w:r>
        <w:rPr>
          <w:rFonts w:cstheme="minorHAnsi"/>
          <w:lang w:val="en-US"/>
        </w:rPr>
        <w:t>. The SOMTC</w:t>
      </w:r>
    </w:p>
    <w:p w14:paraId="1CF5D03B" w14:textId="3A593015" w:rsidR="00572A33" w:rsidRPr="00B7507A" w:rsidRDefault="00572A33" w:rsidP="00B7507A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7507A">
        <w:rPr>
          <w:rFonts w:cstheme="minorHAnsi"/>
          <w:b/>
          <w:bCs/>
          <w:lang w:val="en-US"/>
        </w:rPr>
        <w:t xml:space="preserve">Maritime Security Issues Covered: </w:t>
      </w:r>
    </w:p>
    <w:p w14:paraId="1D4237FC" w14:textId="15528510" w:rsidR="00572A33" w:rsidRPr="00BF25C5" w:rsidRDefault="00B7507A" w:rsidP="00572A33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Piracy, human trafficking, wildlife trafficking, arms trafficking</w:t>
      </w:r>
      <w:r w:rsidR="00EA0DBA">
        <w:rPr>
          <w:rFonts w:cstheme="minorHAnsi"/>
          <w:szCs w:val="22"/>
          <w:lang w:val="en-US"/>
        </w:rPr>
        <w:t>, irregular migration</w:t>
      </w:r>
    </w:p>
    <w:p w14:paraId="106A7C24" w14:textId="71F73502" w:rsidR="00572A33" w:rsidRDefault="00572A33" w:rsidP="00572A33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Noteworthy documents and strategies: </w:t>
      </w:r>
    </w:p>
    <w:p w14:paraId="33B993D9" w14:textId="77777777" w:rsidR="00786785" w:rsidRPr="00BF25C5" w:rsidRDefault="00786785" w:rsidP="00786785">
      <w:pPr>
        <w:pStyle w:val="ListParagraph"/>
        <w:rPr>
          <w:rFonts w:cstheme="minorHAnsi"/>
          <w:b/>
          <w:bCs/>
          <w:lang w:val="en-US"/>
        </w:rPr>
      </w:pPr>
    </w:p>
    <w:p w14:paraId="60293064" w14:textId="64347DB6" w:rsidR="00572A33" w:rsidRPr="00786785" w:rsidRDefault="00786785" w:rsidP="00786785">
      <w:pPr>
        <w:pStyle w:val="ListParagraph"/>
        <w:numPr>
          <w:ilvl w:val="0"/>
          <w:numId w:val="4"/>
        </w:numPr>
        <w:rPr>
          <w:rFonts w:cstheme="minorHAnsi"/>
          <w:color w:val="000000"/>
        </w:rPr>
      </w:pPr>
      <w:r w:rsidRPr="00786785">
        <w:rPr>
          <w:rFonts w:cstheme="minorHAnsi"/>
          <w:color w:val="000000"/>
        </w:rPr>
        <w:t>Plan of Action to Combat Transnational Crime</w:t>
      </w:r>
    </w:p>
    <w:p w14:paraId="4CC7A20F" w14:textId="38C53F91" w:rsidR="00786785" w:rsidRPr="00786785" w:rsidRDefault="00786785" w:rsidP="00786785">
      <w:pPr>
        <w:pStyle w:val="ListParagraph"/>
        <w:numPr>
          <w:ilvl w:val="0"/>
          <w:numId w:val="4"/>
        </w:numPr>
        <w:rPr>
          <w:rFonts w:cstheme="minorHAnsi"/>
          <w:color w:val="000000"/>
        </w:rPr>
      </w:pPr>
      <w:r w:rsidRPr="00786785">
        <w:rPr>
          <w:rFonts w:cstheme="minorHAnsi"/>
          <w:color w:val="000000"/>
        </w:rPr>
        <w:t>ASEAN Declaration on Transnational Crime</w:t>
      </w:r>
    </w:p>
    <w:p w14:paraId="02247F63" w14:textId="7169CB10" w:rsidR="00786785" w:rsidRDefault="00786785" w:rsidP="00786785">
      <w:pPr>
        <w:pStyle w:val="ListParagraph"/>
        <w:numPr>
          <w:ilvl w:val="0"/>
          <w:numId w:val="4"/>
        </w:numPr>
        <w:rPr>
          <w:rFonts w:cstheme="minorHAnsi"/>
          <w:color w:val="000000"/>
        </w:rPr>
      </w:pPr>
      <w:r w:rsidRPr="00786785">
        <w:rPr>
          <w:rFonts w:cstheme="minorHAnsi"/>
          <w:color w:val="000000"/>
        </w:rPr>
        <w:t>SOMTC Work Programme</w:t>
      </w:r>
    </w:p>
    <w:p w14:paraId="02A01FD9" w14:textId="77777777" w:rsidR="00786785" w:rsidRPr="00786785" w:rsidRDefault="00786785" w:rsidP="00786785">
      <w:pPr>
        <w:pStyle w:val="ListParagraph"/>
        <w:rPr>
          <w:rFonts w:cstheme="minorHAnsi"/>
          <w:color w:val="000000"/>
        </w:rPr>
      </w:pPr>
    </w:p>
    <w:p w14:paraId="273258D3" w14:textId="77777777" w:rsidR="00572A33" w:rsidRPr="00FE189D" w:rsidRDefault="00572A33" w:rsidP="00572A33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FE189D">
        <w:rPr>
          <w:rFonts w:cstheme="minorHAnsi"/>
          <w:b/>
          <w:bCs/>
          <w:color w:val="000000"/>
          <w:lang w:bidi="th-TH"/>
        </w:rPr>
        <w:lastRenderedPageBreak/>
        <w:t xml:space="preserve">Meeting </w:t>
      </w:r>
      <w:r w:rsidRPr="00FE189D">
        <w:rPr>
          <w:rFonts w:cstheme="minorHAnsi"/>
          <w:b/>
          <w:bCs/>
          <w:lang w:val="en-US"/>
        </w:rPr>
        <w:t xml:space="preserve">Intensity: </w:t>
      </w:r>
    </w:p>
    <w:p w14:paraId="51867117" w14:textId="2B5A6396" w:rsidR="00572A33" w:rsidRPr="004E320C" w:rsidRDefault="00B7507A" w:rsidP="00572A33">
      <w:pPr>
        <w:rPr>
          <w:rFonts w:cstheme="minorHAnsi"/>
          <w:szCs w:val="22"/>
        </w:rPr>
      </w:pPr>
      <w:r>
        <w:rPr>
          <w:rFonts w:cstheme="minorHAnsi"/>
          <w:szCs w:val="22"/>
          <w:lang w:val="en-US"/>
        </w:rPr>
        <w:t xml:space="preserve">1 meeting </w:t>
      </w:r>
      <w:r w:rsidR="003E2603">
        <w:rPr>
          <w:rFonts w:cstheme="minorHAnsi"/>
          <w:szCs w:val="22"/>
          <w:lang w:val="en-US"/>
        </w:rPr>
        <w:t>of the AMMTC annually,</w:t>
      </w:r>
      <w:r>
        <w:rPr>
          <w:rFonts w:cstheme="minorHAnsi"/>
          <w:szCs w:val="22"/>
          <w:lang w:val="en-US"/>
        </w:rPr>
        <w:t xml:space="preserve"> with the SOMTC</w:t>
      </w:r>
      <w:r w:rsidR="003E2603">
        <w:rPr>
          <w:rFonts w:cstheme="minorHAnsi"/>
          <w:szCs w:val="22"/>
          <w:lang w:val="en-US"/>
        </w:rPr>
        <w:t xml:space="preserve"> also</w:t>
      </w:r>
      <w:r>
        <w:rPr>
          <w:rFonts w:cstheme="minorHAnsi"/>
          <w:szCs w:val="22"/>
          <w:lang w:val="en-US"/>
        </w:rPr>
        <w:t xml:space="preserve"> held annually.</w:t>
      </w:r>
      <w:r w:rsidR="003E2603">
        <w:rPr>
          <w:rFonts w:cstheme="minorHAnsi"/>
          <w:szCs w:val="22"/>
          <w:lang w:val="en-US"/>
        </w:rPr>
        <w:t xml:space="preserve"> SOMTC working groups meet once a year, but meetings were postponed during the pandemic. </w:t>
      </w:r>
      <w:r w:rsidR="00BE3EBD">
        <w:rPr>
          <w:rFonts w:cstheme="minorHAnsi"/>
          <w:szCs w:val="22"/>
          <w:lang w:val="en-US"/>
        </w:rPr>
        <w:t xml:space="preserve">Ad hoc emergency meetings are also held, such as the 2015 </w:t>
      </w:r>
      <w:r w:rsidR="00BE3EBD" w:rsidRPr="00BE3EBD">
        <w:rPr>
          <w:rFonts w:cstheme="minorHAnsi"/>
          <w:szCs w:val="22"/>
          <w:lang w:val="en-US"/>
        </w:rPr>
        <w:t>Emergency ASEAN Ministerial Meeting on Transnational Crime (EAMMTC) Concerning the Irregular Movement of Persons in the Southeast Asia Region</w:t>
      </w:r>
      <w:r w:rsidR="00BE3EBD">
        <w:rPr>
          <w:rFonts w:cstheme="minorHAnsi"/>
          <w:szCs w:val="22"/>
          <w:lang w:val="en-US"/>
        </w:rPr>
        <w:t xml:space="preserve">. </w:t>
      </w:r>
    </w:p>
    <w:p w14:paraId="2DAD626A" w14:textId="77777777" w:rsidR="00572A33" w:rsidRPr="00FE189D" w:rsidRDefault="00572A33" w:rsidP="00572A33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FE189D">
        <w:rPr>
          <w:rFonts w:cstheme="minorHAnsi"/>
          <w:b/>
          <w:bCs/>
          <w:lang w:val="en-US"/>
        </w:rPr>
        <w:t xml:space="preserve">Ongoing projects and activities: </w:t>
      </w:r>
    </w:p>
    <w:p w14:paraId="2FEC5FAF" w14:textId="7FA07D17" w:rsidR="00572A33" w:rsidRDefault="00786785" w:rsidP="00572A33">
      <w:pPr>
        <w:autoSpaceDE w:val="0"/>
        <w:autoSpaceDN w:val="0"/>
        <w:adjustRightInd w:val="0"/>
        <w:spacing w:after="0" w:line="240" w:lineRule="auto"/>
      </w:pPr>
      <w:r w:rsidRPr="00786785">
        <w:t>SOMTC Working Group on Trafficking in Persons</w:t>
      </w:r>
      <w:r>
        <w:t>. T</w:t>
      </w:r>
      <w:r w:rsidRPr="00786785">
        <w:t>he SOMTC WG on TIP facilitates exchange of information and experiences on issues related to trafficking in persons among the ASEAN Member States</w:t>
      </w:r>
      <w:r>
        <w:t>, and</w:t>
      </w:r>
      <w:r w:rsidRPr="00786785">
        <w:t xml:space="preserve"> considers ways and means to strengthen regional and international cooperation to prevent and combat trafficking in persons</w:t>
      </w:r>
    </w:p>
    <w:p w14:paraId="4AEBE9A5" w14:textId="576F3662" w:rsidR="00326CD9" w:rsidRDefault="00326CD9" w:rsidP="00572A33">
      <w:pPr>
        <w:autoSpaceDE w:val="0"/>
        <w:autoSpaceDN w:val="0"/>
        <w:adjustRightInd w:val="0"/>
        <w:spacing w:after="0" w:line="240" w:lineRule="auto"/>
      </w:pPr>
    </w:p>
    <w:p w14:paraId="60862677" w14:textId="645A4F60" w:rsidR="00326CD9" w:rsidRDefault="00326CD9" w:rsidP="00572A33">
      <w:pPr>
        <w:autoSpaceDE w:val="0"/>
        <w:autoSpaceDN w:val="0"/>
        <w:adjustRightInd w:val="0"/>
        <w:spacing w:after="0" w:line="240" w:lineRule="auto"/>
      </w:pPr>
      <w:r w:rsidRPr="00326CD9">
        <w:t>SOMTC Working Group on Arms Smuggling</w:t>
      </w:r>
      <w:r>
        <w:t>. T</w:t>
      </w:r>
      <w:r w:rsidRPr="00326CD9">
        <w:t xml:space="preserve">he Working Group aims to provide a platform for the ASEAN Member States to collaborate on capacity building, </w:t>
      </w:r>
      <w:proofErr w:type="gramStart"/>
      <w:r w:rsidRPr="00326CD9">
        <w:t>training</w:t>
      </w:r>
      <w:proofErr w:type="gramEnd"/>
      <w:r w:rsidRPr="00326CD9">
        <w:t xml:space="preserve"> and sharing of information related to combating arms smuggling.</w:t>
      </w:r>
    </w:p>
    <w:p w14:paraId="77A3F854" w14:textId="687AB948" w:rsidR="00326CD9" w:rsidRDefault="00326CD9" w:rsidP="00572A33">
      <w:pPr>
        <w:autoSpaceDE w:val="0"/>
        <w:autoSpaceDN w:val="0"/>
        <w:adjustRightInd w:val="0"/>
        <w:spacing w:after="0" w:line="240" w:lineRule="auto"/>
      </w:pPr>
    </w:p>
    <w:p w14:paraId="4722E848" w14:textId="2FCE2114" w:rsidR="00326CD9" w:rsidRDefault="00326CD9" w:rsidP="00572A33">
      <w:pPr>
        <w:autoSpaceDE w:val="0"/>
        <w:autoSpaceDN w:val="0"/>
        <w:adjustRightInd w:val="0"/>
        <w:spacing w:after="0" w:line="240" w:lineRule="auto"/>
      </w:pPr>
      <w:r w:rsidRPr="00326CD9">
        <w:t>SOMTC Working Group on Illicit Trafficking of Wildlife and Timber</w:t>
      </w:r>
      <w:r>
        <w:t>. T</w:t>
      </w:r>
      <w:r w:rsidRPr="00326CD9">
        <w:t>he SOMTC WG on ITWT aims to strengthen regional and international law enforcement cooperation, including through facilitating the exchange of information related to combating wildlife and timber trafficking.</w:t>
      </w:r>
    </w:p>
    <w:p w14:paraId="11D7BA16" w14:textId="1C0A8BDA" w:rsidR="00B434AB" w:rsidRDefault="00B434AB" w:rsidP="00572A33">
      <w:pPr>
        <w:autoSpaceDE w:val="0"/>
        <w:autoSpaceDN w:val="0"/>
        <w:adjustRightInd w:val="0"/>
        <w:spacing w:after="0" w:line="240" w:lineRule="auto"/>
      </w:pPr>
    </w:p>
    <w:p w14:paraId="11C3EF23" w14:textId="4CA80AF8" w:rsidR="00786785" w:rsidRDefault="00B434AB" w:rsidP="00572A33">
      <w:pPr>
        <w:autoSpaceDE w:val="0"/>
        <w:autoSpaceDN w:val="0"/>
        <w:adjustRightInd w:val="0"/>
        <w:spacing w:after="0" w:line="240" w:lineRule="auto"/>
      </w:pPr>
      <w:r w:rsidRPr="00B434AB">
        <w:t>SOMTC Working Group on General Transnational Crime Matters</w:t>
      </w:r>
      <w:r>
        <w:t xml:space="preserve"> is a new work plan, not yet fully adopted. </w:t>
      </w:r>
    </w:p>
    <w:p w14:paraId="08E816C8" w14:textId="77777777" w:rsidR="00786785" w:rsidRPr="00FE189D" w:rsidRDefault="00786785" w:rsidP="00572A3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A1F9285" w14:textId="77777777" w:rsidR="00572A33" w:rsidRDefault="00572A33" w:rsidP="00572A33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2C27F9">
        <w:rPr>
          <w:rFonts w:cstheme="minorHAnsi"/>
          <w:b/>
          <w:bCs/>
          <w:lang w:val="en-US"/>
        </w:rPr>
        <w:t xml:space="preserve">Funding structure: </w:t>
      </w:r>
    </w:p>
    <w:p w14:paraId="4844B8E8" w14:textId="32CD9AB1" w:rsidR="00572A33" w:rsidRPr="002C27F9" w:rsidRDefault="00EB26ED" w:rsidP="00572A33">
      <w:pPr>
        <w:rPr>
          <w:lang w:val="en-US"/>
        </w:rPr>
      </w:pPr>
      <w:r>
        <w:rPr>
          <w:lang w:val="en-US"/>
        </w:rPr>
        <w:t xml:space="preserve">Funded by the hose of the AMMTC, which rotates annually. </w:t>
      </w:r>
      <w:r w:rsidR="006032C6">
        <w:rPr>
          <w:lang w:val="en-US"/>
        </w:rPr>
        <w:t>Each member state pays for their own delegates.</w:t>
      </w:r>
    </w:p>
    <w:p w14:paraId="0F7665CA" w14:textId="77777777" w:rsidR="00572A33" w:rsidRPr="00BF25C5" w:rsidRDefault="00572A33" w:rsidP="00572A33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>Challenges:</w:t>
      </w:r>
    </w:p>
    <w:p w14:paraId="4C2BB120" w14:textId="77777777" w:rsidR="00572A33" w:rsidRDefault="00572A33" w:rsidP="00572A3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C27F9">
        <w:rPr>
          <w:rFonts w:asciiTheme="minorHAnsi" w:hAnsiTheme="minorHAnsi" w:cstheme="minorHAnsi"/>
          <w:sz w:val="22"/>
          <w:szCs w:val="22"/>
        </w:rPr>
        <w:t>As it takes place within the ASEAN structure, an ongoing challenge is its perception as a talking shop, tied into broader regional limits to cooperation</w:t>
      </w:r>
    </w:p>
    <w:p w14:paraId="4337020D" w14:textId="77777777" w:rsidR="00572A33" w:rsidRPr="00BF25C5" w:rsidRDefault="00572A33" w:rsidP="00572A33">
      <w:pPr>
        <w:pStyle w:val="Default"/>
        <w:rPr>
          <w:rStyle w:val="A7"/>
          <w:rFonts w:asciiTheme="minorHAnsi" w:hAnsiTheme="minorHAnsi" w:cstheme="minorHAnsi"/>
          <w:color w:val="000000"/>
        </w:rPr>
      </w:pPr>
    </w:p>
    <w:p w14:paraId="30567601" w14:textId="03AEA1BB" w:rsidR="00572A33" w:rsidRPr="003E2603" w:rsidRDefault="00572A33" w:rsidP="003E2603">
      <w:pPr>
        <w:pStyle w:val="ListParagraph"/>
        <w:numPr>
          <w:ilvl w:val="0"/>
          <w:numId w:val="2"/>
        </w:numPr>
        <w:rPr>
          <w:rFonts w:cstheme="minorHAnsi"/>
          <w:b/>
          <w:bCs/>
          <w:lang w:val="en-US"/>
        </w:rPr>
      </w:pPr>
      <w:r w:rsidRPr="003E2603">
        <w:rPr>
          <w:rFonts w:cstheme="minorHAnsi"/>
          <w:b/>
          <w:bCs/>
          <w:lang w:val="en-US"/>
        </w:rPr>
        <w:t xml:space="preserve">Cooperation or link with other arrangements: </w:t>
      </w:r>
    </w:p>
    <w:p w14:paraId="0E62E9C3" w14:textId="21125806" w:rsidR="003E2603" w:rsidRPr="003E2603" w:rsidRDefault="003E2603" w:rsidP="003E2603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ASOD; ASEANAPOL; DGCIM</w:t>
      </w:r>
    </w:p>
    <w:p w14:paraId="2DC31A1A" w14:textId="77777777" w:rsidR="00572A33" w:rsidRPr="00210CC5" w:rsidRDefault="00572A33" w:rsidP="00572A33">
      <w:pPr>
        <w:pStyle w:val="ListParagraph"/>
        <w:numPr>
          <w:ilvl w:val="0"/>
          <w:numId w:val="2"/>
        </w:numPr>
        <w:tabs>
          <w:tab w:val="left" w:pos="2016"/>
        </w:tabs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t>I</w:t>
      </w:r>
      <w:r w:rsidRPr="00210CC5">
        <w:rPr>
          <w:rFonts w:cstheme="minorHAnsi"/>
          <w:b/>
          <w:bCs/>
          <w:lang w:val="en-US"/>
        </w:rPr>
        <w:t xml:space="preserve">nstitutional contacts: </w:t>
      </w:r>
    </w:p>
    <w:p w14:paraId="30CD1F9A" w14:textId="77777777" w:rsidR="00572A33" w:rsidRPr="002C27F9" w:rsidRDefault="00572A33" w:rsidP="00572A33">
      <w:pPr>
        <w:pStyle w:val="ListParagraph"/>
        <w:rPr>
          <w:rFonts w:cstheme="minorHAnsi"/>
          <w:b/>
          <w:bCs/>
          <w:lang w:val="en-US"/>
        </w:rPr>
      </w:pPr>
    </w:p>
    <w:p w14:paraId="48422DB6" w14:textId="77777777" w:rsidR="00572A33" w:rsidRDefault="00572A33" w:rsidP="00572A33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F25C5">
        <w:rPr>
          <w:rFonts w:cstheme="minorHAnsi"/>
          <w:b/>
          <w:bCs/>
          <w:lang w:val="en-US"/>
        </w:rPr>
        <w:t>Noteworthy literature</w:t>
      </w:r>
      <w:r w:rsidRPr="00BF25C5">
        <w:rPr>
          <w:rFonts w:cstheme="minorHAnsi"/>
          <w:lang w:val="en-US"/>
        </w:rPr>
        <w:t xml:space="preserve">: </w:t>
      </w:r>
    </w:p>
    <w:p w14:paraId="2DE085FF" w14:textId="77777777" w:rsidR="00572A33" w:rsidRPr="002C27F9" w:rsidRDefault="00572A33" w:rsidP="00572A33">
      <w:pPr>
        <w:pStyle w:val="ListParagraph"/>
        <w:rPr>
          <w:rFonts w:cstheme="minorHAnsi"/>
          <w:lang w:val="en-US"/>
        </w:rPr>
      </w:pPr>
    </w:p>
    <w:p w14:paraId="19814A2D" w14:textId="7083CF35" w:rsidR="00572A33" w:rsidRDefault="00572A33" w:rsidP="00572A33">
      <w:pPr>
        <w:pStyle w:val="ListParagraph"/>
        <w:numPr>
          <w:ilvl w:val="0"/>
          <w:numId w:val="2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>Knowledge gaps to follow up on:</w:t>
      </w:r>
      <w:r w:rsidR="0052119E">
        <w:rPr>
          <w:rFonts w:cstheme="minorHAnsi"/>
          <w:b/>
          <w:bCs/>
          <w:lang w:val="en-US"/>
        </w:rPr>
        <w:t xml:space="preserve"> </w:t>
      </w:r>
    </w:p>
    <w:bookmarkEnd w:id="0"/>
    <w:p w14:paraId="10075F37" w14:textId="77777777" w:rsidR="00572A33" w:rsidRDefault="00572A33" w:rsidP="00572A33"/>
    <w:p w14:paraId="05DC83AC" w14:textId="77777777" w:rsidR="00572A33" w:rsidRPr="003D4F4D" w:rsidRDefault="00572A33" w:rsidP="00572A33">
      <w:pPr>
        <w:rPr>
          <w:lang w:val="en-US"/>
        </w:rPr>
      </w:pPr>
    </w:p>
    <w:p w14:paraId="0F05307A" w14:textId="77777777" w:rsidR="00445F40" w:rsidRDefault="00445F40"/>
    <w:sectPr w:rsidR="00445F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613F6"/>
    <w:multiLevelType w:val="hybridMultilevel"/>
    <w:tmpl w:val="FA123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25538"/>
    <w:multiLevelType w:val="hybridMultilevel"/>
    <w:tmpl w:val="60CCD9E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A267D"/>
    <w:multiLevelType w:val="hybridMultilevel"/>
    <w:tmpl w:val="C1C8A70E"/>
    <w:lvl w:ilvl="0" w:tplc="90EE8C1A">
      <w:start w:val="16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3249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7674324">
    <w:abstractNumId w:val="2"/>
  </w:num>
  <w:num w:numId="3" w16cid:durableId="1874079386">
    <w:abstractNumId w:val="1"/>
  </w:num>
  <w:num w:numId="4" w16cid:durableId="1680964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33"/>
    <w:rsid w:val="00326CD9"/>
    <w:rsid w:val="003E2603"/>
    <w:rsid w:val="00445F40"/>
    <w:rsid w:val="0052119E"/>
    <w:rsid w:val="00572A33"/>
    <w:rsid w:val="006032C6"/>
    <w:rsid w:val="00786785"/>
    <w:rsid w:val="00A31239"/>
    <w:rsid w:val="00B32A6B"/>
    <w:rsid w:val="00B434AB"/>
    <w:rsid w:val="00B7507A"/>
    <w:rsid w:val="00BE3EBD"/>
    <w:rsid w:val="00EA0DBA"/>
    <w:rsid w:val="00EB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B322B"/>
  <w15:chartTrackingRefBased/>
  <w15:docId w15:val="{51D44F25-398B-4C52-850E-742291DC8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A3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2A33"/>
    <w:pPr>
      <w:ind w:left="720"/>
      <w:contextualSpacing/>
    </w:pPr>
    <w:rPr>
      <w:szCs w:val="22"/>
      <w:lang w:bidi="ar-SA"/>
    </w:rPr>
  </w:style>
  <w:style w:type="paragraph" w:customStyle="1" w:styleId="Default">
    <w:name w:val="Default"/>
    <w:rsid w:val="00572A33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character" w:customStyle="1" w:styleId="A7">
    <w:name w:val="A7"/>
    <w:uiPriority w:val="99"/>
    <w:rsid w:val="00572A33"/>
    <w:rPr>
      <w:rFonts w:cs="Calibri Light"/>
      <w:color w:val="211D1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522</Words>
  <Characters>2980</Characters>
  <Application>Microsoft Office Word</Application>
  <DocSecurity>0</DocSecurity>
  <Lines>24</Lines>
  <Paragraphs>6</Paragraphs>
  <ScaleCrop>false</ScaleCrop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Edwards</dc:creator>
  <cp:keywords/>
  <dc:description/>
  <cp:lastModifiedBy>Timothy Edmunds</cp:lastModifiedBy>
  <cp:revision>13</cp:revision>
  <dcterms:created xsi:type="dcterms:W3CDTF">2022-07-10T17:21:00Z</dcterms:created>
  <dcterms:modified xsi:type="dcterms:W3CDTF">2024-01-26T10:37:00Z</dcterms:modified>
</cp:coreProperties>
</file>