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B8FA81" w14:textId="77777777" w:rsidR="0042018A" w:rsidRPr="00BF25C5" w:rsidRDefault="0042018A" w:rsidP="0042018A">
      <w:pPr>
        <w:pStyle w:val="ListParagraph"/>
        <w:numPr>
          <w:ilvl w:val="0"/>
          <w:numId w:val="1"/>
        </w:numPr>
        <w:rPr>
          <w:rFonts w:cstheme="minorHAnsi"/>
          <w:b/>
          <w:bCs/>
          <w:lang w:val="en-US"/>
        </w:rPr>
      </w:pPr>
      <w:bookmarkStart w:id="0" w:name="_Hlk40006575"/>
      <w:r w:rsidRPr="00BF25C5">
        <w:rPr>
          <w:rFonts w:cstheme="minorHAnsi"/>
          <w:b/>
          <w:bCs/>
          <w:lang w:val="en-US"/>
        </w:rPr>
        <w:t xml:space="preserve">Name: </w:t>
      </w:r>
    </w:p>
    <w:p w14:paraId="496F0C77" w14:textId="74F1316F" w:rsidR="0042018A" w:rsidRPr="00BF25C5" w:rsidRDefault="00FE189D" w:rsidP="0042018A">
      <w:pPr>
        <w:rPr>
          <w:rFonts w:cstheme="minorHAnsi"/>
          <w:szCs w:val="22"/>
          <w:lang w:val="en-US"/>
        </w:rPr>
      </w:pPr>
      <w:r>
        <w:rPr>
          <w:rFonts w:cstheme="minorHAnsi"/>
          <w:szCs w:val="22"/>
          <w:lang w:val="en-US"/>
        </w:rPr>
        <w:t>ASEAN</w:t>
      </w:r>
      <w:r w:rsidR="0070711A" w:rsidRPr="00BF25C5">
        <w:rPr>
          <w:rFonts w:cstheme="minorHAnsi"/>
          <w:szCs w:val="22"/>
          <w:lang w:val="en-US"/>
        </w:rPr>
        <w:t xml:space="preserve"> </w:t>
      </w:r>
      <w:proofErr w:type="spellStart"/>
      <w:r w:rsidR="0070711A" w:rsidRPr="00BF25C5">
        <w:rPr>
          <w:rFonts w:cstheme="minorHAnsi"/>
          <w:szCs w:val="22"/>
          <w:lang w:val="en-US"/>
        </w:rPr>
        <w:t>Defence</w:t>
      </w:r>
      <w:proofErr w:type="spellEnd"/>
      <w:r w:rsidR="0070711A" w:rsidRPr="00BF25C5">
        <w:rPr>
          <w:rFonts w:cstheme="minorHAnsi"/>
          <w:szCs w:val="22"/>
          <w:lang w:val="en-US"/>
        </w:rPr>
        <w:t xml:space="preserve"> Ministers Meeting</w:t>
      </w:r>
    </w:p>
    <w:p w14:paraId="443E16C2" w14:textId="77777777" w:rsidR="0042018A" w:rsidRPr="00BF25C5" w:rsidRDefault="0042018A" w:rsidP="0042018A">
      <w:pPr>
        <w:pStyle w:val="ListParagraph"/>
        <w:numPr>
          <w:ilvl w:val="0"/>
          <w:numId w:val="1"/>
        </w:numPr>
        <w:rPr>
          <w:rFonts w:cstheme="minorHAnsi"/>
          <w:b/>
          <w:bCs/>
          <w:lang w:val="en-US"/>
        </w:rPr>
      </w:pPr>
      <w:r w:rsidRPr="00BF25C5">
        <w:rPr>
          <w:rFonts w:cstheme="minorHAnsi"/>
          <w:b/>
          <w:bCs/>
          <w:lang w:val="en-US"/>
        </w:rPr>
        <w:t xml:space="preserve">Short description: </w:t>
      </w:r>
    </w:p>
    <w:p w14:paraId="53C98C75" w14:textId="21E100AA" w:rsidR="00460DCD" w:rsidRPr="00BF25C5" w:rsidRDefault="00460DCD" w:rsidP="00460DCD">
      <w:pPr>
        <w:rPr>
          <w:rFonts w:cstheme="minorHAnsi"/>
          <w:szCs w:val="22"/>
          <w:lang w:val="en-US"/>
        </w:rPr>
      </w:pPr>
      <w:r w:rsidRPr="00BF25C5">
        <w:rPr>
          <w:rFonts w:cstheme="minorHAnsi"/>
          <w:szCs w:val="22"/>
          <w:lang w:val="en-US"/>
        </w:rPr>
        <w:t xml:space="preserve">The </w:t>
      </w:r>
      <w:r w:rsidR="00FE189D">
        <w:rPr>
          <w:rFonts w:cstheme="minorHAnsi"/>
          <w:szCs w:val="22"/>
          <w:lang w:val="en-US"/>
        </w:rPr>
        <w:t>ADMM</w:t>
      </w:r>
      <w:r w:rsidRPr="00BF25C5">
        <w:rPr>
          <w:rFonts w:cstheme="minorHAnsi"/>
          <w:szCs w:val="22"/>
          <w:lang w:val="en-US"/>
        </w:rPr>
        <w:t xml:space="preserve"> is the highest ministerial </w:t>
      </w:r>
      <w:proofErr w:type="spellStart"/>
      <w:r w:rsidRPr="00BF25C5">
        <w:rPr>
          <w:rFonts w:cstheme="minorHAnsi"/>
          <w:szCs w:val="22"/>
          <w:lang w:val="en-US"/>
        </w:rPr>
        <w:t>defence</w:t>
      </w:r>
      <w:proofErr w:type="spellEnd"/>
      <w:r w:rsidRPr="00BF25C5">
        <w:rPr>
          <w:rFonts w:cstheme="minorHAnsi"/>
          <w:szCs w:val="22"/>
          <w:lang w:val="en-US"/>
        </w:rPr>
        <w:t xml:space="preserve"> and security consultative and cooperative mechanism in </w:t>
      </w:r>
      <w:r w:rsidR="00FE189D">
        <w:rPr>
          <w:rFonts w:cstheme="minorHAnsi"/>
          <w:szCs w:val="22"/>
          <w:lang w:val="en-US"/>
        </w:rPr>
        <w:t>ASEAN</w:t>
      </w:r>
      <w:r w:rsidRPr="00BF25C5">
        <w:rPr>
          <w:rFonts w:cstheme="minorHAnsi"/>
          <w:szCs w:val="22"/>
          <w:lang w:val="en-US"/>
        </w:rPr>
        <w:t>.</w:t>
      </w:r>
    </w:p>
    <w:p w14:paraId="080E0EF4" w14:textId="2E1690D0" w:rsidR="0042018A" w:rsidRPr="00BF25C5" w:rsidRDefault="0042018A" w:rsidP="00460DCD">
      <w:pPr>
        <w:pStyle w:val="ListParagraph"/>
        <w:numPr>
          <w:ilvl w:val="0"/>
          <w:numId w:val="1"/>
        </w:numPr>
        <w:rPr>
          <w:rFonts w:cstheme="minorHAnsi"/>
          <w:b/>
          <w:bCs/>
          <w:lang w:val="en-US"/>
        </w:rPr>
      </w:pPr>
      <w:r w:rsidRPr="00BF25C5">
        <w:rPr>
          <w:rFonts w:cstheme="minorHAnsi"/>
          <w:lang w:val="en-US" w:bidi="th-TH"/>
        </w:rPr>
        <w:t xml:space="preserve"> </w:t>
      </w:r>
      <w:r w:rsidRPr="00BF25C5">
        <w:rPr>
          <w:rFonts w:cstheme="minorHAnsi"/>
          <w:b/>
          <w:bCs/>
          <w:lang w:val="en-US"/>
        </w:rPr>
        <w:t xml:space="preserve">Formality: </w:t>
      </w:r>
    </w:p>
    <w:p w14:paraId="1E606296" w14:textId="3C958222" w:rsidR="0042018A" w:rsidRPr="00BF25C5" w:rsidRDefault="00460DCD" w:rsidP="0042018A">
      <w:pPr>
        <w:rPr>
          <w:rFonts w:cstheme="minorHAnsi"/>
          <w:szCs w:val="22"/>
          <w:lang w:val="en-US"/>
        </w:rPr>
      </w:pPr>
      <w:r w:rsidRPr="00BF25C5">
        <w:rPr>
          <w:rFonts w:cstheme="minorHAnsi"/>
          <w:szCs w:val="22"/>
          <w:lang w:val="en-US"/>
        </w:rPr>
        <w:t xml:space="preserve">Formal. </w:t>
      </w:r>
      <w:r w:rsidR="00A3418C" w:rsidRPr="00BF25C5">
        <w:rPr>
          <w:rFonts w:cstheme="minorHAnsi"/>
          <w:szCs w:val="22"/>
          <w:lang w:val="en-US"/>
        </w:rPr>
        <w:t xml:space="preserve">Operates within the </w:t>
      </w:r>
      <w:r w:rsidR="00FE189D">
        <w:rPr>
          <w:rFonts w:cstheme="minorHAnsi"/>
          <w:szCs w:val="22"/>
          <w:lang w:val="en-US"/>
        </w:rPr>
        <w:t>ASEAN</w:t>
      </w:r>
      <w:r w:rsidR="00A3418C" w:rsidRPr="00BF25C5">
        <w:rPr>
          <w:rFonts w:cstheme="minorHAnsi"/>
          <w:szCs w:val="22"/>
          <w:lang w:val="en-US"/>
        </w:rPr>
        <w:t xml:space="preserve"> Secretariat</w:t>
      </w:r>
    </w:p>
    <w:p w14:paraId="72B2D3F4" w14:textId="77777777" w:rsidR="0042018A" w:rsidRPr="00BF25C5" w:rsidRDefault="0042018A" w:rsidP="0042018A">
      <w:pPr>
        <w:pStyle w:val="ListParagraph"/>
        <w:numPr>
          <w:ilvl w:val="0"/>
          <w:numId w:val="1"/>
        </w:numPr>
        <w:rPr>
          <w:rFonts w:cstheme="minorHAnsi"/>
          <w:b/>
          <w:bCs/>
          <w:lang w:val="en-US"/>
        </w:rPr>
      </w:pPr>
      <w:r w:rsidRPr="00BF25C5">
        <w:rPr>
          <w:rFonts w:cstheme="minorHAnsi"/>
          <w:b/>
          <w:bCs/>
          <w:lang w:val="en-US"/>
        </w:rPr>
        <w:t xml:space="preserve">Regional coverage: </w:t>
      </w:r>
    </w:p>
    <w:p w14:paraId="517A3213" w14:textId="2EAA7546" w:rsidR="0042018A" w:rsidRPr="00BF25C5" w:rsidRDefault="0042018A" w:rsidP="0042018A">
      <w:pPr>
        <w:rPr>
          <w:rFonts w:cstheme="minorHAnsi"/>
          <w:szCs w:val="22"/>
          <w:lang w:val="en-US"/>
        </w:rPr>
      </w:pPr>
      <w:r w:rsidRPr="00BF25C5">
        <w:rPr>
          <w:rFonts w:cstheme="minorHAnsi"/>
          <w:szCs w:val="22"/>
          <w:lang w:val="en-US"/>
        </w:rPr>
        <w:t xml:space="preserve">Southeast Asia </w:t>
      </w:r>
    </w:p>
    <w:p w14:paraId="57DFD53F" w14:textId="77777777" w:rsidR="0042018A" w:rsidRPr="00BF25C5" w:rsidRDefault="0042018A" w:rsidP="0042018A">
      <w:pPr>
        <w:pStyle w:val="ListParagraph"/>
        <w:numPr>
          <w:ilvl w:val="0"/>
          <w:numId w:val="1"/>
        </w:numPr>
        <w:rPr>
          <w:rFonts w:cstheme="minorHAnsi"/>
          <w:b/>
          <w:bCs/>
          <w:lang w:val="en-US"/>
        </w:rPr>
      </w:pPr>
      <w:r w:rsidRPr="00BF25C5">
        <w:rPr>
          <w:rFonts w:cstheme="minorHAnsi"/>
          <w:b/>
          <w:bCs/>
          <w:lang w:val="en-US"/>
        </w:rPr>
        <w:t xml:space="preserve">Members (including states and non-states): </w:t>
      </w:r>
    </w:p>
    <w:p w14:paraId="4104C3A1" w14:textId="2D306901" w:rsidR="0042018A" w:rsidRPr="00BF25C5" w:rsidRDefault="0042018A" w:rsidP="0042018A">
      <w:pPr>
        <w:rPr>
          <w:rFonts w:cstheme="minorHAnsi"/>
          <w:szCs w:val="22"/>
          <w:lang w:val="en-US"/>
        </w:rPr>
      </w:pPr>
      <w:r w:rsidRPr="00BF25C5">
        <w:rPr>
          <w:rFonts w:cstheme="minorHAnsi"/>
          <w:szCs w:val="22"/>
          <w:lang w:val="en-US"/>
        </w:rPr>
        <w:t xml:space="preserve">Indonesia, Malaysia, </w:t>
      </w:r>
      <w:r w:rsidR="00460DCD" w:rsidRPr="00BF25C5">
        <w:rPr>
          <w:rFonts w:cstheme="minorHAnsi"/>
          <w:szCs w:val="22"/>
          <w:lang w:val="en-US"/>
        </w:rPr>
        <w:t>Thailand, Singapore, Brunei, Philippines, Myanmar, Cambodia, Vietnam, Laos</w:t>
      </w:r>
    </w:p>
    <w:p w14:paraId="4BB949CC" w14:textId="77D8D1C8" w:rsidR="00460DCD" w:rsidRPr="00BF25C5" w:rsidRDefault="0042018A" w:rsidP="00BF25C5">
      <w:pPr>
        <w:pStyle w:val="ListParagraph"/>
        <w:numPr>
          <w:ilvl w:val="0"/>
          <w:numId w:val="1"/>
        </w:numPr>
        <w:autoSpaceDE w:val="0"/>
        <w:autoSpaceDN w:val="0"/>
        <w:adjustRightInd w:val="0"/>
        <w:spacing w:after="0" w:line="240" w:lineRule="auto"/>
        <w:rPr>
          <w:rFonts w:cstheme="minorHAnsi"/>
        </w:rPr>
      </w:pPr>
      <w:r w:rsidRPr="00BF25C5">
        <w:rPr>
          <w:rFonts w:cstheme="minorHAnsi"/>
          <w:b/>
          <w:bCs/>
          <w:lang w:val="en-US"/>
        </w:rPr>
        <w:t xml:space="preserve">Includes non-state </w:t>
      </w:r>
      <w:proofErr w:type="gramStart"/>
      <w:r w:rsidRPr="00BF25C5">
        <w:rPr>
          <w:rFonts w:cstheme="minorHAnsi"/>
          <w:b/>
          <w:bCs/>
          <w:lang w:val="en-US"/>
        </w:rPr>
        <w:t>actors?</w:t>
      </w:r>
      <w:proofErr w:type="gramEnd"/>
      <w:r w:rsidRPr="00BF25C5">
        <w:rPr>
          <w:rFonts w:cstheme="minorHAnsi"/>
          <w:b/>
          <w:bCs/>
          <w:lang w:val="en-US"/>
        </w:rPr>
        <w:t xml:space="preserve"> </w:t>
      </w:r>
    </w:p>
    <w:p w14:paraId="6737C35C" w14:textId="77777777" w:rsidR="00460DCD" w:rsidRPr="00BF25C5" w:rsidRDefault="00460DCD" w:rsidP="00460DCD">
      <w:pPr>
        <w:autoSpaceDE w:val="0"/>
        <w:autoSpaceDN w:val="0"/>
        <w:adjustRightInd w:val="0"/>
        <w:spacing w:after="0" w:line="240" w:lineRule="auto"/>
        <w:rPr>
          <w:rFonts w:cstheme="minorHAnsi"/>
          <w:szCs w:val="22"/>
        </w:rPr>
      </w:pPr>
    </w:p>
    <w:p w14:paraId="0270A224" w14:textId="59484899" w:rsidR="00BF25C5" w:rsidRPr="00BF25C5" w:rsidRDefault="00460DCD" w:rsidP="00BF25C5">
      <w:pPr>
        <w:autoSpaceDE w:val="0"/>
        <w:autoSpaceDN w:val="0"/>
        <w:adjustRightInd w:val="0"/>
        <w:spacing w:after="0" w:line="240" w:lineRule="auto"/>
        <w:rPr>
          <w:rFonts w:cstheme="minorHAnsi"/>
          <w:szCs w:val="22"/>
        </w:rPr>
      </w:pPr>
      <w:r w:rsidRPr="00BF25C5">
        <w:rPr>
          <w:rFonts w:cstheme="minorHAnsi"/>
          <w:szCs w:val="22"/>
        </w:rPr>
        <w:t xml:space="preserve">There are mechanisms for the inclusion of non-state actors, but this is highly </w:t>
      </w:r>
      <w:proofErr w:type="gramStart"/>
      <w:r w:rsidRPr="00BF25C5">
        <w:rPr>
          <w:rFonts w:cstheme="minorHAnsi"/>
          <w:szCs w:val="22"/>
        </w:rPr>
        <w:t>regulated</w:t>
      </w:r>
      <w:proofErr w:type="gramEnd"/>
      <w:r w:rsidRPr="00BF25C5">
        <w:rPr>
          <w:rFonts w:cstheme="minorHAnsi"/>
          <w:szCs w:val="22"/>
        </w:rPr>
        <w:t xml:space="preserve"> and their presence is not permitted at Senior Officials’ meetings</w:t>
      </w:r>
      <w:r w:rsidR="001864BE" w:rsidRPr="00BF25C5">
        <w:rPr>
          <w:rFonts w:cstheme="minorHAnsi"/>
          <w:szCs w:val="22"/>
        </w:rPr>
        <w:t xml:space="preserve">, </w:t>
      </w:r>
      <w:r w:rsidRPr="00BF25C5">
        <w:rPr>
          <w:rFonts w:cstheme="minorHAnsi"/>
          <w:szCs w:val="22"/>
        </w:rPr>
        <w:t>Senior Officials’ working group meetings</w:t>
      </w:r>
      <w:r w:rsidR="001864BE" w:rsidRPr="00BF25C5">
        <w:rPr>
          <w:rFonts w:cstheme="minorHAnsi"/>
          <w:szCs w:val="22"/>
        </w:rPr>
        <w:t>, or policy meetings</w:t>
      </w:r>
      <w:r w:rsidRPr="00BF25C5">
        <w:rPr>
          <w:rFonts w:cstheme="minorHAnsi"/>
          <w:szCs w:val="22"/>
        </w:rPr>
        <w:t xml:space="preserve">. Subject Matter Experts (SMEs) can be invited to </w:t>
      </w:r>
      <w:r w:rsidR="001864BE" w:rsidRPr="00BF25C5">
        <w:rPr>
          <w:rFonts w:cstheme="minorHAnsi"/>
          <w:szCs w:val="22"/>
        </w:rPr>
        <w:t xml:space="preserve">exercises, workshops and seminars. </w:t>
      </w:r>
      <w:r w:rsidR="00BF25C5" w:rsidRPr="00BF25C5">
        <w:rPr>
          <w:rFonts w:cstheme="minorHAnsi"/>
          <w:szCs w:val="22"/>
        </w:rPr>
        <w:t xml:space="preserve">The </w:t>
      </w:r>
      <w:r w:rsidR="00FE189D">
        <w:rPr>
          <w:rFonts w:cstheme="minorHAnsi"/>
          <w:szCs w:val="22"/>
        </w:rPr>
        <w:t>ADMM</w:t>
      </w:r>
      <w:r w:rsidR="00BF25C5" w:rsidRPr="00BF25C5">
        <w:rPr>
          <w:rFonts w:cstheme="minorHAnsi"/>
          <w:szCs w:val="22"/>
        </w:rPr>
        <w:t xml:space="preserve"> has a protocol paper that allows chairs of the Expert Working Groups to allow for participation for international organisations and non-governmental organisations. It also allows for cooperation with Civil Society Organisations through the Concept Paper on the </w:t>
      </w:r>
      <w:r w:rsidR="00FE189D">
        <w:rPr>
          <w:rFonts w:cstheme="minorHAnsi"/>
          <w:szCs w:val="22"/>
        </w:rPr>
        <w:t>ASEAN</w:t>
      </w:r>
      <w:r w:rsidR="00BF25C5" w:rsidRPr="00BF25C5">
        <w:rPr>
          <w:rFonts w:cstheme="minorHAnsi"/>
          <w:szCs w:val="22"/>
        </w:rPr>
        <w:t xml:space="preserve"> Defence</w:t>
      </w:r>
    </w:p>
    <w:p w14:paraId="2049CDBD" w14:textId="139F5B60" w:rsidR="00460DCD" w:rsidRPr="00BF25C5" w:rsidRDefault="00BF25C5" w:rsidP="00BF25C5">
      <w:pPr>
        <w:autoSpaceDE w:val="0"/>
        <w:autoSpaceDN w:val="0"/>
        <w:adjustRightInd w:val="0"/>
        <w:spacing w:after="0" w:line="240" w:lineRule="auto"/>
        <w:rPr>
          <w:rFonts w:cstheme="minorHAnsi"/>
          <w:szCs w:val="22"/>
        </w:rPr>
      </w:pPr>
      <w:r w:rsidRPr="00BF25C5">
        <w:rPr>
          <w:rFonts w:cstheme="minorHAnsi"/>
          <w:szCs w:val="22"/>
        </w:rPr>
        <w:t>Establishments and CSOs Cooperation on Non‐Traditional Security.</w:t>
      </w:r>
    </w:p>
    <w:p w14:paraId="31679E1D" w14:textId="77777777" w:rsidR="00460DCD" w:rsidRPr="00BF25C5" w:rsidRDefault="00460DCD" w:rsidP="00460DCD">
      <w:pPr>
        <w:autoSpaceDE w:val="0"/>
        <w:autoSpaceDN w:val="0"/>
        <w:adjustRightInd w:val="0"/>
        <w:spacing w:after="0" w:line="240" w:lineRule="auto"/>
        <w:rPr>
          <w:rFonts w:cstheme="minorHAnsi"/>
          <w:szCs w:val="22"/>
        </w:rPr>
      </w:pPr>
    </w:p>
    <w:p w14:paraId="1FD3D6EB" w14:textId="113F135E" w:rsidR="0042018A" w:rsidRPr="00BF25C5" w:rsidRDefault="0042018A" w:rsidP="00BF25C5">
      <w:pPr>
        <w:pStyle w:val="ListParagraph"/>
        <w:numPr>
          <w:ilvl w:val="0"/>
          <w:numId w:val="1"/>
        </w:numPr>
        <w:rPr>
          <w:rFonts w:cstheme="minorHAnsi"/>
          <w:b/>
          <w:bCs/>
          <w:lang w:val="en-US"/>
        </w:rPr>
      </w:pPr>
      <w:r w:rsidRPr="00BF25C5">
        <w:rPr>
          <w:rFonts w:cstheme="minorHAnsi"/>
          <w:b/>
          <w:bCs/>
          <w:lang w:val="en-US"/>
        </w:rPr>
        <w:t xml:space="preserve">Date created: </w:t>
      </w:r>
    </w:p>
    <w:p w14:paraId="1CE8B643" w14:textId="10113E75" w:rsidR="0042018A" w:rsidRPr="00BF25C5" w:rsidRDefault="0042018A" w:rsidP="0042018A">
      <w:pPr>
        <w:rPr>
          <w:rFonts w:cstheme="minorHAnsi"/>
          <w:szCs w:val="22"/>
          <w:lang w:val="en-US"/>
        </w:rPr>
      </w:pPr>
      <w:r w:rsidRPr="00BF25C5">
        <w:rPr>
          <w:rFonts w:cstheme="minorHAnsi"/>
          <w:szCs w:val="22"/>
          <w:lang w:val="en-US"/>
        </w:rPr>
        <w:t>200</w:t>
      </w:r>
      <w:r w:rsidR="00A3418C" w:rsidRPr="00BF25C5">
        <w:rPr>
          <w:rFonts w:cstheme="minorHAnsi"/>
          <w:szCs w:val="22"/>
          <w:lang w:val="en-US"/>
        </w:rPr>
        <w:t>6</w:t>
      </w:r>
    </w:p>
    <w:p w14:paraId="26A4F2DC" w14:textId="77777777" w:rsidR="0042018A" w:rsidRPr="00BF25C5" w:rsidRDefault="0042018A" w:rsidP="00BF25C5">
      <w:pPr>
        <w:pStyle w:val="ListParagraph"/>
        <w:numPr>
          <w:ilvl w:val="0"/>
          <w:numId w:val="1"/>
        </w:numPr>
        <w:rPr>
          <w:rFonts w:cstheme="minorHAnsi"/>
          <w:b/>
          <w:bCs/>
          <w:lang w:val="en-US"/>
        </w:rPr>
      </w:pPr>
      <w:r w:rsidRPr="00BF25C5">
        <w:rPr>
          <w:rFonts w:cstheme="minorHAnsi"/>
          <w:b/>
          <w:bCs/>
          <w:lang w:val="en-US"/>
        </w:rPr>
        <w:t>Date visibly started to engage with maritime security (</w:t>
      </w:r>
      <w:proofErr w:type="gramStart"/>
      <w:r w:rsidRPr="00BF25C5">
        <w:rPr>
          <w:rFonts w:cstheme="minorHAnsi"/>
          <w:b/>
          <w:bCs/>
          <w:lang w:val="en-US"/>
        </w:rPr>
        <w:t>e.g.</w:t>
      </w:r>
      <w:proofErr w:type="gramEnd"/>
      <w:r w:rsidRPr="00BF25C5">
        <w:rPr>
          <w:rFonts w:cstheme="minorHAnsi"/>
          <w:b/>
          <w:bCs/>
          <w:lang w:val="en-US"/>
        </w:rPr>
        <w:t xml:space="preserve"> first document that refers to it):</w:t>
      </w:r>
    </w:p>
    <w:p w14:paraId="21059AD5" w14:textId="5199940A" w:rsidR="0042018A" w:rsidRPr="00BF25C5" w:rsidRDefault="00A24491" w:rsidP="0042018A">
      <w:pPr>
        <w:rPr>
          <w:rFonts w:cstheme="minorHAnsi"/>
          <w:szCs w:val="22"/>
          <w:lang w:val="en-US"/>
        </w:rPr>
      </w:pPr>
      <w:r w:rsidRPr="00BF25C5">
        <w:rPr>
          <w:rFonts w:cstheme="minorHAnsi"/>
          <w:szCs w:val="22"/>
          <w:lang w:val="en-US"/>
        </w:rPr>
        <w:t xml:space="preserve">Arguably </w:t>
      </w:r>
      <w:r w:rsidR="00BF25C5">
        <w:rPr>
          <w:rFonts w:cstheme="minorHAnsi"/>
          <w:szCs w:val="22"/>
          <w:lang w:val="en-US"/>
        </w:rPr>
        <w:t>since its foundation given that it had a broad view of security. There is an</w:t>
      </w:r>
      <w:r w:rsidRPr="00BF25C5">
        <w:rPr>
          <w:rFonts w:cstheme="minorHAnsi"/>
          <w:szCs w:val="22"/>
          <w:lang w:val="en-US"/>
        </w:rPr>
        <w:t xml:space="preserve"> explicit reference to ‘non-traditional security threats’ made in 2009</w:t>
      </w:r>
      <w:r w:rsidR="00C40AE0" w:rsidRPr="00BF25C5">
        <w:rPr>
          <w:rFonts w:cstheme="minorHAnsi"/>
          <w:szCs w:val="22"/>
          <w:lang w:val="en-US"/>
        </w:rPr>
        <w:t xml:space="preserve">, with also ‘transboundary’ issues &amp; maritime safety in the 2011 work plan, but no explicit mention of maritime security until the </w:t>
      </w:r>
      <w:r w:rsidR="00BF25C5">
        <w:rPr>
          <w:rFonts w:cstheme="minorHAnsi"/>
          <w:szCs w:val="22"/>
          <w:lang w:val="en-US"/>
        </w:rPr>
        <w:t>2013 work plan.</w:t>
      </w:r>
    </w:p>
    <w:p w14:paraId="6F11A259" w14:textId="77777777" w:rsidR="0042018A" w:rsidRPr="00BF25C5" w:rsidRDefault="0042018A" w:rsidP="00BF25C5">
      <w:pPr>
        <w:pStyle w:val="ListParagraph"/>
        <w:numPr>
          <w:ilvl w:val="0"/>
          <w:numId w:val="1"/>
        </w:numPr>
        <w:rPr>
          <w:rFonts w:cstheme="minorHAnsi"/>
          <w:b/>
          <w:bCs/>
          <w:lang w:val="en-US"/>
        </w:rPr>
      </w:pPr>
      <w:r w:rsidRPr="00BF25C5">
        <w:rPr>
          <w:rFonts w:cstheme="minorHAnsi"/>
          <w:b/>
          <w:bCs/>
          <w:lang w:val="en-US"/>
        </w:rPr>
        <w:t xml:space="preserve">Brief History and Description: </w:t>
      </w:r>
    </w:p>
    <w:p w14:paraId="62A40A63" w14:textId="761BAD91" w:rsidR="00A3418C" w:rsidRPr="00BF25C5" w:rsidRDefault="00A3418C" w:rsidP="00BF25C5">
      <w:pPr>
        <w:rPr>
          <w:rFonts w:cstheme="minorHAnsi"/>
          <w:lang w:val="en-US"/>
        </w:rPr>
      </w:pPr>
      <w:r w:rsidRPr="00BF25C5">
        <w:rPr>
          <w:rFonts w:cstheme="minorHAnsi"/>
          <w:lang w:val="en-US"/>
        </w:rPr>
        <w:t xml:space="preserve">The </w:t>
      </w:r>
      <w:r w:rsidR="00FE189D">
        <w:rPr>
          <w:rFonts w:cstheme="minorHAnsi"/>
          <w:lang w:val="en-US"/>
        </w:rPr>
        <w:t>ASEAN</w:t>
      </w:r>
      <w:r w:rsidRPr="00BF25C5">
        <w:rPr>
          <w:rFonts w:cstheme="minorHAnsi"/>
          <w:lang w:val="en-US"/>
        </w:rPr>
        <w:t xml:space="preserve"> Security Community (ASC) Plan of Action</w:t>
      </w:r>
      <w:r w:rsidR="00BF25C5">
        <w:rPr>
          <w:rFonts w:cstheme="minorHAnsi"/>
          <w:lang w:val="en-US"/>
        </w:rPr>
        <w:t xml:space="preserve"> stipulated </w:t>
      </w:r>
      <w:r w:rsidRPr="00BF25C5">
        <w:rPr>
          <w:rFonts w:cstheme="minorHAnsi"/>
          <w:lang w:val="en-US"/>
        </w:rPr>
        <w:t xml:space="preserve">that </w:t>
      </w:r>
      <w:r w:rsidR="00FE189D">
        <w:rPr>
          <w:rFonts w:cstheme="minorHAnsi"/>
          <w:lang w:val="en-US"/>
        </w:rPr>
        <w:t>ASEAN</w:t>
      </w:r>
      <w:r w:rsidRPr="00BF25C5">
        <w:rPr>
          <w:rFonts w:cstheme="minorHAnsi"/>
          <w:lang w:val="en-US"/>
        </w:rPr>
        <w:t xml:space="preserve"> shall work towards the convening of an annual </w:t>
      </w:r>
      <w:r w:rsidR="00FE189D">
        <w:rPr>
          <w:rFonts w:cstheme="minorHAnsi"/>
          <w:lang w:val="en-US"/>
        </w:rPr>
        <w:t>ASEAN</w:t>
      </w:r>
      <w:r w:rsidRPr="00BF25C5">
        <w:rPr>
          <w:rFonts w:cstheme="minorHAnsi"/>
          <w:lang w:val="en-US"/>
        </w:rPr>
        <w:t xml:space="preserve"> </w:t>
      </w:r>
      <w:proofErr w:type="spellStart"/>
      <w:r w:rsidRPr="00BF25C5">
        <w:rPr>
          <w:rFonts w:cstheme="minorHAnsi"/>
          <w:lang w:val="en-US"/>
        </w:rPr>
        <w:t>Defence</w:t>
      </w:r>
      <w:proofErr w:type="spellEnd"/>
      <w:r w:rsidRPr="00BF25C5">
        <w:rPr>
          <w:rFonts w:cstheme="minorHAnsi"/>
          <w:lang w:val="en-US"/>
        </w:rPr>
        <w:t xml:space="preserve"> Ministers' Meeting. Against this background, the Inaugural meeting of the </w:t>
      </w:r>
      <w:r w:rsidR="00FE189D">
        <w:rPr>
          <w:rFonts w:cstheme="minorHAnsi"/>
          <w:lang w:val="en-US"/>
        </w:rPr>
        <w:t>ADMM</w:t>
      </w:r>
      <w:r w:rsidRPr="00BF25C5">
        <w:rPr>
          <w:rFonts w:cstheme="minorHAnsi"/>
          <w:lang w:val="en-US"/>
        </w:rPr>
        <w:t xml:space="preserve"> was held in Kuala Lumpur on 9 May 2006.</w:t>
      </w:r>
    </w:p>
    <w:p w14:paraId="67E9BEE2" w14:textId="4E058E2F" w:rsidR="004961C9" w:rsidRPr="00BF25C5" w:rsidRDefault="00A3418C" w:rsidP="00BF25C5">
      <w:pPr>
        <w:rPr>
          <w:rFonts w:cstheme="minorHAnsi"/>
          <w:b/>
          <w:bCs/>
          <w:szCs w:val="22"/>
          <w:lang w:val="en-US" w:bidi="ar-SA"/>
        </w:rPr>
      </w:pPr>
      <w:r w:rsidRPr="00BF25C5">
        <w:rPr>
          <w:rFonts w:cstheme="minorHAnsi"/>
          <w:lang w:val="en-US"/>
        </w:rPr>
        <w:t xml:space="preserve">The </w:t>
      </w:r>
      <w:r w:rsidR="00FE189D">
        <w:rPr>
          <w:rFonts w:cstheme="minorHAnsi"/>
          <w:lang w:val="en-US"/>
        </w:rPr>
        <w:t>ADMM</w:t>
      </w:r>
      <w:r w:rsidRPr="00BF25C5">
        <w:rPr>
          <w:rFonts w:cstheme="minorHAnsi"/>
          <w:lang w:val="en-US"/>
        </w:rPr>
        <w:t xml:space="preserve"> is the highest </w:t>
      </w:r>
      <w:proofErr w:type="spellStart"/>
      <w:r w:rsidRPr="00BF25C5">
        <w:rPr>
          <w:rFonts w:cstheme="minorHAnsi"/>
          <w:lang w:val="en-US"/>
        </w:rPr>
        <w:t>defence</w:t>
      </w:r>
      <w:proofErr w:type="spellEnd"/>
      <w:r w:rsidRPr="00BF25C5">
        <w:rPr>
          <w:rFonts w:cstheme="minorHAnsi"/>
          <w:lang w:val="en-US"/>
        </w:rPr>
        <w:t xml:space="preserve"> consultative and cooperative mechanism in </w:t>
      </w:r>
      <w:r w:rsidR="00FE189D">
        <w:rPr>
          <w:rFonts w:cstheme="minorHAnsi"/>
          <w:lang w:val="en-US"/>
        </w:rPr>
        <w:t>ASEAN</w:t>
      </w:r>
      <w:r w:rsidRPr="00BF25C5">
        <w:rPr>
          <w:rFonts w:cstheme="minorHAnsi"/>
          <w:lang w:val="en-US"/>
        </w:rPr>
        <w:t xml:space="preserve">. The </w:t>
      </w:r>
      <w:r w:rsidR="00FE189D">
        <w:rPr>
          <w:rFonts w:cstheme="minorHAnsi"/>
          <w:lang w:val="en-US"/>
        </w:rPr>
        <w:t>ADMM</w:t>
      </w:r>
      <w:r w:rsidRPr="00BF25C5">
        <w:rPr>
          <w:rFonts w:cstheme="minorHAnsi"/>
          <w:lang w:val="en-US"/>
        </w:rPr>
        <w:t xml:space="preserve"> aims to promote mutual trust and confidence through greater understanding of </w:t>
      </w:r>
      <w:proofErr w:type="spellStart"/>
      <w:r w:rsidRPr="00BF25C5">
        <w:rPr>
          <w:rFonts w:cstheme="minorHAnsi"/>
          <w:lang w:val="en-US"/>
        </w:rPr>
        <w:t>defence</w:t>
      </w:r>
      <w:proofErr w:type="spellEnd"/>
      <w:r w:rsidRPr="00BF25C5">
        <w:rPr>
          <w:rFonts w:cstheme="minorHAnsi"/>
          <w:lang w:val="en-US"/>
        </w:rPr>
        <w:t xml:space="preserve"> and security challenges as well as enhancement of transparency and openness.</w:t>
      </w:r>
      <w:r w:rsidR="00BF25C5">
        <w:rPr>
          <w:rFonts w:cstheme="minorHAnsi"/>
          <w:lang w:val="en-US"/>
        </w:rPr>
        <w:t xml:space="preserve"> It has four specific objectives: </w:t>
      </w:r>
      <w:r w:rsidR="004961C9" w:rsidRPr="00BF25C5">
        <w:rPr>
          <w:rFonts w:cstheme="minorHAnsi"/>
          <w:color w:val="000000"/>
          <w:szCs w:val="22"/>
        </w:rPr>
        <w:t xml:space="preserve">(a) to promote regional peace and stability through dialogue and cooperation in defence and security; (b) to give guidance to existing senior defence and military officials dialogue and cooperation in the field of defence and security within </w:t>
      </w:r>
      <w:r w:rsidR="00FE189D">
        <w:rPr>
          <w:rFonts w:cstheme="minorHAnsi"/>
          <w:color w:val="000000"/>
          <w:szCs w:val="22"/>
        </w:rPr>
        <w:t>ASEAN</w:t>
      </w:r>
      <w:r w:rsidR="004961C9" w:rsidRPr="00BF25C5">
        <w:rPr>
          <w:rFonts w:cstheme="minorHAnsi"/>
          <w:color w:val="000000"/>
          <w:szCs w:val="22"/>
        </w:rPr>
        <w:t xml:space="preserve"> and between </w:t>
      </w:r>
      <w:r w:rsidR="00FE189D">
        <w:rPr>
          <w:rFonts w:cstheme="minorHAnsi"/>
          <w:color w:val="000000"/>
          <w:szCs w:val="22"/>
        </w:rPr>
        <w:t>ASEAN</w:t>
      </w:r>
      <w:r w:rsidR="004961C9" w:rsidRPr="00BF25C5">
        <w:rPr>
          <w:rFonts w:cstheme="minorHAnsi"/>
          <w:color w:val="000000"/>
          <w:szCs w:val="22"/>
        </w:rPr>
        <w:t xml:space="preserve"> and dialogue partners; (c) to promote mutual trust and confidence through greater understanding of defence and security challenges as well as enhancement of transparency and openness; and (d) to contribute to the establishment of an </w:t>
      </w:r>
      <w:r w:rsidR="00FE189D">
        <w:rPr>
          <w:rFonts w:cstheme="minorHAnsi"/>
          <w:color w:val="000000"/>
          <w:szCs w:val="22"/>
        </w:rPr>
        <w:t>ASEAN</w:t>
      </w:r>
      <w:r w:rsidR="004961C9" w:rsidRPr="00BF25C5">
        <w:rPr>
          <w:rFonts w:cstheme="minorHAnsi"/>
          <w:color w:val="000000"/>
          <w:szCs w:val="22"/>
        </w:rPr>
        <w:t xml:space="preserve"> Security Community (ASC) as stipulated in the Bali Concord II and to </w:t>
      </w:r>
      <w:r w:rsidR="004961C9" w:rsidRPr="00BF25C5">
        <w:rPr>
          <w:rFonts w:cstheme="minorHAnsi"/>
          <w:color w:val="000000"/>
          <w:szCs w:val="22"/>
        </w:rPr>
        <w:lastRenderedPageBreak/>
        <w:t>promote the implementation of the Vientiane Action Programme on ASC.</w:t>
      </w:r>
      <w:r w:rsidR="00BF25C5">
        <w:rPr>
          <w:rFonts w:cstheme="minorHAnsi"/>
          <w:color w:val="000000"/>
          <w:szCs w:val="22"/>
        </w:rPr>
        <w:t xml:space="preserve"> It has three-yearly work plans that cover on broad areas of security.</w:t>
      </w:r>
    </w:p>
    <w:p w14:paraId="722F8D54" w14:textId="0E44291C" w:rsidR="0042018A" w:rsidRPr="00BF25C5" w:rsidRDefault="0042018A" w:rsidP="00BF25C5">
      <w:pPr>
        <w:pStyle w:val="ListParagraph"/>
        <w:numPr>
          <w:ilvl w:val="0"/>
          <w:numId w:val="1"/>
        </w:numPr>
        <w:rPr>
          <w:rFonts w:cstheme="minorHAnsi"/>
          <w:b/>
          <w:bCs/>
          <w:lang w:val="en-US"/>
        </w:rPr>
      </w:pPr>
      <w:r w:rsidRPr="00BF25C5">
        <w:rPr>
          <w:rFonts w:cstheme="minorHAnsi"/>
          <w:b/>
          <w:bCs/>
          <w:lang w:val="en-US"/>
        </w:rPr>
        <w:t xml:space="preserve">Maritime Security Issues Covered: </w:t>
      </w:r>
    </w:p>
    <w:p w14:paraId="254DBF29" w14:textId="253DB4D3" w:rsidR="0042018A" w:rsidRPr="00BF25C5" w:rsidRDefault="0042018A" w:rsidP="0042018A">
      <w:pPr>
        <w:rPr>
          <w:rFonts w:cstheme="minorHAnsi"/>
          <w:szCs w:val="22"/>
          <w:lang w:val="en-US"/>
        </w:rPr>
      </w:pPr>
      <w:r w:rsidRPr="00BF25C5">
        <w:rPr>
          <w:rFonts w:cstheme="minorHAnsi"/>
          <w:szCs w:val="22"/>
          <w:lang w:val="en-US"/>
        </w:rPr>
        <w:t xml:space="preserve">IUU Fishing, </w:t>
      </w:r>
      <w:r w:rsidR="00A5138F" w:rsidRPr="00BF25C5">
        <w:rPr>
          <w:rFonts w:cstheme="minorHAnsi"/>
          <w:szCs w:val="22"/>
          <w:lang w:val="en-US"/>
        </w:rPr>
        <w:t>trafficking, piracy, illegal migration</w:t>
      </w:r>
      <w:r w:rsidR="002A0CB0" w:rsidRPr="00BF25C5">
        <w:rPr>
          <w:rFonts w:cstheme="minorHAnsi"/>
          <w:szCs w:val="22"/>
          <w:lang w:val="en-US"/>
        </w:rPr>
        <w:t>, marine environment</w:t>
      </w:r>
    </w:p>
    <w:p w14:paraId="32AB543F" w14:textId="77777777" w:rsidR="0042018A" w:rsidRPr="00BF25C5" w:rsidRDefault="0042018A" w:rsidP="00BF25C5">
      <w:pPr>
        <w:pStyle w:val="ListParagraph"/>
        <w:numPr>
          <w:ilvl w:val="0"/>
          <w:numId w:val="1"/>
        </w:numPr>
        <w:rPr>
          <w:rFonts w:cstheme="minorHAnsi"/>
          <w:b/>
          <w:bCs/>
          <w:lang w:val="en-US"/>
        </w:rPr>
      </w:pPr>
      <w:r w:rsidRPr="00BF25C5">
        <w:rPr>
          <w:rFonts w:cstheme="minorHAnsi"/>
          <w:b/>
          <w:bCs/>
          <w:lang w:val="en-US"/>
        </w:rPr>
        <w:t xml:space="preserve">Noteworthy documents and strategies: </w:t>
      </w:r>
    </w:p>
    <w:p w14:paraId="464E6D5A" w14:textId="582B38FB" w:rsidR="00BF25C5" w:rsidRPr="00FE189D" w:rsidRDefault="00FE189D" w:rsidP="00BF25C5">
      <w:pPr>
        <w:pStyle w:val="Default"/>
        <w:numPr>
          <w:ilvl w:val="0"/>
          <w:numId w:val="11"/>
        </w:numPr>
        <w:rPr>
          <w:rFonts w:asciiTheme="minorHAnsi" w:hAnsiTheme="minorHAnsi" w:cstheme="minorHAnsi"/>
          <w:sz w:val="22"/>
          <w:szCs w:val="22"/>
        </w:rPr>
      </w:pPr>
      <w:r w:rsidRPr="00FE189D">
        <w:rPr>
          <w:rFonts w:asciiTheme="minorHAnsi" w:hAnsiTheme="minorHAnsi" w:cstheme="minorHAnsi"/>
          <w:sz w:val="22"/>
          <w:szCs w:val="22"/>
        </w:rPr>
        <w:t>ASEAN</w:t>
      </w:r>
      <w:r w:rsidR="002A0CB0" w:rsidRPr="00FE189D">
        <w:rPr>
          <w:rFonts w:asciiTheme="minorHAnsi" w:hAnsiTheme="minorHAnsi" w:cstheme="minorHAnsi"/>
          <w:sz w:val="22"/>
          <w:szCs w:val="22"/>
        </w:rPr>
        <w:t xml:space="preserve"> Political-Security Community (APSC) Blueprint 2009-2015</w:t>
      </w:r>
    </w:p>
    <w:p w14:paraId="3842DC4A" w14:textId="0295E0C3" w:rsidR="00BF25C5" w:rsidRPr="00FE189D" w:rsidRDefault="002A0CB0" w:rsidP="00BF25C5">
      <w:pPr>
        <w:pStyle w:val="Default"/>
        <w:numPr>
          <w:ilvl w:val="0"/>
          <w:numId w:val="11"/>
        </w:numPr>
        <w:rPr>
          <w:rFonts w:asciiTheme="minorHAnsi" w:hAnsiTheme="minorHAnsi" w:cstheme="minorHAnsi"/>
          <w:sz w:val="22"/>
          <w:szCs w:val="22"/>
        </w:rPr>
      </w:pPr>
      <w:r w:rsidRPr="00FE189D">
        <w:rPr>
          <w:rFonts w:asciiTheme="minorHAnsi" w:hAnsiTheme="minorHAnsi" w:cstheme="minorHAnsi"/>
          <w:sz w:val="22"/>
          <w:szCs w:val="22"/>
        </w:rPr>
        <w:t>APSC Blueprint 2016-2025</w:t>
      </w:r>
    </w:p>
    <w:p w14:paraId="2D9C146C" w14:textId="61FA57E6" w:rsidR="00BF25C5" w:rsidRPr="00FE189D" w:rsidRDefault="00A24491" w:rsidP="00BF25C5">
      <w:pPr>
        <w:pStyle w:val="Default"/>
        <w:numPr>
          <w:ilvl w:val="0"/>
          <w:numId w:val="11"/>
        </w:numPr>
        <w:rPr>
          <w:rFonts w:asciiTheme="minorHAnsi" w:hAnsiTheme="minorHAnsi" w:cstheme="minorHAnsi"/>
          <w:sz w:val="22"/>
          <w:szCs w:val="22"/>
        </w:rPr>
      </w:pPr>
      <w:r w:rsidRPr="00FE189D">
        <w:rPr>
          <w:rFonts w:asciiTheme="minorHAnsi" w:hAnsiTheme="minorHAnsi" w:cstheme="minorHAnsi"/>
          <w:sz w:val="22"/>
          <w:szCs w:val="22"/>
        </w:rPr>
        <w:t xml:space="preserve">Joint declaration of </w:t>
      </w:r>
      <w:r w:rsidR="00FE189D" w:rsidRPr="00FE189D">
        <w:rPr>
          <w:rFonts w:asciiTheme="minorHAnsi" w:hAnsiTheme="minorHAnsi" w:cstheme="minorHAnsi"/>
          <w:sz w:val="22"/>
          <w:szCs w:val="22"/>
        </w:rPr>
        <w:t>ASEAN</w:t>
      </w:r>
      <w:r w:rsidRPr="00FE189D">
        <w:rPr>
          <w:rFonts w:asciiTheme="minorHAnsi" w:hAnsiTheme="minorHAnsi" w:cstheme="minorHAnsi"/>
          <w:sz w:val="22"/>
          <w:szCs w:val="22"/>
        </w:rPr>
        <w:t xml:space="preserve"> Defence Ministers on Strengthening </w:t>
      </w:r>
      <w:r w:rsidR="00FE189D" w:rsidRPr="00FE189D">
        <w:rPr>
          <w:rFonts w:asciiTheme="minorHAnsi" w:hAnsiTheme="minorHAnsi" w:cstheme="minorHAnsi"/>
          <w:sz w:val="22"/>
          <w:szCs w:val="22"/>
        </w:rPr>
        <w:t>ASEAN</w:t>
      </w:r>
      <w:r w:rsidRPr="00FE189D">
        <w:rPr>
          <w:rFonts w:asciiTheme="minorHAnsi" w:hAnsiTheme="minorHAnsi" w:cstheme="minorHAnsi"/>
          <w:sz w:val="22"/>
          <w:szCs w:val="22"/>
        </w:rPr>
        <w:t xml:space="preserve"> Defence Establishments to mee the challenges of non-traditional security threats</w:t>
      </w:r>
    </w:p>
    <w:p w14:paraId="095796AC" w14:textId="0073385A" w:rsidR="002A0CB0" w:rsidRPr="002A0CB0" w:rsidRDefault="00BF25C5" w:rsidP="002A0CB0">
      <w:pPr>
        <w:pStyle w:val="Default"/>
        <w:numPr>
          <w:ilvl w:val="0"/>
          <w:numId w:val="11"/>
        </w:numPr>
        <w:rPr>
          <w:rFonts w:asciiTheme="minorHAnsi" w:hAnsiTheme="minorHAnsi" w:cstheme="minorHAnsi"/>
          <w:sz w:val="22"/>
          <w:szCs w:val="22"/>
        </w:rPr>
      </w:pPr>
      <w:r w:rsidRPr="00FE189D">
        <w:rPr>
          <w:rFonts w:asciiTheme="minorHAnsi" w:hAnsiTheme="minorHAnsi" w:cstheme="minorHAnsi"/>
          <w:sz w:val="22"/>
          <w:szCs w:val="22"/>
        </w:rPr>
        <w:t xml:space="preserve">Concept Paper </w:t>
      </w:r>
      <w:proofErr w:type="gramStart"/>
      <w:r w:rsidRPr="00FE189D">
        <w:rPr>
          <w:rFonts w:asciiTheme="minorHAnsi" w:hAnsiTheme="minorHAnsi" w:cstheme="minorHAnsi"/>
          <w:sz w:val="22"/>
          <w:szCs w:val="22"/>
        </w:rPr>
        <w:t>On</w:t>
      </w:r>
      <w:proofErr w:type="gramEnd"/>
      <w:r w:rsidRPr="00FE189D">
        <w:rPr>
          <w:rFonts w:asciiTheme="minorHAnsi" w:hAnsiTheme="minorHAnsi" w:cstheme="minorHAnsi"/>
          <w:sz w:val="22"/>
          <w:szCs w:val="22"/>
        </w:rPr>
        <w:t xml:space="preserve"> The </w:t>
      </w:r>
      <w:r w:rsidR="00FE189D" w:rsidRPr="00FE189D">
        <w:rPr>
          <w:rFonts w:asciiTheme="minorHAnsi" w:hAnsiTheme="minorHAnsi" w:cstheme="minorHAnsi"/>
          <w:sz w:val="22"/>
          <w:szCs w:val="22"/>
        </w:rPr>
        <w:t>ADMM</w:t>
      </w:r>
      <w:r w:rsidRPr="00FE189D">
        <w:rPr>
          <w:rFonts w:asciiTheme="minorHAnsi" w:hAnsiTheme="minorHAnsi" w:cstheme="minorHAnsi"/>
          <w:sz w:val="22"/>
          <w:szCs w:val="22"/>
        </w:rPr>
        <w:t>’s External Engagements</w:t>
      </w:r>
    </w:p>
    <w:p w14:paraId="154F54DB" w14:textId="35B22DF9" w:rsidR="002A0CB0" w:rsidRPr="00BF25C5" w:rsidRDefault="002A0CB0" w:rsidP="00FE189D">
      <w:pPr>
        <w:pStyle w:val="Default"/>
        <w:numPr>
          <w:ilvl w:val="0"/>
          <w:numId w:val="11"/>
        </w:numPr>
        <w:rPr>
          <w:rFonts w:asciiTheme="minorHAnsi" w:hAnsiTheme="minorHAnsi" w:cstheme="minorHAnsi"/>
          <w:sz w:val="22"/>
          <w:szCs w:val="22"/>
        </w:rPr>
      </w:pPr>
      <w:r w:rsidRPr="00BF25C5">
        <w:rPr>
          <w:rFonts w:asciiTheme="minorHAnsi" w:hAnsiTheme="minorHAnsi" w:cstheme="minorHAnsi"/>
          <w:sz w:val="22"/>
          <w:szCs w:val="22"/>
        </w:rPr>
        <w:t xml:space="preserve">The Concept Paper on </w:t>
      </w:r>
      <w:r w:rsidR="00FE189D">
        <w:rPr>
          <w:rFonts w:asciiTheme="minorHAnsi" w:hAnsiTheme="minorHAnsi" w:cstheme="minorHAnsi"/>
          <w:sz w:val="22"/>
          <w:szCs w:val="22"/>
        </w:rPr>
        <w:t>ADMM</w:t>
      </w:r>
      <w:r w:rsidRPr="00BF25C5">
        <w:rPr>
          <w:rFonts w:asciiTheme="minorHAnsi" w:hAnsiTheme="minorHAnsi" w:cstheme="minorHAnsi"/>
          <w:sz w:val="22"/>
          <w:szCs w:val="22"/>
        </w:rPr>
        <w:t xml:space="preserve"> and </w:t>
      </w:r>
      <w:r w:rsidR="00FE189D">
        <w:rPr>
          <w:rFonts w:asciiTheme="minorHAnsi" w:hAnsiTheme="minorHAnsi" w:cstheme="minorHAnsi"/>
          <w:sz w:val="22"/>
          <w:szCs w:val="22"/>
        </w:rPr>
        <w:t>ADMM</w:t>
      </w:r>
      <w:r w:rsidRPr="00BF25C5">
        <w:rPr>
          <w:rFonts w:asciiTheme="minorHAnsi" w:hAnsiTheme="minorHAnsi" w:cstheme="minorHAnsi"/>
          <w:sz w:val="22"/>
          <w:szCs w:val="22"/>
        </w:rPr>
        <w:t>-Plus Initiatives</w:t>
      </w:r>
    </w:p>
    <w:p w14:paraId="5F816830" w14:textId="02F338D1" w:rsidR="00C40AE0" w:rsidRPr="00C40AE0" w:rsidRDefault="00FE189D" w:rsidP="00C40AE0">
      <w:pPr>
        <w:pStyle w:val="ListParagraph"/>
        <w:numPr>
          <w:ilvl w:val="0"/>
          <w:numId w:val="11"/>
        </w:numPr>
        <w:autoSpaceDE w:val="0"/>
        <w:autoSpaceDN w:val="0"/>
        <w:adjustRightInd w:val="0"/>
        <w:spacing w:after="0" w:line="240" w:lineRule="auto"/>
        <w:rPr>
          <w:rFonts w:cstheme="minorHAnsi"/>
          <w:color w:val="000000"/>
        </w:rPr>
      </w:pPr>
      <w:r w:rsidRPr="00FE189D">
        <w:rPr>
          <w:rFonts w:cstheme="minorHAnsi"/>
          <w:color w:val="000000"/>
        </w:rPr>
        <w:t xml:space="preserve">ASEAN Defence Ministers’ Meeting (ADMM) </w:t>
      </w:r>
      <w:r w:rsidRPr="00FE189D">
        <w:rPr>
          <w:rFonts w:cstheme="minorHAnsi"/>
        </w:rPr>
        <w:t>Three-Year Work Programme 2017-2019</w:t>
      </w:r>
    </w:p>
    <w:p w14:paraId="0F1C1D9E" w14:textId="19554CFA" w:rsidR="00FE189D" w:rsidRPr="00FE189D" w:rsidRDefault="00FE189D" w:rsidP="00FE5C29">
      <w:pPr>
        <w:pStyle w:val="ListParagraph"/>
        <w:numPr>
          <w:ilvl w:val="0"/>
          <w:numId w:val="11"/>
        </w:numPr>
        <w:autoSpaceDE w:val="0"/>
        <w:autoSpaceDN w:val="0"/>
        <w:adjustRightInd w:val="0"/>
        <w:spacing w:after="0" w:line="240" w:lineRule="auto"/>
        <w:rPr>
          <w:rFonts w:cstheme="minorHAnsi"/>
        </w:rPr>
      </w:pPr>
      <w:r w:rsidRPr="00FE189D">
        <w:rPr>
          <w:rFonts w:cstheme="minorHAnsi"/>
          <w:color w:val="000000"/>
        </w:rPr>
        <w:t xml:space="preserve">ASEAN Defence Ministers’ Meeting (ADMM) Three-Year-Work Programme </w:t>
      </w:r>
      <w:r w:rsidRPr="00FE189D">
        <w:rPr>
          <w:rFonts w:cstheme="minorHAnsi"/>
        </w:rPr>
        <w:t>2014-2016</w:t>
      </w:r>
    </w:p>
    <w:p w14:paraId="6088C0C9" w14:textId="24BD814B" w:rsidR="00A5138F" w:rsidRPr="00A5138F" w:rsidRDefault="00FE189D" w:rsidP="00A5138F">
      <w:pPr>
        <w:pStyle w:val="Default"/>
        <w:numPr>
          <w:ilvl w:val="0"/>
          <w:numId w:val="11"/>
        </w:numPr>
        <w:rPr>
          <w:rFonts w:asciiTheme="minorHAnsi" w:hAnsiTheme="minorHAnsi" w:cstheme="minorHAnsi"/>
          <w:sz w:val="22"/>
          <w:szCs w:val="22"/>
        </w:rPr>
      </w:pPr>
      <w:r w:rsidRPr="00FE189D">
        <w:rPr>
          <w:rFonts w:asciiTheme="minorHAnsi" w:hAnsiTheme="minorHAnsi" w:cstheme="minorHAnsi"/>
          <w:sz w:val="22"/>
          <w:szCs w:val="22"/>
        </w:rPr>
        <w:t xml:space="preserve">Discussion Paper </w:t>
      </w:r>
      <w:proofErr w:type="gramStart"/>
      <w:r w:rsidRPr="00FE189D">
        <w:rPr>
          <w:rFonts w:asciiTheme="minorHAnsi" w:hAnsiTheme="minorHAnsi" w:cstheme="minorHAnsi"/>
          <w:sz w:val="22"/>
          <w:szCs w:val="22"/>
        </w:rPr>
        <w:t>On</w:t>
      </w:r>
      <w:proofErr w:type="gramEnd"/>
      <w:r w:rsidRPr="00FE189D">
        <w:rPr>
          <w:rFonts w:asciiTheme="minorHAnsi" w:hAnsiTheme="minorHAnsi" w:cstheme="minorHAnsi"/>
          <w:sz w:val="22"/>
          <w:szCs w:val="22"/>
        </w:rPr>
        <w:t xml:space="preserve"> Illegal, Unreported And Unregulated Fishing: Security Implications And The Role Of Defence Establishments</w:t>
      </w:r>
    </w:p>
    <w:p w14:paraId="724F1167" w14:textId="0D64D063" w:rsidR="00FE5C29" w:rsidRPr="00FE5C29" w:rsidRDefault="00FE189D" w:rsidP="00FE5C29">
      <w:pPr>
        <w:pStyle w:val="Default"/>
        <w:numPr>
          <w:ilvl w:val="0"/>
          <w:numId w:val="11"/>
        </w:numPr>
        <w:rPr>
          <w:rFonts w:asciiTheme="minorHAnsi" w:hAnsiTheme="minorHAnsi" w:cstheme="minorHAnsi"/>
          <w:sz w:val="22"/>
          <w:szCs w:val="22"/>
        </w:rPr>
      </w:pPr>
      <w:r w:rsidRPr="00FE189D">
        <w:rPr>
          <w:rFonts w:asciiTheme="minorHAnsi" w:hAnsiTheme="minorHAnsi" w:cstheme="minorHAnsi"/>
          <w:sz w:val="22"/>
          <w:szCs w:val="22"/>
        </w:rPr>
        <w:t xml:space="preserve">Concept Paper </w:t>
      </w:r>
      <w:proofErr w:type="gramStart"/>
      <w:r w:rsidRPr="00FE189D">
        <w:rPr>
          <w:rFonts w:asciiTheme="minorHAnsi" w:hAnsiTheme="minorHAnsi" w:cstheme="minorHAnsi"/>
          <w:sz w:val="22"/>
          <w:szCs w:val="22"/>
        </w:rPr>
        <w:t>On</w:t>
      </w:r>
      <w:proofErr w:type="gramEnd"/>
      <w:r w:rsidRPr="00FE189D">
        <w:rPr>
          <w:rFonts w:asciiTheme="minorHAnsi" w:hAnsiTheme="minorHAnsi" w:cstheme="minorHAnsi"/>
          <w:sz w:val="22"/>
          <w:szCs w:val="22"/>
        </w:rPr>
        <w:t xml:space="preserve"> The Role Of ASEAN Defence Establishments In Supporting Border Management</w:t>
      </w:r>
    </w:p>
    <w:p w14:paraId="0B566746" w14:textId="1E5B0E03" w:rsidR="00C40AE0" w:rsidRPr="00C40AE0" w:rsidRDefault="00FE189D" w:rsidP="00C40AE0">
      <w:pPr>
        <w:pStyle w:val="ListParagraph"/>
        <w:numPr>
          <w:ilvl w:val="0"/>
          <w:numId w:val="11"/>
        </w:numPr>
        <w:autoSpaceDE w:val="0"/>
        <w:autoSpaceDN w:val="0"/>
        <w:adjustRightInd w:val="0"/>
        <w:spacing w:after="0" w:line="240" w:lineRule="auto"/>
        <w:rPr>
          <w:rFonts w:cstheme="minorHAnsi"/>
          <w:color w:val="000000"/>
        </w:rPr>
      </w:pPr>
      <w:r w:rsidRPr="00FE189D">
        <w:rPr>
          <w:rFonts w:cstheme="minorHAnsi"/>
          <w:color w:val="000000"/>
        </w:rPr>
        <w:t xml:space="preserve">ASEAN Defence Ministers’ Meeting (ADMM) </w:t>
      </w:r>
      <w:r w:rsidRPr="00FE189D">
        <w:rPr>
          <w:rFonts w:cstheme="minorHAnsi"/>
        </w:rPr>
        <w:t xml:space="preserve">Guidelines </w:t>
      </w:r>
      <w:proofErr w:type="gramStart"/>
      <w:r w:rsidRPr="00FE189D">
        <w:rPr>
          <w:rFonts w:cstheme="minorHAnsi"/>
        </w:rPr>
        <w:t>For</w:t>
      </w:r>
      <w:proofErr w:type="gramEnd"/>
      <w:r w:rsidRPr="00FE189D">
        <w:rPr>
          <w:rFonts w:cstheme="minorHAnsi"/>
        </w:rPr>
        <w:t xml:space="preserve"> Maritime Interaction</w:t>
      </w:r>
    </w:p>
    <w:p w14:paraId="03ADF086" w14:textId="1097BCBA" w:rsidR="00460DCD" w:rsidRPr="00460DCD" w:rsidRDefault="00FE189D" w:rsidP="00460DCD">
      <w:pPr>
        <w:pStyle w:val="ListParagraph"/>
        <w:numPr>
          <w:ilvl w:val="0"/>
          <w:numId w:val="11"/>
        </w:numPr>
        <w:autoSpaceDE w:val="0"/>
        <w:autoSpaceDN w:val="0"/>
        <w:adjustRightInd w:val="0"/>
        <w:spacing w:after="0" w:line="240" w:lineRule="auto"/>
        <w:rPr>
          <w:rFonts w:cstheme="minorHAnsi"/>
          <w:color w:val="000000"/>
        </w:rPr>
      </w:pPr>
      <w:r w:rsidRPr="00FE189D">
        <w:rPr>
          <w:rFonts w:cstheme="minorHAnsi"/>
          <w:color w:val="000000"/>
        </w:rPr>
        <w:t xml:space="preserve">ASEAN Defence Ministers’ Meeting (ADMM) Three-Year-Work Program </w:t>
      </w:r>
      <w:r w:rsidRPr="00FE189D">
        <w:rPr>
          <w:rFonts w:cstheme="minorHAnsi"/>
        </w:rPr>
        <w:t>2011-2013</w:t>
      </w:r>
    </w:p>
    <w:p w14:paraId="521D6559" w14:textId="2C009352" w:rsidR="004961C9" w:rsidRPr="004961C9" w:rsidRDefault="00FE189D" w:rsidP="004961C9">
      <w:pPr>
        <w:pStyle w:val="Default"/>
        <w:numPr>
          <w:ilvl w:val="0"/>
          <w:numId w:val="11"/>
        </w:numPr>
        <w:rPr>
          <w:rFonts w:asciiTheme="minorHAnsi" w:hAnsiTheme="minorHAnsi" w:cstheme="minorHAnsi"/>
          <w:sz w:val="22"/>
          <w:szCs w:val="22"/>
        </w:rPr>
      </w:pPr>
      <w:r w:rsidRPr="00FE189D">
        <w:rPr>
          <w:rFonts w:asciiTheme="minorHAnsi" w:hAnsiTheme="minorHAnsi" w:cstheme="minorHAnsi"/>
          <w:sz w:val="22"/>
          <w:szCs w:val="22"/>
        </w:rPr>
        <w:t xml:space="preserve">Concept Paper </w:t>
      </w:r>
      <w:proofErr w:type="gramStart"/>
      <w:r w:rsidRPr="00FE189D">
        <w:rPr>
          <w:rFonts w:asciiTheme="minorHAnsi" w:hAnsiTheme="minorHAnsi" w:cstheme="minorHAnsi"/>
          <w:sz w:val="22"/>
          <w:szCs w:val="22"/>
        </w:rPr>
        <w:t>For</w:t>
      </w:r>
      <w:proofErr w:type="gramEnd"/>
      <w:r w:rsidRPr="00FE189D">
        <w:rPr>
          <w:rFonts w:asciiTheme="minorHAnsi" w:hAnsiTheme="minorHAnsi" w:cstheme="minorHAnsi"/>
          <w:sz w:val="22"/>
          <w:szCs w:val="22"/>
        </w:rPr>
        <w:t xml:space="preserve"> The Establishment Of An ASEAN Defence Ministers’ Meeting</w:t>
      </w:r>
    </w:p>
    <w:p w14:paraId="0D4CD431" w14:textId="3F627D1B" w:rsidR="00FE189D" w:rsidRDefault="00FE189D" w:rsidP="00FE189D">
      <w:pPr>
        <w:pStyle w:val="ListParagraph"/>
        <w:numPr>
          <w:ilvl w:val="0"/>
          <w:numId w:val="11"/>
        </w:numPr>
        <w:rPr>
          <w:rFonts w:cstheme="minorHAnsi"/>
          <w:color w:val="000000"/>
        </w:rPr>
      </w:pPr>
      <w:r w:rsidRPr="00FE189D">
        <w:rPr>
          <w:rFonts w:cstheme="minorHAnsi"/>
          <w:color w:val="000000"/>
        </w:rPr>
        <w:t xml:space="preserve">Joint Press Release </w:t>
      </w:r>
      <w:proofErr w:type="gramStart"/>
      <w:r w:rsidRPr="00FE189D">
        <w:rPr>
          <w:rFonts w:cstheme="minorHAnsi"/>
          <w:color w:val="000000"/>
        </w:rPr>
        <w:t>Of</w:t>
      </w:r>
      <w:proofErr w:type="gramEnd"/>
      <w:r w:rsidRPr="00FE189D">
        <w:rPr>
          <w:rFonts w:cstheme="minorHAnsi"/>
          <w:color w:val="000000"/>
        </w:rPr>
        <w:t xml:space="preserve"> The Inaugural ASEAN Defence Ministers’ </w:t>
      </w:r>
    </w:p>
    <w:p w14:paraId="40663F96" w14:textId="77777777" w:rsidR="00FE189D" w:rsidRDefault="00FE189D" w:rsidP="00FE189D">
      <w:pPr>
        <w:pStyle w:val="ListParagraph"/>
        <w:rPr>
          <w:rFonts w:cstheme="minorHAnsi"/>
          <w:color w:val="000000"/>
        </w:rPr>
      </w:pPr>
    </w:p>
    <w:p w14:paraId="51F2DEC8" w14:textId="3F37F33F" w:rsidR="0042018A" w:rsidRPr="00FE189D" w:rsidRDefault="004961C9" w:rsidP="00FE189D">
      <w:pPr>
        <w:pStyle w:val="ListParagraph"/>
        <w:numPr>
          <w:ilvl w:val="0"/>
          <w:numId w:val="1"/>
        </w:numPr>
        <w:rPr>
          <w:rFonts w:cstheme="minorHAnsi"/>
          <w:b/>
          <w:bCs/>
          <w:lang w:val="en-US"/>
        </w:rPr>
      </w:pPr>
      <w:r w:rsidRPr="00FE189D">
        <w:rPr>
          <w:rFonts w:cstheme="minorHAnsi"/>
          <w:b/>
          <w:bCs/>
          <w:color w:val="000000"/>
          <w:lang w:bidi="th-TH"/>
        </w:rPr>
        <w:t xml:space="preserve">Meeting </w:t>
      </w:r>
      <w:r w:rsidR="0042018A" w:rsidRPr="00FE189D">
        <w:rPr>
          <w:rFonts w:cstheme="minorHAnsi"/>
          <w:b/>
          <w:bCs/>
          <w:lang w:val="en-US"/>
        </w:rPr>
        <w:t xml:space="preserve">Intensity: </w:t>
      </w:r>
    </w:p>
    <w:p w14:paraId="6D598814" w14:textId="4C606D76" w:rsidR="0042018A" w:rsidRPr="00BF25C5" w:rsidRDefault="00FE189D" w:rsidP="0042018A">
      <w:pPr>
        <w:rPr>
          <w:rFonts w:cstheme="minorHAnsi"/>
          <w:szCs w:val="22"/>
          <w:lang w:val="en-US"/>
        </w:rPr>
      </w:pPr>
      <w:r>
        <w:rPr>
          <w:rFonts w:cstheme="minorHAnsi"/>
          <w:szCs w:val="22"/>
          <w:lang w:val="en-US"/>
        </w:rPr>
        <w:t>There is 1 Minister meeting a year, with other meetings taking place to facilitate this (including Expert Working Group meetings. D</w:t>
      </w:r>
      <w:r w:rsidR="00DA7D25" w:rsidRPr="00BF25C5">
        <w:rPr>
          <w:rFonts w:cstheme="minorHAnsi"/>
          <w:szCs w:val="22"/>
          <w:lang w:val="en-US"/>
        </w:rPr>
        <w:t xml:space="preserve">ifferent </w:t>
      </w:r>
      <w:r w:rsidRPr="00BF25C5">
        <w:rPr>
          <w:rFonts w:cstheme="minorHAnsi"/>
          <w:szCs w:val="22"/>
          <w:lang w:val="en-US"/>
        </w:rPr>
        <w:t>constituent</w:t>
      </w:r>
      <w:r w:rsidR="00DA7D25" w:rsidRPr="00BF25C5">
        <w:rPr>
          <w:rFonts w:cstheme="minorHAnsi"/>
          <w:szCs w:val="22"/>
          <w:lang w:val="en-US"/>
        </w:rPr>
        <w:t xml:space="preserve"> parts meeting regularly</w:t>
      </w:r>
      <w:r>
        <w:rPr>
          <w:rFonts w:cstheme="minorHAnsi"/>
          <w:szCs w:val="22"/>
          <w:lang w:val="en-US"/>
        </w:rPr>
        <w:t>, and there are ad hoc</w:t>
      </w:r>
      <w:r w:rsidR="00DA7D25" w:rsidRPr="00BF25C5">
        <w:rPr>
          <w:rFonts w:cstheme="minorHAnsi"/>
          <w:szCs w:val="22"/>
          <w:lang w:val="en-US"/>
        </w:rPr>
        <w:t xml:space="preserve"> workshops</w:t>
      </w:r>
      <w:r>
        <w:rPr>
          <w:rFonts w:cstheme="minorHAnsi"/>
          <w:szCs w:val="22"/>
          <w:lang w:val="en-US"/>
        </w:rPr>
        <w:t>, seminars, field training exercises and tabletop exercises</w:t>
      </w:r>
      <w:r w:rsidR="00DA7D25" w:rsidRPr="00BF25C5">
        <w:rPr>
          <w:rFonts w:cstheme="minorHAnsi"/>
          <w:szCs w:val="22"/>
          <w:lang w:val="en-US"/>
        </w:rPr>
        <w:t xml:space="preserve">. </w:t>
      </w:r>
    </w:p>
    <w:p w14:paraId="1EC656E9" w14:textId="2797BE1E" w:rsidR="0042018A" w:rsidRPr="00FE189D" w:rsidRDefault="0042018A" w:rsidP="00FE189D">
      <w:pPr>
        <w:pStyle w:val="ListParagraph"/>
        <w:numPr>
          <w:ilvl w:val="0"/>
          <w:numId w:val="1"/>
        </w:numPr>
        <w:rPr>
          <w:rFonts w:cstheme="minorHAnsi"/>
          <w:b/>
          <w:bCs/>
          <w:lang w:val="en-US"/>
        </w:rPr>
      </w:pPr>
      <w:r w:rsidRPr="00FE189D">
        <w:rPr>
          <w:rFonts w:cstheme="minorHAnsi"/>
          <w:b/>
          <w:bCs/>
          <w:lang w:val="en-US"/>
        </w:rPr>
        <w:t xml:space="preserve">Ongoing projects and activities: </w:t>
      </w:r>
    </w:p>
    <w:p w14:paraId="6455209A" w14:textId="414233C2" w:rsidR="00F62999" w:rsidRPr="00F62999" w:rsidRDefault="00FE189D" w:rsidP="00F62999">
      <w:pPr>
        <w:autoSpaceDE w:val="0"/>
        <w:autoSpaceDN w:val="0"/>
        <w:adjustRightInd w:val="0"/>
        <w:spacing w:after="0" w:line="240" w:lineRule="auto"/>
        <w:rPr>
          <w:rFonts w:cstheme="minorHAnsi"/>
          <w:color w:val="000000"/>
        </w:rPr>
      </w:pPr>
      <w:r>
        <w:rPr>
          <w:rFonts w:cstheme="minorHAnsi"/>
          <w:color w:val="000000"/>
        </w:rPr>
        <w:t>There are several ongoing projects related to maritime security.</w:t>
      </w:r>
      <w:r w:rsidR="00F62999">
        <w:rPr>
          <w:rFonts w:cstheme="minorHAnsi"/>
          <w:color w:val="000000"/>
        </w:rPr>
        <w:t xml:space="preserve"> These operate primarily under</w:t>
      </w:r>
      <w:r w:rsidR="00F62999" w:rsidRPr="00F62999">
        <w:t xml:space="preserve"> </w:t>
      </w:r>
      <w:r w:rsidR="00F62999">
        <w:t xml:space="preserve">the </w:t>
      </w:r>
      <w:r w:rsidR="00F62999" w:rsidRPr="00F62999">
        <w:rPr>
          <w:rFonts w:cstheme="minorHAnsi"/>
          <w:color w:val="000000"/>
        </w:rPr>
        <w:t>ASEAN Defence Ministers’ Meeting Experts’ Working Group on Maritime Security</w:t>
      </w:r>
      <w:r w:rsidR="00F62999">
        <w:rPr>
          <w:rFonts w:cstheme="minorHAnsi"/>
          <w:color w:val="000000"/>
        </w:rPr>
        <w:t xml:space="preserve">, with the culmination being a Maritime Security Conference led by this EWG. </w:t>
      </w:r>
      <w:r w:rsidR="00F62999" w:rsidRPr="00F62999">
        <w:rPr>
          <w:rFonts w:cstheme="minorHAnsi"/>
          <w:color w:val="000000"/>
        </w:rPr>
        <w:t xml:space="preserve"> </w:t>
      </w:r>
    </w:p>
    <w:p w14:paraId="30D09414" w14:textId="77777777" w:rsidR="00F62999" w:rsidRPr="00F62999" w:rsidRDefault="00F62999" w:rsidP="00F62999">
      <w:pPr>
        <w:autoSpaceDE w:val="0"/>
        <w:autoSpaceDN w:val="0"/>
        <w:adjustRightInd w:val="0"/>
        <w:spacing w:after="0" w:line="240" w:lineRule="auto"/>
        <w:rPr>
          <w:rFonts w:cstheme="minorHAnsi"/>
          <w:color w:val="000000"/>
        </w:rPr>
      </w:pPr>
    </w:p>
    <w:p w14:paraId="6D332183" w14:textId="246B6B24" w:rsidR="00FE189D" w:rsidRDefault="00FE189D" w:rsidP="00FE189D">
      <w:pPr>
        <w:autoSpaceDE w:val="0"/>
        <w:autoSpaceDN w:val="0"/>
        <w:adjustRightInd w:val="0"/>
        <w:spacing w:after="0" w:line="240" w:lineRule="auto"/>
        <w:rPr>
          <w:rFonts w:cstheme="minorHAnsi"/>
          <w:color w:val="000000"/>
        </w:rPr>
      </w:pPr>
      <w:r>
        <w:rPr>
          <w:rFonts w:cstheme="minorHAnsi"/>
          <w:color w:val="000000"/>
        </w:rPr>
        <w:t xml:space="preserve">One is on supporting border management, which focuses on exchanges of experiences and best practices, the enhancement of interoperability, the exchange of visits, discussions with other ‘cooperation </w:t>
      </w:r>
      <w:proofErr w:type="gramStart"/>
      <w:r>
        <w:rPr>
          <w:rFonts w:cstheme="minorHAnsi"/>
          <w:color w:val="000000"/>
        </w:rPr>
        <w:t>platforms’</w:t>
      </w:r>
      <w:proofErr w:type="gramEnd"/>
      <w:r>
        <w:rPr>
          <w:rFonts w:cstheme="minorHAnsi"/>
          <w:color w:val="000000"/>
        </w:rPr>
        <w:t xml:space="preserve"> and education and training exercises. </w:t>
      </w:r>
    </w:p>
    <w:p w14:paraId="47F9FF0C" w14:textId="26995C85" w:rsidR="002C27F9" w:rsidRDefault="002C27F9" w:rsidP="00FE189D">
      <w:pPr>
        <w:autoSpaceDE w:val="0"/>
        <w:autoSpaceDN w:val="0"/>
        <w:adjustRightInd w:val="0"/>
        <w:spacing w:after="0" w:line="240" w:lineRule="auto"/>
        <w:rPr>
          <w:rFonts w:cstheme="minorHAnsi"/>
          <w:color w:val="000000"/>
        </w:rPr>
      </w:pPr>
    </w:p>
    <w:p w14:paraId="5FD5789F" w14:textId="0FD3CE4C" w:rsidR="002C27F9" w:rsidRDefault="002C27F9" w:rsidP="002C27F9">
      <w:pPr>
        <w:autoSpaceDE w:val="0"/>
        <w:autoSpaceDN w:val="0"/>
        <w:adjustRightInd w:val="0"/>
        <w:spacing w:after="0" w:line="240" w:lineRule="auto"/>
        <w:rPr>
          <w:rFonts w:cstheme="minorHAnsi"/>
          <w:color w:val="000000"/>
        </w:rPr>
      </w:pPr>
      <w:r w:rsidRPr="002C27F9">
        <w:rPr>
          <w:rFonts w:cstheme="minorHAnsi"/>
          <w:color w:val="000000"/>
        </w:rPr>
        <w:t xml:space="preserve">There is also the ADMM guidelines for Maritime Interaction. This is exploring the convening of an expanded ad hoc working group composed of policy and technical officials from ASEAN Member States’ defence establishments and other maritime security agencies may be initiated by the defence establishment of any ASEAN Member State on a voluntary basis for the purposes of sharing knowledge, experiences, and best practices, and exploring opportunities for cooperation to avoid untoward incidents at sea, including the possible expansion of the Guidelines to relevant civilian agencies. </w:t>
      </w:r>
    </w:p>
    <w:p w14:paraId="4B9DF613" w14:textId="05F62726" w:rsidR="002C27F9" w:rsidRDefault="002C27F9" w:rsidP="002C27F9">
      <w:pPr>
        <w:autoSpaceDE w:val="0"/>
        <w:autoSpaceDN w:val="0"/>
        <w:adjustRightInd w:val="0"/>
        <w:spacing w:after="0" w:line="240" w:lineRule="auto"/>
        <w:rPr>
          <w:rFonts w:cstheme="minorHAnsi"/>
          <w:color w:val="000000"/>
        </w:rPr>
      </w:pPr>
    </w:p>
    <w:p w14:paraId="4F489407" w14:textId="63947956" w:rsidR="002C27F9" w:rsidRDefault="002C27F9" w:rsidP="002C27F9">
      <w:pPr>
        <w:autoSpaceDE w:val="0"/>
        <w:autoSpaceDN w:val="0"/>
        <w:adjustRightInd w:val="0"/>
        <w:spacing w:after="0" w:line="240" w:lineRule="auto"/>
        <w:rPr>
          <w:rFonts w:cstheme="minorHAnsi"/>
          <w:color w:val="000000"/>
        </w:rPr>
      </w:pPr>
      <w:r>
        <w:rPr>
          <w:rFonts w:cstheme="minorHAnsi"/>
          <w:color w:val="000000"/>
        </w:rPr>
        <w:t>In the work plans, there are discussions concerning cooperation for maritime safety and SAR, as well as an assessment of whether ADMM cooperation can assist in other NTS issues such as environmental concerns.</w:t>
      </w:r>
    </w:p>
    <w:p w14:paraId="714F1E6E" w14:textId="4C7440BD" w:rsidR="002C27F9" w:rsidRPr="00FE189D" w:rsidRDefault="004939B1" w:rsidP="00FE189D">
      <w:pPr>
        <w:autoSpaceDE w:val="0"/>
        <w:autoSpaceDN w:val="0"/>
        <w:adjustRightInd w:val="0"/>
        <w:spacing w:after="0" w:line="240" w:lineRule="auto"/>
        <w:rPr>
          <w:rFonts w:cstheme="minorHAnsi"/>
          <w:color w:val="000000"/>
        </w:rPr>
      </w:pPr>
      <w:r>
        <w:rPr>
          <w:rFonts w:cstheme="minorHAnsi"/>
          <w:color w:val="000000"/>
        </w:rPr>
        <w:lastRenderedPageBreak/>
        <w:t xml:space="preserve">There is an ASEAN </w:t>
      </w:r>
      <w:r w:rsidRPr="004939B1">
        <w:rPr>
          <w:rFonts w:cstheme="minorHAnsi"/>
          <w:color w:val="000000"/>
        </w:rPr>
        <w:t>Our Eyes initiative</w:t>
      </w:r>
      <w:r>
        <w:rPr>
          <w:rFonts w:cstheme="minorHAnsi"/>
          <w:color w:val="000000"/>
        </w:rPr>
        <w:t xml:space="preserve">, </w:t>
      </w:r>
      <w:r w:rsidRPr="004939B1">
        <w:rPr>
          <w:rFonts w:cstheme="minorHAnsi"/>
          <w:color w:val="000000"/>
        </w:rPr>
        <w:t>a platform for strategic information exchange</w:t>
      </w:r>
      <w:r>
        <w:rPr>
          <w:rFonts w:cstheme="minorHAnsi"/>
          <w:color w:val="000000"/>
        </w:rPr>
        <w:t xml:space="preserve">. This seems to primarily cover </w:t>
      </w:r>
      <w:proofErr w:type="gramStart"/>
      <w:r>
        <w:rPr>
          <w:rFonts w:cstheme="minorHAnsi"/>
          <w:color w:val="000000"/>
        </w:rPr>
        <w:t>terrorism, but</w:t>
      </w:r>
      <w:proofErr w:type="gramEnd"/>
      <w:r>
        <w:rPr>
          <w:rFonts w:cstheme="minorHAnsi"/>
          <w:color w:val="000000"/>
        </w:rPr>
        <w:t xml:space="preserve"> does also refer to non-traditional security threats in its Terms of Reference. </w:t>
      </w:r>
    </w:p>
    <w:p w14:paraId="6590CFFB" w14:textId="77777777" w:rsidR="00FE189D" w:rsidRPr="00FE189D" w:rsidRDefault="00FE189D" w:rsidP="00FE189D">
      <w:pPr>
        <w:autoSpaceDE w:val="0"/>
        <w:autoSpaceDN w:val="0"/>
        <w:adjustRightInd w:val="0"/>
        <w:spacing w:after="0" w:line="240" w:lineRule="auto"/>
        <w:ind w:left="360"/>
        <w:rPr>
          <w:rFonts w:cstheme="minorHAnsi"/>
          <w:color w:val="000000"/>
        </w:rPr>
      </w:pPr>
    </w:p>
    <w:p w14:paraId="5C7697EA" w14:textId="3F922087" w:rsidR="0042018A" w:rsidRPr="002C27F9" w:rsidRDefault="0042018A" w:rsidP="002C27F9">
      <w:pPr>
        <w:pStyle w:val="ListParagraph"/>
        <w:numPr>
          <w:ilvl w:val="0"/>
          <w:numId w:val="1"/>
        </w:numPr>
        <w:rPr>
          <w:rFonts w:cstheme="minorHAnsi"/>
          <w:b/>
          <w:bCs/>
          <w:lang w:val="en-US"/>
        </w:rPr>
      </w:pPr>
      <w:r w:rsidRPr="002C27F9">
        <w:rPr>
          <w:rFonts w:cstheme="minorHAnsi"/>
          <w:b/>
          <w:bCs/>
          <w:lang w:val="en-US"/>
        </w:rPr>
        <w:t xml:space="preserve">Funding structure: </w:t>
      </w:r>
    </w:p>
    <w:p w14:paraId="4B702D0E" w14:textId="77777777" w:rsidR="002C27F9" w:rsidRPr="002C27F9" w:rsidRDefault="002C27F9" w:rsidP="002C27F9">
      <w:pPr>
        <w:rPr>
          <w:lang w:val="en-US"/>
        </w:rPr>
      </w:pPr>
      <w:r w:rsidRPr="002C27F9">
        <w:rPr>
          <w:lang w:val="en-US"/>
        </w:rPr>
        <w:t xml:space="preserve">Funded by the ASEAN Secretariat, which is in turn funded by member countries and external countries and organizations </w:t>
      </w:r>
    </w:p>
    <w:p w14:paraId="678FCB83" w14:textId="77777777" w:rsidR="0042018A" w:rsidRPr="00BF25C5" w:rsidRDefault="0042018A" w:rsidP="002C27F9">
      <w:pPr>
        <w:pStyle w:val="ListParagraph"/>
        <w:numPr>
          <w:ilvl w:val="0"/>
          <w:numId w:val="1"/>
        </w:numPr>
        <w:rPr>
          <w:rFonts w:cstheme="minorHAnsi"/>
          <w:b/>
          <w:bCs/>
          <w:lang w:val="en-US"/>
        </w:rPr>
      </w:pPr>
      <w:r w:rsidRPr="00BF25C5">
        <w:rPr>
          <w:rFonts w:cstheme="minorHAnsi"/>
          <w:b/>
          <w:bCs/>
          <w:lang w:val="en-US"/>
        </w:rPr>
        <w:t>Challenges:</w:t>
      </w:r>
    </w:p>
    <w:p w14:paraId="37C5EA8E" w14:textId="0A7B5B9D" w:rsidR="0042018A" w:rsidRDefault="002C27F9" w:rsidP="0042018A">
      <w:pPr>
        <w:pStyle w:val="Default"/>
        <w:rPr>
          <w:rFonts w:asciiTheme="minorHAnsi" w:hAnsiTheme="minorHAnsi" w:cstheme="minorHAnsi"/>
          <w:sz w:val="22"/>
          <w:szCs w:val="22"/>
        </w:rPr>
      </w:pPr>
      <w:r w:rsidRPr="002C27F9">
        <w:rPr>
          <w:rFonts w:asciiTheme="minorHAnsi" w:hAnsiTheme="minorHAnsi" w:cstheme="minorHAnsi"/>
          <w:sz w:val="22"/>
          <w:szCs w:val="22"/>
        </w:rPr>
        <w:t>As it takes place within the ASEAN structure, an ongoing challenge is its perception as a talking shop, tied into broader regional limits to cooperation</w:t>
      </w:r>
    </w:p>
    <w:p w14:paraId="39763EA6" w14:textId="77777777" w:rsidR="002C27F9" w:rsidRPr="00BF25C5" w:rsidRDefault="002C27F9" w:rsidP="0042018A">
      <w:pPr>
        <w:pStyle w:val="Default"/>
        <w:rPr>
          <w:rStyle w:val="A7"/>
          <w:rFonts w:asciiTheme="minorHAnsi" w:hAnsiTheme="minorHAnsi" w:cstheme="minorHAnsi"/>
          <w:color w:val="000000"/>
        </w:rPr>
      </w:pPr>
    </w:p>
    <w:p w14:paraId="3EC40F6B" w14:textId="77777777" w:rsidR="0042018A" w:rsidRPr="00BF25C5" w:rsidRDefault="0042018A" w:rsidP="0042018A">
      <w:pPr>
        <w:rPr>
          <w:rFonts w:cstheme="minorHAnsi"/>
          <w:b/>
          <w:bCs/>
          <w:szCs w:val="22"/>
          <w:lang w:val="en-US"/>
        </w:rPr>
      </w:pPr>
      <w:r w:rsidRPr="00BF25C5">
        <w:rPr>
          <w:rStyle w:val="A7"/>
          <w:rFonts w:cstheme="minorHAnsi"/>
        </w:rPr>
        <w:t xml:space="preserve">      </w:t>
      </w:r>
      <w:r w:rsidRPr="008E2B28">
        <w:rPr>
          <w:rStyle w:val="A7"/>
          <w:rFonts w:cstheme="minorHAnsi"/>
          <w:b/>
          <w:bCs/>
        </w:rPr>
        <w:t>16.</w:t>
      </w:r>
      <w:r w:rsidRPr="00BF25C5">
        <w:rPr>
          <w:rStyle w:val="A7"/>
          <w:rFonts w:cstheme="minorHAnsi"/>
        </w:rPr>
        <w:t xml:space="preserve"> </w:t>
      </w:r>
      <w:r w:rsidRPr="00BF25C5">
        <w:rPr>
          <w:rFonts w:cstheme="minorHAnsi"/>
          <w:b/>
          <w:bCs/>
          <w:szCs w:val="22"/>
          <w:lang w:val="en-US"/>
        </w:rPr>
        <w:t xml:space="preserve">Cooperation or link with other arrangements: </w:t>
      </w:r>
    </w:p>
    <w:p w14:paraId="55BFF5A4" w14:textId="0FEF3802" w:rsidR="00FE5C29" w:rsidRDefault="00FE189D" w:rsidP="0042018A">
      <w:pPr>
        <w:rPr>
          <w:rFonts w:cstheme="minorHAnsi"/>
          <w:szCs w:val="22"/>
          <w:lang w:val="en-US"/>
        </w:rPr>
      </w:pPr>
      <w:r>
        <w:rPr>
          <w:rFonts w:cstheme="minorHAnsi"/>
          <w:szCs w:val="22"/>
          <w:lang w:val="en-US"/>
        </w:rPr>
        <w:t>ADMM</w:t>
      </w:r>
      <w:r w:rsidR="009F7725" w:rsidRPr="00BF25C5">
        <w:rPr>
          <w:rFonts w:cstheme="minorHAnsi"/>
          <w:szCs w:val="22"/>
          <w:lang w:val="en-US"/>
        </w:rPr>
        <w:t>+</w:t>
      </w:r>
      <w:r w:rsidR="002C27F9">
        <w:rPr>
          <w:rFonts w:cstheme="minorHAnsi"/>
          <w:szCs w:val="22"/>
          <w:lang w:val="en-US"/>
        </w:rPr>
        <w:t xml:space="preserve">; </w:t>
      </w:r>
      <w:r w:rsidR="004B2312" w:rsidRPr="00BF25C5">
        <w:rPr>
          <w:rFonts w:cstheme="minorHAnsi"/>
          <w:szCs w:val="22"/>
          <w:lang w:val="en-US"/>
        </w:rPr>
        <w:t>ACDFIM</w:t>
      </w:r>
      <w:r w:rsidR="002C27F9">
        <w:rPr>
          <w:rFonts w:cstheme="minorHAnsi"/>
          <w:szCs w:val="22"/>
          <w:lang w:val="en-US"/>
        </w:rPr>
        <w:t xml:space="preserve">; </w:t>
      </w:r>
      <w:r w:rsidR="00FE5C29" w:rsidRPr="00BF25C5">
        <w:rPr>
          <w:rFonts w:cstheme="minorHAnsi"/>
          <w:szCs w:val="22"/>
          <w:lang w:val="en-US"/>
        </w:rPr>
        <w:t>AMF</w:t>
      </w:r>
      <w:r w:rsidR="002C27F9">
        <w:rPr>
          <w:rFonts w:cstheme="minorHAnsi"/>
          <w:szCs w:val="22"/>
          <w:lang w:val="en-US"/>
        </w:rPr>
        <w:t xml:space="preserve">; </w:t>
      </w:r>
      <w:r w:rsidR="00FE5C29" w:rsidRPr="00BF25C5">
        <w:rPr>
          <w:rFonts w:cstheme="minorHAnsi"/>
          <w:szCs w:val="22"/>
          <w:lang w:val="en-US"/>
        </w:rPr>
        <w:t>EAMF</w:t>
      </w:r>
      <w:r w:rsidR="002C27F9">
        <w:rPr>
          <w:rFonts w:cstheme="minorHAnsi"/>
          <w:szCs w:val="22"/>
          <w:lang w:val="en-US"/>
        </w:rPr>
        <w:t>; AMIM; ANCM; DGICM; ASOMTC; ASOD; AOE; ASEANAPOL; BLO; MSCP</w:t>
      </w:r>
      <w:r w:rsidR="007506BC">
        <w:rPr>
          <w:rFonts w:cstheme="minorHAnsi"/>
          <w:szCs w:val="22"/>
          <w:lang w:val="en-US"/>
        </w:rPr>
        <w:t xml:space="preserve"> </w:t>
      </w:r>
    </w:p>
    <w:p w14:paraId="29EE6E98" w14:textId="52E07582" w:rsidR="0042018A" w:rsidRDefault="0042018A" w:rsidP="002C27F9">
      <w:pPr>
        <w:pStyle w:val="ListParagraph"/>
        <w:numPr>
          <w:ilvl w:val="0"/>
          <w:numId w:val="13"/>
        </w:numPr>
        <w:rPr>
          <w:rFonts w:cstheme="minorHAnsi"/>
          <w:b/>
          <w:bCs/>
          <w:lang w:val="en-US"/>
        </w:rPr>
      </w:pPr>
      <w:r w:rsidRPr="002C27F9">
        <w:rPr>
          <w:rFonts w:cstheme="minorHAnsi"/>
          <w:b/>
          <w:bCs/>
          <w:lang w:val="en-US"/>
        </w:rPr>
        <w:t xml:space="preserve">Institutional contacts: </w:t>
      </w:r>
    </w:p>
    <w:p w14:paraId="0808D65E" w14:textId="77777777" w:rsidR="002C27F9" w:rsidRPr="002C27F9" w:rsidRDefault="002C27F9" w:rsidP="002C27F9">
      <w:pPr>
        <w:pStyle w:val="ListParagraph"/>
        <w:rPr>
          <w:rFonts w:cstheme="minorHAnsi"/>
          <w:b/>
          <w:bCs/>
          <w:lang w:val="en-US"/>
        </w:rPr>
      </w:pPr>
    </w:p>
    <w:p w14:paraId="44D57D31" w14:textId="56149B54" w:rsidR="0042018A" w:rsidRDefault="0042018A" w:rsidP="002C27F9">
      <w:pPr>
        <w:pStyle w:val="ListParagraph"/>
        <w:numPr>
          <w:ilvl w:val="0"/>
          <w:numId w:val="13"/>
        </w:numPr>
        <w:rPr>
          <w:rFonts w:cstheme="minorHAnsi"/>
          <w:lang w:val="en-US"/>
        </w:rPr>
      </w:pPr>
      <w:r w:rsidRPr="00BF25C5">
        <w:rPr>
          <w:rFonts w:cstheme="minorHAnsi"/>
          <w:b/>
          <w:bCs/>
          <w:lang w:val="en-US"/>
        </w:rPr>
        <w:t>Noteworthy literature</w:t>
      </w:r>
      <w:r w:rsidRPr="00BF25C5">
        <w:rPr>
          <w:rFonts w:cstheme="minorHAnsi"/>
          <w:lang w:val="en-US"/>
        </w:rPr>
        <w:t xml:space="preserve">: </w:t>
      </w:r>
    </w:p>
    <w:p w14:paraId="2ECAF2BF" w14:textId="77777777" w:rsidR="002C27F9" w:rsidRPr="002C27F9" w:rsidRDefault="002C27F9" w:rsidP="002C27F9">
      <w:pPr>
        <w:pStyle w:val="ListParagraph"/>
        <w:rPr>
          <w:rFonts w:cstheme="minorHAnsi"/>
          <w:lang w:val="en-US"/>
        </w:rPr>
      </w:pPr>
    </w:p>
    <w:p w14:paraId="695A9ED5" w14:textId="77777777" w:rsidR="002C27F9" w:rsidRDefault="0042018A" w:rsidP="002C27F9">
      <w:pPr>
        <w:pStyle w:val="ListParagraph"/>
        <w:numPr>
          <w:ilvl w:val="0"/>
          <w:numId w:val="13"/>
        </w:numPr>
        <w:rPr>
          <w:rFonts w:cstheme="minorHAnsi"/>
          <w:b/>
          <w:bCs/>
          <w:lang w:val="en-US"/>
        </w:rPr>
      </w:pPr>
      <w:r w:rsidRPr="00BF25C5">
        <w:rPr>
          <w:rFonts w:cstheme="minorHAnsi"/>
          <w:b/>
          <w:bCs/>
          <w:lang w:val="en-US"/>
        </w:rPr>
        <w:t>Knowledge gaps to follow up on:</w:t>
      </w:r>
    </w:p>
    <w:p w14:paraId="4D30A115" w14:textId="5479D50A" w:rsidR="0042018A" w:rsidRPr="008E2B28" w:rsidRDefault="002C27F9" w:rsidP="002C27F9">
      <w:pPr>
        <w:rPr>
          <w:rFonts w:cstheme="minorHAnsi"/>
          <w:lang w:val="en-US"/>
        </w:rPr>
      </w:pPr>
      <w:r>
        <w:rPr>
          <w:rFonts w:cstheme="minorHAnsi"/>
          <w:lang w:val="en-US"/>
        </w:rPr>
        <w:t xml:space="preserve">The ADMM seems aware of the potential for overlap that the proliferation of meetings can cause. As a result, it has worked to identify these overlaps and structure some degree of interaction. </w:t>
      </w:r>
      <w:bookmarkEnd w:id="0"/>
      <w:r w:rsidR="008E2B28">
        <w:rPr>
          <w:rFonts w:cstheme="minorHAnsi"/>
          <w:lang w:val="en-US"/>
        </w:rPr>
        <w:t xml:space="preserve">An example is the actions of the ADMM following the institutionalization of the previously informal ASEAN Chiefs of </w:t>
      </w:r>
      <w:proofErr w:type="spellStart"/>
      <w:r w:rsidR="008E2B28">
        <w:rPr>
          <w:rFonts w:cstheme="minorHAnsi"/>
          <w:lang w:val="en-US"/>
        </w:rPr>
        <w:t>Defence</w:t>
      </w:r>
      <w:proofErr w:type="spellEnd"/>
      <w:r w:rsidR="008E2B28">
        <w:rPr>
          <w:rFonts w:cstheme="minorHAnsi"/>
          <w:lang w:val="en-US"/>
        </w:rPr>
        <w:t xml:space="preserve"> Forces Informal Meeting (which became the ASEAN Chiefs of </w:t>
      </w:r>
      <w:proofErr w:type="spellStart"/>
      <w:r w:rsidR="008E2B28">
        <w:rPr>
          <w:rFonts w:cstheme="minorHAnsi"/>
          <w:lang w:val="en-US"/>
        </w:rPr>
        <w:t>Defence</w:t>
      </w:r>
      <w:proofErr w:type="spellEnd"/>
      <w:r w:rsidR="008E2B28">
        <w:rPr>
          <w:rFonts w:cstheme="minorHAnsi"/>
          <w:lang w:val="en-US"/>
        </w:rPr>
        <w:t xml:space="preserve"> Forces Meeting). It noted that ‘</w:t>
      </w:r>
      <w:r w:rsidR="008E2B28">
        <w:rPr>
          <w:rFonts w:cstheme="minorHAnsi"/>
          <w:color w:val="000000"/>
          <w:szCs w:val="22"/>
        </w:rPr>
        <w:t>i</w:t>
      </w:r>
      <w:r w:rsidR="008E2B28" w:rsidRPr="00BF25C5">
        <w:rPr>
          <w:rFonts w:cstheme="minorHAnsi"/>
          <w:color w:val="000000"/>
          <w:szCs w:val="22"/>
        </w:rPr>
        <w:t xml:space="preserve">n addition to the ACDFIM, several other </w:t>
      </w:r>
      <w:r w:rsidR="008E2B28">
        <w:rPr>
          <w:rFonts w:cstheme="minorHAnsi"/>
          <w:color w:val="000000"/>
        </w:rPr>
        <w:t>ASEAN</w:t>
      </w:r>
      <w:r w:rsidR="008E2B28" w:rsidRPr="00BF25C5">
        <w:rPr>
          <w:rFonts w:cstheme="minorHAnsi"/>
          <w:color w:val="000000"/>
          <w:szCs w:val="22"/>
        </w:rPr>
        <w:t xml:space="preserve"> military meetings including those among the heads of armies, navies, air forces as well as chiefs of operations, intelligence, and military medicine of armed forces of </w:t>
      </w:r>
      <w:r w:rsidR="008E2B28">
        <w:rPr>
          <w:rFonts w:cstheme="minorHAnsi"/>
          <w:color w:val="000000"/>
        </w:rPr>
        <w:t>ASEAN</w:t>
      </w:r>
      <w:r w:rsidR="008E2B28" w:rsidRPr="00BF25C5">
        <w:rPr>
          <w:rFonts w:cstheme="minorHAnsi"/>
          <w:color w:val="000000"/>
          <w:szCs w:val="22"/>
        </w:rPr>
        <w:t xml:space="preserve"> Member States have been established</w:t>
      </w:r>
      <w:r w:rsidR="008E2B28">
        <w:rPr>
          <w:rFonts w:cstheme="minorHAnsi"/>
          <w:color w:val="000000"/>
          <w:szCs w:val="22"/>
        </w:rPr>
        <w:t>’</w:t>
      </w:r>
      <w:r w:rsidR="008E2B28" w:rsidRPr="00BF25C5">
        <w:rPr>
          <w:rFonts w:cstheme="minorHAnsi"/>
          <w:color w:val="000000"/>
          <w:szCs w:val="22"/>
        </w:rPr>
        <w:t xml:space="preserve">. </w:t>
      </w:r>
      <w:r w:rsidR="008E2B28">
        <w:rPr>
          <w:rFonts w:cstheme="minorHAnsi"/>
          <w:color w:val="000000"/>
          <w:szCs w:val="22"/>
        </w:rPr>
        <w:t xml:space="preserve">This includes the AMIM and ANCM. </w:t>
      </w:r>
      <w:r w:rsidR="008E2B28">
        <w:rPr>
          <w:rFonts w:cstheme="minorHAnsi"/>
          <w:lang w:val="en-US"/>
        </w:rPr>
        <w:t xml:space="preserve">Concept papers were produced that developed the linkage between the two, including the ACDFM taking stock of and consolidating all ASEAN military meetings for onward reporting to the ADMM. The ACDFM now reports to the ADMM, with the service meetings reporting to ACDFM. </w:t>
      </w:r>
    </w:p>
    <w:p w14:paraId="424308E0" w14:textId="049146F3" w:rsidR="00445F40" w:rsidRPr="00371699" w:rsidRDefault="00371699" w:rsidP="00371699">
      <w:pPr>
        <w:autoSpaceDE w:val="0"/>
        <w:autoSpaceDN w:val="0"/>
        <w:adjustRightInd w:val="0"/>
        <w:spacing w:after="0" w:line="240" w:lineRule="auto"/>
        <w:rPr>
          <w:rFonts w:cstheme="minorHAnsi"/>
          <w:color w:val="000000"/>
          <w:szCs w:val="22"/>
        </w:rPr>
      </w:pPr>
      <w:r>
        <w:rPr>
          <w:rFonts w:cstheme="minorHAnsi"/>
          <w:szCs w:val="22"/>
        </w:rPr>
        <w:t>This has also occurred concerning border management. The ADDM notes that member states ‘</w:t>
      </w:r>
      <w:r w:rsidR="00932F39" w:rsidRPr="00BF25C5">
        <w:rPr>
          <w:rFonts w:cstheme="minorHAnsi"/>
          <w:color w:val="000000"/>
          <w:szCs w:val="22"/>
        </w:rPr>
        <w:t xml:space="preserve">have traditionally dealt with cross-border challenges by utilizing various regional and sub-regional mechanisms such as the </w:t>
      </w:r>
      <w:r w:rsidR="00FE189D">
        <w:rPr>
          <w:rFonts w:cstheme="minorHAnsi"/>
          <w:color w:val="000000"/>
          <w:szCs w:val="22"/>
        </w:rPr>
        <w:t>ASEAN</w:t>
      </w:r>
      <w:r w:rsidR="00932F39" w:rsidRPr="00BF25C5">
        <w:rPr>
          <w:rFonts w:cstheme="minorHAnsi"/>
          <w:color w:val="000000"/>
          <w:szCs w:val="22"/>
        </w:rPr>
        <w:t xml:space="preserve"> Directors-General of Immigration Departments and Heads of Consular Affairs Divisions of the Ministries of Foreign Affairs (DGICM), the Senior Officials’ Meeting on Transnational Crime (SOMTC), the </w:t>
      </w:r>
      <w:r w:rsidR="00FE189D">
        <w:rPr>
          <w:rFonts w:cstheme="minorHAnsi"/>
          <w:color w:val="000000"/>
          <w:szCs w:val="22"/>
        </w:rPr>
        <w:t>ASEAN</w:t>
      </w:r>
      <w:r w:rsidR="00932F39" w:rsidRPr="00BF25C5">
        <w:rPr>
          <w:rFonts w:cstheme="minorHAnsi"/>
          <w:color w:val="000000"/>
          <w:szCs w:val="22"/>
        </w:rPr>
        <w:t xml:space="preserve"> Senior Officials on Drug Matters (ASOD), </w:t>
      </w:r>
      <w:r w:rsidR="00FE189D">
        <w:rPr>
          <w:rFonts w:cstheme="minorHAnsi"/>
          <w:color w:val="000000"/>
          <w:szCs w:val="22"/>
        </w:rPr>
        <w:t>ASEAN</w:t>
      </w:r>
      <w:r w:rsidR="00932F39" w:rsidRPr="00BF25C5">
        <w:rPr>
          <w:rFonts w:cstheme="minorHAnsi"/>
          <w:color w:val="000000"/>
          <w:szCs w:val="22"/>
        </w:rPr>
        <w:t xml:space="preserve"> Directors-General of Customs, </w:t>
      </w:r>
      <w:r w:rsidR="00FE189D">
        <w:rPr>
          <w:rFonts w:cstheme="minorHAnsi"/>
          <w:color w:val="000000"/>
          <w:szCs w:val="22"/>
        </w:rPr>
        <w:t>ASEAN</w:t>
      </w:r>
      <w:r w:rsidR="00932F39" w:rsidRPr="00BF25C5">
        <w:rPr>
          <w:rFonts w:cstheme="minorHAnsi"/>
          <w:color w:val="000000"/>
          <w:szCs w:val="22"/>
        </w:rPr>
        <w:t xml:space="preserve"> Our Eyes (AOE) and </w:t>
      </w:r>
      <w:r w:rsidR="00FE189D">
        <w:rPr>
          <w:rFonts w:cstheme="minorHAnsi"/>
          <w:color w:val="000000"/>
          <w:szCs w:val="22"/>
        </w:rPr>
        <w:t>ASEAN</w:t>
      </w:r>
      <w:r w:rsidR="00932F39" w:rsidRPr="00BF25C5">
        <w:rPr>
          <w:rFonts w:cstheme="minorHAnsi"/>
          <w:color w:val="000000"/>
          <w:szCs w:val="22"/>
        </w:rPr>
        <w:t xml:space="preserve"> Chiefs of Police (</w:t>
      </w:r>
      <w:r w:rsidR="00FE189D">
        <w:rPr>
          <w:rFonts w:cstheme="minorHAnsi"/>
          <w:color w:val="000000"/>
          <w:szCs w:val="22"/>
        </w:rPr>
        <w:t>ASEAN</w:t>
      </w:r>
      <w:r w:rsidR="00932F39" w:rsidRPr="00BF25C5">
        <w:rPr>
          <w:rFonts w:cstheme="minorHAnsi"/>
          <w:color w:val="000000"/>
          <w:szCs w:val="22"/>
        </w:rPr>
        <w:t>APOL) Conference as well as Border Liaison Office (BLO), the Malacca Straits Coordinated Patrol (MSCP)</w:t>
      </w:r>
      <w:r>
        <w:rPr>
          <w:rFonts w:cstheme="minorHAnsi"/>
          <w:color w:val="000000"/>
          <w:szCs w:val="22"/>
        </w:rPr>
        <w:t>’. It sought a ‘</w:t>
      </w:r>
      <w:r w:rsidRPr="002A0CB0">
        <w:rPr>
          <w:rFonts w:cstheme="minorHAnsi"/>
          <w:color w:val="000000"/>
          <w:szCs w:val="22"/>
        </w:rPr>
        <w:t xml:space="preserve">definition of the role of the defence sector in addressing these non-traditional security concerns without duplicating the work of other sectoral </w:t>
      </w:r>
      <w:proofErr w:type="gramStart"/>
      <w:r w:rsidRPr="002A0CB0">
        <w:rPr>
          <w:rFonts w:cstheme="minorHAnsi"/>
          <w:color w:val="000000"/>
          <w:szCs w:val="22"/>
        </w:rPr>
        <w:t>bodies</w:t>
      </w:r>
      <w:r>
        <w:rPr>
          <w:rFonts w:cstheme="minorHAnsi"/>
          <w:color w:val="000000"/>
          <w:szCs w:val="22"/>
        </w:rPr>
        <w:t>’</w:t>
      </w:r>
      <w:proofErr w:type="gramEnd"/>
      <w:r>
        <w:rPr>
          <w:rFonts w:cstheme="minorHAnsi"/>
          <w:color w:val="000000"/>
          <w:szCs w:val="22"/>
        </w:rPr>
        <w:t xml:space="preserve">. Recognising this, the ADMM ‘encouraged interaction with existing mechanisms’, though it is unclear as how this interaction is structured in practice. </w:t>
      </w:r>
    </w:p>
    <w:p w14:paraId="5566CAB8" w14:textId="77777777" w:rsidR="002A0CB0" w:rsidRPr="00BF25C5" w:rsidRDefault="002A0CB0" w:rsidP="00932F39">
      <w:pPr>
        <w:rPr>
          <w:rFonts w:cstheme="minorHAnsi"/>
          <w:szCs w:val="22"/>
        </w:rPr>
      </w:pPr>
    </w:p>
    <w:sectPr w:rsidR="002A0CB0" w:rsidRPr="00BF25C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5D108F0"/>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A5588C9"/>
    <w:multiLevelType w:val="multilevel"/>
    <w:tmpl w:val="FFFFFFFF"/>
    <w:lvl w:ilvl="0">
      <w:start w:val="1"/>
      <w:numFmt w:val="ideographDigital"/>
      <w:lvlText w:val=""/>
      <w:lvlJc w:val="left"/>
    </w:lvl>
    <w:lvl w:ilvl="1">
      <w:start w:val="1"/>
      <w:numFmt w:val="lowerRoman"/>
      <w:lvlText w:val="%1"/>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FE75647"/>
    <w:multiLevelType w:val="hybridMultilevel"/>
    <w:tmpl w:val="60CCD9E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 w15:restartNumberingAfterBreak="0">
    <w:nsid w:val="16B25538"/>
    <w:multiLevelType w:val="hybridMultilevel"/>
    <w:tmpl w:val="60CCD9E4"/>
    <w:lvl w:ilvl="0" w:tplc="2000000F">
      <w:start w:val="1"/>
      <w:numFmt w:val="decimal"/>
      <w:lvlText w:val="%1."/>
      <w:lvlJc w:val="left"/>
      <w:pPr>
        <w:ind w:left="720" w:hanging="36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4" w15:restartNumberingAfterBreak="0">
    <w:nsid w:val="1D091158"/>
    <w:multiLevelType w:val="hybridMultilevel"/>
    <w:tmpl w:val="318C32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26C0AD2"/>
    <w:multiLevelType w:val="hybridMultilevel"/>
    <w:tmpl w:val="60CCD9E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 w15:restartNumberingAfterBreak="0">
    <w:nsid w:val="346254D0"/>
    <w:multiLevelType w:val="hybridMultilevel"/>
    <w:tmpl w:val="60CCD9E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35DA267D"/>
    <w:multiLevelType w:val="hybridMultilevel"/>
    <w:tmpl w:val="3B0C8D70"/>
    <w:lvl w:ilvl="0" w:tplc="90EE8C1A">
      <w:start w:val="17"/>
      <w:numFmt w:val="decimal"/>
      <w:lvlText w:val="%1."/>
      <w:lvlJc w:val="left"/>
      <w:pPr>
        <w:ind w:left="720" w:hanging="360"/>
      </w:pPr>
      <w:rPr>
        <w:rFonts w:hint="default"/>
        <w:b/>
        <w:bCs/>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81916B0"/>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4B639108"/>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57575C47"/>
    <w:multiLevelType w:val="hybridMultilevel"/>
    <w:tmpl w:val="60CCD9E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1" w15:restartNumberingAfterBreak="0">
    <w:nsid w:val="6D262BA3"/>
    <w:multiLevelType w:val="hybridMultilevel"/>
    <w:tmpl w:val="60CCD9E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num w:numId="1" w16cid:durableId="93232490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81906927">
    <w:abstractNumId w:val="6"/>
  </w:num>
  <w:num w:numId="3" w16cid:durableId="950087307">
    <w:abstractNumId w:val="3"/>
  </w:num>
  <w:num w:numId="4" w16cid:durableId="1521624680">
    <w:abstractNumId w:val="5"/>
  </w:num>
  <w:num w:numId="5" w16cid:durableId="1368337377">
    <w:abstractNumId w:val="11"/>
  </w:num>
  <w:num w:numId="6" w16cid:durableId="752363588">
    <w:abstractNumId w:val="2"/>
  </w:num>
  <w:num w:numId="7" w16cid:durableId="426733990">
    <w:abstractNumId w:val="1"/>
  </w:num>
  <w:num w:numId="8" w16cid:durableId="836575103">
    <w:abstractNumId w:val="8"/>
  </w:num>
  <w:num w:numId="9" w16cid:durableId="2074502228">
    <w:abstractNumId w:val="9"/>
  </w:num>
  <w:num w:numId="10" w16cid:durableId="1644654090">
    <w:abstractNumId w:val="0"/>
  </w:num>
  <w:num w:numId="11" w16cid:durableId="459307159">
    <w:abstractNumId w:val="4"/>
  </w:num>
  <w:num w:numId="12" w16cid:durableId="1491798672">
    <w:abstractNumId w:val="10"/>
  </w:num>
  <w:num w:numId="13" w16cid:durableId="6863721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proofState w:spelling="clean" w:grammar="clean"/>
  <w:defaultTabStop w:val="720"/>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018A"/>
    <w:rsid w:val="001864BE"/>
    <w:rsid w:val="002A0CB0"/>
    <w:rsid w:val="002C27F9"/>
    <w:rsid w:val="00371699"/>
    <w:rsid w:val="0042018A"/>
    <w:rsid w:val="00440519"/>
    <w:rsid w:val="00445F40"/>
    <w:rsid w:val="00460DCD"/>
    <w:rsid w:val="004939B1"/>
    <w:rsid w:val="004961C9"/>
    <w:rsid w:val="004B2312"/>
    <w:rsid w:val="0070711A"/>
    <w:rsid w:val="007506BC"/>
    <w:rsid w:val="008E2B28"/>
    <w:rsid w:val="009149D2"/>
    <w:rsid w:val="00932F39"/>
    <w:rsid w:val="009F7725"/>
    <w:rsid w:val="00A24491"/>
    <w:rsid w:val="00A3418C"/>
    <w:rsid w:val="00A5138F"/>
    <w:rsid w:val="00A5740F"/>
    <w:rsid w:val="00B20597"/>
    <w:rsid w:val="00BF25C5"/>
    <w:rsid w:val="00C40AE0"/>
    <w:rsid w:val="00DA7D25"/>
    <w:rsid w:val="00F62999"/>
    <w:rsid w:val="00F63E7A"/>
    <w:rsid w:val="00FE189D"/>
    <w:rsid w:val="00FE5C29"/>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A20C17"/>
  <w15:chartTrackingRefBased/>
  <w15:docId w15:val="{E551F8DA-6819-43D5-BE37-BB969FCD3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8"/>
        <w:lang w:val="en-GB"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018A"/>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018A"/>
    <w:pPr>
      <w:ind w:left="720"/>
      <w:contextualSpacing/>
    </w:pPr>
    <w:rPr>
      <w:szCs w:val="22"/>
      <w:lang w:bidi="ar-SA"/>
    </w:rPr>
  </w:style>
  <w:style w:type="paragraph" w:customStyle="1" w:styleId="Default">
    <w:name w:val="Default"/>
    <w:rsid w:val="0042018A"/>
    <w:pPr>
      <w:autoSpaceDE w:val="0"/>
      <w:autoSpaceDN w:val="0"/>
      <w:adjustRightInd w:val="0"/>
      <w:spacing w:after="0" w:line="240" w:lineRule="auto"/>
    </w:pPr>
    <w:rPr>
      <w:rFonts w:ascii="Calibri Light" w:hAnsi="Calibri Light" w:cs="Calibri Light"/>
      <w:color w:val="000000"/>
      <w:sz w:val="24"/>
      <w:szCs w:val="24"/>
    </w:rPr>
  </w:style>
  <w:style w:type="character" w:customStyle="1" w:styleId="A7">
    <w:name w:val="A7"/>
    <w:uiPriority w:val="99"/>
    <w:rsid w:val="0042018A"/>
    <w:rPr>
      <w:rFonts w:cs="Calibri Light"/>
      <w:color w:val="211D1E"/>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1100</TotalTime>
  <Pages>3</Pages>
  <Words>1229</Words>
  <Characters>7007</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Edwards</dc:creator>
  <cp:keywords/>
  <dc:description/>
  <cp:lastModifiedBy>Scott Edwards</cp:lastModifiedBy>
  <cp:revision>18</cp:revision>
  <dcterms:created xsi:type="dcterms:W3CDTF">2022-07-09T16:25:00Z</dcterms:created>
  <dcterms:modified xsi:type="dcterms:W3CDTF">2022-07-12T08:07:00Z</dcterms:modified>
</cp:coreProperties>
</file>