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F3BD7" w14:textId="77777777" w:rsidR="00B4491F" w:rsidRPr="00E81CD9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1117782E" w14:textId="48E57A5D" w:rsidR="00B4491F" w:rsidRPr="00700E6F" w:rsidRDefault="0059433A" w:rsidP="00B4491F">
      <w:pPr>
        <w:rPr>
          <w:b/>
          <w:bCs/>
          <w:szCs w:val="22"/>
          <w:lang w:val="en-US" w:bidi="ar-SA"/>
        </w:rPr>
      </w:pPr>
      <w:r>
        <w:rPr>
          <w:lang w:val="en-US"/>
        </w:rPr>
        <w:t>Expanded ASEAN Maritime Forum (EAMF)</w:t>
      </w:r>
      <w:r w:rsidR="00B4491F">
        <w:rPr>
          <w:lang w:val="en-US"/>
        </w:rPr>
        <w:tab/>
      </w:r>
    </w:p>
    <w:p w14:paraId="4C6A44B7" w14:textId="77777777" w:rsidR="00B4491F" w:rsidRPr="00E81CD9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Short description: </w:t>
      </w:r>
    </w:p>
    <w:p w14:paraId="23DB0FAD" w14:textId="77777777" w:rsidR="00B4491F" w:rsidRDefault="00B4491F" w:rsidP="00B4491F">
      <w:pPr>
        <w:rPr>
          <w:lang w:val="en-US"/>
        </w:rPr>
      </w:pPr>
      <w:r>
        <w:rPr>
          <w:lang w:val="en-US"/>
        </w:rPr>
        <w:t xml:space="preserve">The inter-sessional meeting is the primary forum for the discussion of transnational crime in the ASEAN Regional Forum (ARF). </w:t>
      </w:r>
      <w:r w:rsidRPr="007B77CB">
        <w:rPr>
          <w:lang w:val="en-US"/>
        </w:rPr>
        <w:t>Its purpose is to promote dialogue regarding challenges and threats that ARF members face and concrete cooperation</w:t>
      </w:r>
      <w:r>
        <w:rPr>
          <w:lang w:val="en-US"/>
        </w:rPr>
        <w:t xml:space="preserve">. </w:t>
      </w:r>
    </w:p>
    <w:p w14:paraId="25F5289B" w14:textId="77777777" w:rsidR="00B4491F" w:rsidRPr="007B77CB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7B77CB">
        <w:rPr>
          <w:b/>
          <w:bCs/>
          <w:lang w:val="en-US"/>
        </w:rPr>
        <w:t xml:space="preserve">Formality: </w:t>
      </w:r>
    </w:p>
    <w:p w14:paraId="49238418" w14:textId="77777777" w:rsidR="00B4491F" w:rsidRPr="00E81CD9" w:rsidRDefault="00B4491F" w:rsidP="00B4491F">
      <w:pPr>
        <w:rPr>
          <w:lang w:val="en-US"/>
        </w:rPr>
      </w:pPr>
      <w:r>
        <w:rPr>
          <w:lang w:val="en-US"/>
        </w:rPr>
        <w:t xml:space="preserve">Mixed. It has a small unit within the ASEAN secretariat but no dedicated secretariat of its own. </w:t>
      </w:r>
    </w:p>
    <w:p w14:paraId="728F78FD" w14:textId="77777777" w:rsidR="00B4491F" w:rsidRPr="00E81CD9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Regional coverage: </w:t>
      </w:r>
    </w:p>
    <w:p w14:paraId="05216DD0" w14:textId="77777777" w:rsidR="00B4491F" w:rsidRPr="00E81CD9" w:rsidRDefault="00B4491F" w:rsidP="00B4491F">
      <w:pPr>
        <w:rPr>
          <w:lang w:val="en-US"/>
        </w:rPr>
      </w:pPr>
      <w:r>
        <w:rPr>
          <w:lang w:val="en-US"/>
        </w:rPr>
        <w:t>Indo-Pacific</w:t>
      </w:r>
    </w:p>
    <w:p w14:paraId="6E7E6740" w14:textId="77777777" w:rsidR="00B4491F" w:rsidRPr="00E81CD9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024C0647" w14:textId="5E84AC4C" w:rsidR="00B4491F" w:rsidRDefault="00B4491F" w:rsidP="00B4491F">
      <w:pPr>
        <w:rPr>
          <w:lang w:val="en-US"/>
        </w:rPr>
      </w:pPr>
      <w:r w:rsidRPr="00E76A30">
        <w:rPr>
          <w:lang w:val="en-US"/>
        </w:rPr>
        <w:t xml:space="preserve">10 ASEAN member states (Brunei, Cambodia, Indonesia, Laos, Malaysia, Myanmar, Philippines, Singapore, </w:t>
      </w:r>
      <w:proofErr w:type="gramStart"/>
      <w:r w:rsidRPr="00E76A30">
        <w:rPr>
          <w:lang w:val="en-US"/>
        </w:rPr>
        <w:t>Thailand</w:t>
      </w:r>
      <w:proofErr w:type="gramEnd"/>
      <w:r w:rsidRPr="00E76A30">
        <w:rPr>
          <w:lang w:val="en-US"/>
        </w:rPr>
        <w:t xml:space="preserve"> and Vietnam); </w:t>
      </w:r>
      <w:r w:rsidR="00C64133" w:rsidRPr="00C64133">
        <w:rPr>
          <w:lang w:val="en-US"/>
        </w:rPr>
        <w:t>Australia, China, India, Japan, New Zealand, Republic of Korea, Russia, and the United States of America</w:t>
      </w:r>
    </w:p>
    <w:p w14:paraId="3999875E" w14:textId="77777777" w:rsidR="00B4491F" w:rsidRPr="00E76A30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76A30">
        <w:rPr>
          <w:b/>
          <w:bCs/>
          <w:lang w:val="en-US"/>
        </w:rPr>
        <w:t xml:space="preserve">Includes non-state </w:t>
      </w:r>
      <w:proofErr w:type="gramStart"/>
      <w:r w:rsidRPr="00E76A30">
        <w:rPr>
          <w:b/>
          <w:bCs/>
          <w:lang w:val="en-US"/>
        </w:rPr>
        <w:t>actors?</w:t>
      </w:r>
      <w:proofErr w:type="gramEnd"/>
      <w:r w:rsidRPr="00E76A30">
        <w:rPr>
          <w:b/>
          <w:bCs/>
          <w:lang w:val="en-US"/>
        </w:rPr>
        <w:t xml:space="preserve"> </w:t>
      </w:r>
    </w:p>
    <w:p w14:paraId="3F463AA6" w14:textId="77777777" w:rsidR="00F559FE" w:rsidRPr="00F559FE" w:rsidRDefault="00F559FE" w:rsidP="00F559FE">
      <w:pPr>
        <w:rPr>
          <w:lang w:val="en-US"/>
        </w:rPr>
      </w:pPr>
      <w:r w:rsidRPr="00F559FE">
        <w:rPr>
          <w:lang w:val="en-US"/>
        </w:rPr>
        <w:t>Yes. The ASEAN Secretariat prepares the meeting and other stakeholders (UNODC, IMO, ReCAAP, Think Tanks, Academics) give presentations on key topics.</w:t>
      </w:r>
    </w:p>
    <w:p w14:paraId="3DF0CCFE" w14:textId="77777777" w:rsidR="00B4491F" w:rsidRPr="00F55AB6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Date created: </w:t>
      </w:r>
    </w:p>
    <w:p w14:paraId="59F4FBEC" w14:textId="63314E99" w:rsidR="00B4491F" w:rsidRPr="00F55AB6" w:rsidRDefault="00B4491F" w:rsidP="00B4491F">
      <w:pPr>
        <w:rPr>
          <w:lang w:val="en-US"/>
        </w:rPr>
      </w:pPr>
      <w:r w:rsidRPr="00F55AB6">
        <w:rPr>
          <w:lang w:val="en-US"/>
        </w:rPr>
        <w:t>20</w:t>
      </w:r>
      <w:r w:rsidR="00F559FE">
        <w:rPr>
          <w:lang w:val="en-US"/>
        </w:rPr>
        <w:t>1</w:t>
      </w:r>
      <w:r w:rsidR="0023754C">
        <w:rPr>
          <w:lang w:val="en-US"/>
        </w:rPr>
        <w:t>2</w:t>
      </w:r>
    </w:p>
    <w:p w14:paraId="267169CC" w14:textId="77777777" w:rsidR="00B4491F" w:rsidRPr="00BA7692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67F48183" w14:textId="4450E31C" w:rsidR="00B4491F" w:rsidRPr="00BA7692" w:rsidRDefault="00F559FE" w:rsidP="00B4491F">
      <w:pPr>
        <w:rPr>
          <w:lang w:val="en-US"/>
        </w:rPr>
      </w:pPr>
      <w:r>
        <w:rPr>
          <w:lang w:val="en-US"/>
        </w:rPr>
        <w:t>201</w:t>
      </w:r>
      <w:r w:rsidR="0023754C">
        <w:rPr>
          <w:lang w:val="en-US"/>
        </w:rPr>
        <w:t>2</w:t>
      </w:r>
    </w:p>
    <w:p w14:paraId="2A196698" w14:textId="77777777" w:rsidR="00B4491F" w:rsidRPr="00BA7692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 xml:space="preserve">Brief History and Description: </w:t>
      </w:r>
    </w:p>
    <w:p w14:paraId="583E193E" w14:textId="29951AE0" w:rsidR="00F559FE" w:rsidRPr="00F559FE" w:rsidRDefault="00F559FE" w:rsidP="00F559FE">
      <w:pPr>
        <w:rPr>
          <w:b/>
          <w:bCs/>
          <w:szCs w:val="22"/>
          <w:lang w:val="en-US" w:bidi="ar-SA"/>
        </w:rPr>
      </w:pPr>
      <w:r w:rsidRPr="00F559FE">
        <w:rPr>
          <w:lang w:val="en-US"/>
        </w:rPr>
        <w:t>In the 19th ASEAN Summit in Bali in 2011, the ASEAN Leaders welcomed</w:t>
      </w:r>
      <w:r>
        <w:rPr>
          <w:lang w:val="en-US"/>
        </w:rPr>
        <w:t xml:space="preserve"> </w:t>
      </w:r>
      <w:r w:rsidRPr="00F559FE">
        <w:rPr>
          <w:lang w:val="en-US"/>
        </w:rPr>
        <w:t>the motion for an Expanded AMF in its back-to-back meetings.</w:t>
      </w:r>
      <w:r>
        <w:rPr>
          <w:lang w:val="en-US"/>
        </w:rPr>
        <w:t xml:space="preserve"> It takes the form of a track 1.5 dialogue. </w:t>
      </w:r>
    </w:p>
    <w:p w14:paraId="24125E94" w14:textId="7CB21E37" w:rsidR="00B4491F" w:rsidRPr="00FD6E2D" w:rsidRDefault="00B4491F" w:rsidP="00F559F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D6E2D">
        <w:rPr>
          <w:b/>
          <w:bCs/>
          <w:lang w:val="en-US"/>
        </w:rPr>
        <w:t xml:space="preserve">Maritime Security Issues Covered: </w:t>
      </w:r>
    </w:p>
    <w:p w14:paraId="1C833B9F" w14:textId="10154C0F" w:rsidR="0023754C" w:rsidRPr="0023754C" w:rsidRDefault="0023754C" w:rsidP="0023754C">
      <w:pPr>
        <w:rPr>
          <w:lang w:val="en-US"/>
        </w:rPr>
      </w:pPr>
      <w:r w:rsidRPr="00B5166D">
        <w:rPr>
          <w:lang w:val="en-US"/>
        </w:rPr>
        <w:t>Transnational Organized Crime, Terrorism, Pollution, IUU fishing</w:t>
      </w:r>
      <w:r>
        <w:rPr>
          <w:lang w:val="en-US"/>
        </w:rPr>
        <w:t xml:space="preserve">, </w:t>
      </w:r>
      <w:r w:rsidRPr="0023754C">
        <w:rPr>
          <w:lang w:val="en-US"/>
        </w:rPr>
        <w:t>Maritime environment</w:t>
      </w:r>
      <w:r>
        <w:rPr>
          <w:lang w:val="en-US"/>
        </w:rPr>
        <w:t>, Marine Pollution, South China Sea</w:t>
      </w:r>
    </w:p>
    <w:p w14:paraId="7193140E" w14:textId="5914F1D7" w:rsidR="0023754C" w:rsidRDefault="0023754C" w:rsidP="0023754C">
      <w:pPr>
        <w:rPr>
          <w:lang w:val="en-US"/>
        </w:rPr>
      </w:pPr>
      <w:r>
        <w:rPr>
          <w:lang w:val="en-US"/>
        </w:rPr>
        <w:t xml:space="preserve">The EAMF specifically states it is not meant as a forum to discuss only security issues, but wider ocean management. Safety of navigation and search and rescue are also included in the EAMF. In 2019, for example, a presentation covered Marine Plastic Debris. </w:t>
      </w:r>
    </w:p>
    <w:p w14:paraId="2B18C33F" w14:textId="77777777" w:rsidR="00B4491F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Noteworthy documents and strategies: </w:t>
      </w:r>
    </w:p>
    <w:p w14:paraId="579DE82E" w14:textId="77777777" w:rsidR="00B4491F" w:rsidRPr="00E075CA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75E7E591" w14:textId="77777777" w:rsidR="00F559FE" w:rsidRPr="00F559FE" w:rsidRDefault="00F559FE" w:rsidP="00F559FE">
      <w:pPr>
        <w:rPr>
          <w:lang w:val="en-US"/>
        </w:rPr>
      </w:pPr>
      <w:r w:rsidRPr="00F559FE">
        <w:rPr>
          <w:lang w:val="en-US"/>
        </w:rPr>
        <w:t>1 meeting per year, though they do suggest the intervals can change dependent upon the decision of the member states.</w:t>
      </w:r>
    </w:p>
    <w:p w14:paraId="57719922" w14:textId="77777777" w:rsidR="00B4491F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4AD99C09" w14:textId="2FB1D45B" w:rsidR="00C60723" w:rsidRDefault="00C60723" w:rsidP="00C60723">
      <w:pPr>
        <w:rPr>
          <w:lang w:val="en-US"/>
        </w:rPr>
      </w:pPr>
      <w:r>
        <w:rPr>
          <w:lang w:val="en-US"/>
        </w:rPr>
        <w:lastRenderedPageBreak/>
        <w:t>O</w:t>
      </w:r>
      <w:r w:rsidRPr="00C60723">
        <w:rPr>
          <w:lang w:val="en-US"/>
        </w:rPr>
        <w:t xml:space="preserve">rganizing seminars and workshops in the areas of international law, maritime </w:t>
      </w:r>
      <w:proofErr w:type="gramStart"/>
      <w:r w:rsidRPr="00C60723">
        <w:rPr>
          <w:lang w:val="en-US"/>
        </w:rPr>
        <w:t>security</w:t>
      </w:r>
      <w:proofErr w:type="gramEnd"/>
      <w:r w:rsidRPr="00C60723">
        <w:rPr>
          <w:lang w:val="en-US"/>
        </w:rPr>
        <w:t xml:space="preserve"> and safety as well as maritime environment protection</w:t>
      </w:r>
      <w:r w:rsidR="00160827">
        <w:rPr>
          <w:lang w:val="en-US"/>
        </w:rPr>
        <w:t xml:space="preserve">. </w:t>
      </w:r>
      <w:r w:rsidR="00F0276A">
        <w:rPr>
          <w:lang w:val="en-US"/>
        </w:rPr>
        <w:t>E</w:t>
      </w:r>
      <w:r w:rsidR="00F0276A" w:rsidRPr="00F0276A">
        <w:rPr>
          <w:lang w:val="en-US"/>
        </w:rPr>
        <w:t>stablish</w:t>
      </w:r>
      <w:r w:rsidR="00F0276A">
        <w:rPr>
          <w:lang w:val="en-US"/>
        </w:rPr>
        <w:t>ed</w:t>
      </w:r>
      <w:r w:rsidR="00F0276A" w:rsidRPr="00F0276A">
        <w:rPr>
          <w:lang w:val="en-US"/>
        </w:rPr>
        <w:t xml:space="preserve"> an expanded ASEAN Seafarers’ Training Program (EAST) to conduct a series of training seminars, workshops, and events to promote cooperation in the field of training and education of civilian maritime personnel.</w:t>
      </w:r>
    </w:p>
    <w:p w14:paraId="4ACA5085" w14:textId="5C387F7A" w:rsidR="00B4491F" w:rsidRPr="00C60723" w:rsidRDefault="00B4491F" w:rsidP="00C6072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C60723">
        <w:rPr>
          <w:b/>
          <w:bCs/>
          <w:lang w:val="en-US"/>
        </w:rPr>
        <w:t xml:space="preserve">Funding structure: </w:t>
      </w:r>
    </w:p>
    <w:p w14:paraId="09F6A286" w14:textId="77777777" w:rsidR="00F559FE" w:rsidRPr="00F559FE" w:rsidRDefault="00F559FE" w:rsidP="00F559FE">
      <w:pPr>
        <w:rPr>
          <w:lang w:val="en-US"/>
        </w:rPr>
      </w:pPr>
      <w:r w:rsidRPr="00F559FE">
        <w:rPr>
          <w:lang w:val="en-US"/>
        </w:rPr>
        <w:t xml:space="preserve">Funded by the ASEAN Secretariat, which is in turn funded by member countries and external countries and organizations </w:t>
      </w:r>
    </w:p>
    <w:p w14:paraId="1A4C3FEE" w14:textId="77777777" w:rsidR="00B4491F" w:rsidRPr="00AC599E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t>Challenges</w:t>
      </w:r>
      <w:r>
        <w:rPr>
          <w:b/>
          <w:bCs/>
          <w:lang w:val="en-US"/>
        </w:rPr>
        <w:t>:</w:t>
      </w:r>
    </w:p>
    <w:p w14:paraId="7A3D4547" w14:textId="77777777" w:rsidR="00B4491F" w:rsidRPr="00852B08" w:rsidRDefault="00B4491F" w:rsidP="00B4491F">
      <w:pPr>
        <w:rPr>
          <w:lang w:val="en-US"/>
        </w:rPr>
      </w:pPr>
      <w:r>
        <w:rPr>
          <w:lang w:val="en-US"/>
        </w:rPr>
        <w:t xml:space="preserve">As it takes place within the ASEAN structure, an ongoing challenge is its perception as a talking shop, tied into broader regional limits </w:t>
      </w:r>
      <w:r w:rsidRPr="00852B08">
        <w:rPr>
          <w:lang w:val="en-US"/>
        </w:rPr>
        <w:t xml:space="preserve">to cooperation. </w:t>
      </w:r>
    </w:p>
    <w:p w14:paraId="1B97C15C" w14:textId="77777777" w:rsidR="00B4491F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AD48DF">
        <w:rPr>
          <w:b/>
          <w:bCs/>
          <w:lang w:val="en-US"/>
        </w:rPr>
        <w:t xml:space="preserve">Cooperation or link with other arrangements: </w:t>
      </w:r>
    </w:p>
    <w:p w14:paraId="15F7386D" w14:textId="77777777" w:rsidR="00851C14" w:rsidRDefault="00851C14" w:rsidP="00851C14">
      <w:pPr>
        <w:pStyle w:val="ListParagraph"/>
        <w:ind w:left="360"/>
        <w:rPr>
          <w:b/>
          <w:bCs/>
          <w:lang w:val="en-US"/>
        </w:rPr>
      </w:pPr>
    </w:p>
    <w:p w14:paraId="27E7AE0A" w14:textId="53484120" w:rsidR="00B4491F" w:rsidRPr="0035608A" w:rsidRDefault="00B4491F" w:rsidP="00B4491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Institutional contacts: </w:t>
      </w:r>
    </w:p>
    <w:p w14:paraId="7E0C7BC3" w14:textId="77777777" w:rsidR="00B4491F" w:rsidRPr="0035608A" w:rsidRDefault="00B4491F" w:rsidP="00B4491F">
      <w:pPr>
        <w:rPr>
          <w:lang w:val="en-US"/>
        </w:rPr>
      </w:pPr>
      <w:r w:rsidRPr="0035608A">
        <w:rPr>
          <w:lang w:val="en-US"/>
        </w:rPr>
        <w:t>N/A</w:t>
      </w:r>
    </w:p>
    <w:p w14:paraId="3FF4E8A4" w14:textId="35082F67" w:rsidR="00B4491F" w:rsidRDefault="00B4491F" w:rsidP="00B4491F">
      <w:pPr>
        <w:pStyle w:val="ListParagraph"/>
        <w:numPr>
          <w:ilvl w:val="0"/>
          <w:numId w:val="1"/>
        </w:numPr>
        <w:rPr>
          <w:lang w:val="en-US"/>
        </w:rPr>
      </w:pPr>
      <w:r w:rsidRPr="009528A9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160F5405" w14:textId="77777777" w:rsidR="00F559FE" w:rsidRDefault="00F559FE" w:rsidP="00F559FE">
      <w:pPr>
        <w:pStyle w:val="ListParagraph"/>
        <w:ind w:left="360"/>
        <w:rPr>
          <w:lang w:val="en-US"/>
        </w:rPr>
      </w:pPr>
    </w:p>
    <w:p w14:paraId="25DA0B82" w14:textId="069C6AC7" w:rsidR="00B4491F" w:rsidRPr="0022372E" w:rsidRDefault="00B4491F" w:rsidP="00B4491F">
      <w:pPr>
        <w:pStyle w:val="ListParagraph"/>
        <w:numPr>
          <w:ilvl w:val="0"/>
          <w:numId w:val="1"/>
        </w:numPr>
      </w:pPr>
      <w:r w:rsidRPr="001E79DE">
        <w:rPr>
          <w:b/>
          <w:bCs/>
          <w:lang w:val="en-US"/>
        </w:rPr>
        <w:t xml:space="preserve">Knowledge gaps to follow up on: </w:t>
      </w:r>
      <w:bookmarkEnd w:id="0"/>
      <w:r w:rsidR="0018388B">
        <w:rPr>
          <w:b/>
          <w:bCs/>
          <w:lang w:val="en-US"/>
        </w:rPr>
        <w:t xml:space="preserve"> </w:t>
      </w:r>
    </w:p>
    <w:p w14:paraId="38F84754" w14:textId="77777777" w:rsidR="00B4491F" w:rsidRDefault="00B4491F" w:rsidP="00B4491F"/>
    <w:p w14:paraId="7C1F69D0" w14:textId="77777777" w:rsidR="00445F40" w:rsidRDefault="00445F40"/>
    <w:sectPr w:rsidR="00445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37D66"/>
    <w:multiLevelType w:val="hybridMultilevel"/>
    <w:tmpl w:val="1D3A90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3140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1F"/>
    <w:rsid w:val="00160827"/>
    <w:rsid w:val="0018388B"/>
    <w:rsid w:val="0023754C"/>
    <w:rsid w:val="00445F40"/>
    <w:rsid w:val="0059433A"/>
    <w:rsid w:val="00851C14"/>
    <w:rsid w:val="00B4491F"/>
    <w:rsid w:val="00C60723"/>
    <w:rsid w:val="00C64133"/>
    <w:rsid w:val="00E1748F"/>
    <w:rsid w:val="00F0276A"/>
    <w:rsid w:val="00F5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E38AD"/>
  <w15:chartTrackingRefBased/>
  <w15:docId w15:val="{5013C5B9-9E20-4C88-9287-0D1A1E57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91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91F"/>
    <w:pPr>
      <w:ind w:left="720"/>
      <w:contextualSpacing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10</cp:revision>
  <dcterms:created xsi:type="dcterms:W3CDTF">2022-07-09T09:58:00Z</dcterms:created>
  <dcterms:modified xsi:type="dcterms:W3CDTF">2024-01-26T10:39:00Z</dcterms:modified>
</cp:coreProperties>
</file>