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B41C8" w14:textId="77777777" w:rsidR="0031571F" w:rsidRPr="00E81CD9" w:rsidRDefault="0031571F" w:rsidP="0031571F">
      <w:pPr>
        <w:pStyle w:val="ListParagraph"/>
        <w:numPr>
          <w:ilvl w:val="0"/>
          <w:numId w:val="1"/>
        </w:numPr>
        <w:rPr>
          <w:b/>
          <w:bCs/>
          <w:lang w:val="en-US"/>
        </w:rPr>
      </w:pPr>
      <w:bookmarkStart w:id="0" w:name="_Hlk40006575"/>
      <w:r w:rsidRPr="00E81CD9">
        <w:rPr>
          <w:b/>
          <w:bCs/>
          <w:lang w:val="en-US"/>
        </w:rPr>
        <w:t xml:space="preserve">Name: </w:t>
      </w:r>
    </w:p>
    <w:p w14:paraId="27C780CE" w14:textId="533C6106" w:rsidR="0031571F" w:rsidRPr="00E81CD9" w:rsidRDefault="00693089" w:rsidP="0031571F">
      <w:pPr>
        <w:rPr>
          <w:lang w:val="en-US"/>
        </w:rPr>
      </w:pPr>
      <w:r>
        <w:rPr>
          <w:lang w:val="en-US"/>
        </w:rPr>
        <w:t>Coral Triangle Initiative</w:t>
      </w:r>
      <w:r w:rsidR="00B469B2">
        <w:rPr>
          <w:lang w:val="en-US"/>
        </w:rPr>
        <w:t xml:space="preserve"> </w:t>
      </w:r>
    </w:p>
    <w:p w14:paraId="2BA52EF0" w14:textId="77777777" w:rsidR="0031571F" w:rsidRPr="00E81CD9" w:rsidRDefault="0031571F" w:rsidP="0031571F">
      <w:pPr>
        <w:pStyle w:val="ListParagraph"/>
        <w:numPr>
          <w:ilvl w:val="0"/>
          <w:numId w:val="1"/>
        </w:numPr>
        <w:rPr>
          <w:b/>
          <w:bCs/>
          <w:lang w:val="en-US"/>
        </w:rPr>
      </w:pPr>
      <w:r w:rsidRPr="00E81CD9">
        <w:rPr>
          <w:b/>
          <w:bCs/>
          <w:lang w:val="en-US"/>
        </w:rPr>
        <w:t xml:space="preserve">Short description: </w:t>
      </w:r>
    </w:p>
    <w:p w14:paraId="20AF20BF" w14:textId="7A762FED" w:rsidR="00693089" w:rsidRDefault="00693089" w:rsidP="00693089">
      <w:pPr>
        <w:rPr>
          <w:lang w:val="en-US"/>
        </w:rPr>
      </w:pPr>
      <w:r w:rsidRPr="00693089">
        <w:rPr>
          <w:lang w:val="en-US"/>
        </w:rPr>
        <w:t>The Coral Triangle Initiative on Coral Reefs, Fisheries, and Food Security (CTI-CFF) is a multilateral partnership of six countries working together to sustain marine and coastal resources by addressing crucial issues such as food security, climate change and marine biodiversity.</w:t>
      </w:r>
    </w:p>
    <w:p w14:paraId="3FB6FFEC" w14:textId="148E4B1A" w:rsidR="0031571F" w:rsidRPr="00693089" w:rsidRDefault="00693089" w:rsidP="00693089">
      <w:pPr>
        <w:pStyle w:val="ListParagraph"/>
        <w:numPr>
          <w:ilvl w:val="0"/>
          <w:numId w:val="1"/>
        </w:numPr>
        <w:rPr>
          <w:b/>
          <w:bCs/>
          <w:lang w:val="en-US"/>
        </w:rPr>
      </w:pPr>
      <w:r w:rsidRPr="00693089">
        <w:rPr>
          <w:szCs w:val="28"/>
          <w:lang w:val="en-US" w:bidi="th-TH"/>
        </w:rPr>
        <w:t xml:space="preserve"> </w:t>
      </w:r>
      <w:r w:rsidR="0031571F" w:rsidRPr="00693089">
        <w:rPr>
          <w:b/>
          <w:bCs/>
          <w:lang w:val="en-US"/>
        </w:rPr>
        <w:t xml:space="preserve">Formality: </w:t>
      </w:r>
    </w:p>
    <w:p w14:paraId="6A84C4B1" w14:textId="77168582" w:rsidR="0031571F" w:rsidRPr="00E81CD9" w:rsidRDefault="00693089" w:rsidP="0031571F">
      <w:pPr>
        <w:rPr>
          <w:lang w:val="en-US"/>
        </w:rPr>
      </w:pPr>
      <w:r>
        <w:rPr>
          <w:lang w:val="en-US"/>
        </w:rPr>
        <w:t>Has a secretariat</w:t>
      </w:r>
    </w:p>
    <w:p w14:paraId="027AB0D7" w14:textId="77777777" w:rsidR="0031571F" w:rsidRPr="00E81CD9" w:rsidRDefault="0031571F" w:rsidP="0031571F">
      <w:pPr>
        <w:pStyle w:val="ListParagraph"/>
        <w:numPr>
          <w:ilvl w:val="0"/>
          <w:numId w:val="1"/>
        </w:numPr>
        <w:rPr>
          <w:b/>
          <w:bCs/>
          <w:lang w:val="en-US"/>
        </w:rPr>
      </w:pPr>
      <w:r w:rsidRPr="00E81CD9">
        <w:rPr>
          <w:b/>
          <w:bCs/>
          <w:lang w:val="en-US"/>
        </w:rPr>
        <w:t xml:space="preserve">Regional coverage: </w:t>
      </w:r>
    </w:p>
    <w:p w14:paraId="37DEE938" w14:textId="020AEF8A" w:rsidR="0031571F" w:rsidRPr="00E81CD9" w:rsidRDefault="0031571F" w:rsidP="0031571F">
      <w:pPr>
        <w:rPr>
          <w:lang w:val="en-US"/>
        </w:rPr>
      </w:pPr>
      <w:r w:rsidRPr="00E81CD9">
        <w:rPr>
          <w:lang w:val="en-US"/>
        </w:rPr>
        <w:t xml:space="preserve">Southeast Asia </w:t>
      </w:r>
      <w:r w:rsidR="00D66956">
        <w:rPr>
          <w:lang w:val="en-US"/>
        </w:rPr>
        <w:t>/ South Pacific</w:t>
      </w:r>
    </w:p>
    <w:p w14:paraId="7DA5DD43" w14:textId="77777777" w:rsidR="0031571F" w:rsidRPr="00E81CD9" w:rsidRDefault="0031571F" w:rsidP="0031571F">
      <w:pPr>
        <w:pStyle w:val="ListParagraph"/>
        <w:numPr>
          <w:ilvl w:val="0"/>
          <w:numId w:val="1"/>
        </w:numPr>
        <w:rPr>
          <w:b/>
          <w:bCs/>
          <w:lang w:val="en-US"/>
        </w:rPr>
      </w:pPr>
      <w:r w:rsidRPr="00E81CD9">
        <w:rPr>
          <w:b/>
          <w:bCs/>
          <w:lang w:val="en-US"/>
        </w:rPr>
        <w:t xml:space="preserve">Members (including states and non-states): </w:t>
      </w:r>
    </w:p>
    <w:p w14:paraId="54A47B7E" w14:textId="77777777" w:rsidR="00693089" w:rsidRDefault="00693089" w:rsidP="00693089">
      <w:pPr>
        <w:rPr>
          <w:lang w:val="en-US"/>
        </w:rPr>
      </w:pPr>
      <w:r w:rsidRPr="00693089">
        <w:rPr>
          <w:lang w:val="en-US"/>
        </w:rPr>
        <w:t xml:space="preserve">Indonesia, Malaysia, Papua New Guinea, Philippines, Solomon Islands and Timor-Leste </w:t>
      </w:r>
    </w:p>
    <w:p w14:paraId="5C966ADC" w14:textId="6ACE2203" w:rsidR="0031571F" w:rsidRPr="00693089" w:rsidRDefault="0031571F" w:rsidP="00693089">
      <w:pPr>
        <w:pStyle w:val="ListParagraph"/>
        <w:numPr>
          <w:ilvl w:val="0"/>
          <w:numId w:val="1"/>
        </w:numPr>
        <w:rPr>
          <w:b/>
          <w:bCs/>
          <w:lang w:val="en-US"/>
        </w:rPr>
      </w:pPr>
      <w:r w:rsidRPr="00693089">
        <w:rPr>
          <w:b/>
          <w:bCs/>
          <w:lang w:val="en-US"/>
        </w:rPr>
        <w:t xml:space="preserve">Includes non-state </w:t>
      </w:r>
      <w:proofErr w:type="gramStart"/>
      <w:r w:rsidRPr="00693089">
        <w:rPr>
          <w:b/>
          <w:bCs/>
          <w:lang w:val="en-US"/>
        </w:rPr>
        <w:t>actors?</w:t>
      </w:r>
      <w:proofErr w:type="gramEnd"/>
      <w:r w:rsidRPr="00693089">
        <w:rPr>
          <w:b/>
          <w:bCs/>
          <w:lang w:val="en-US"/>
        </w:rPr>
        <w:t xml:space="preserve"> </w:t>
      </w:r>
    </w:p>
    <w:p w14:paraId="118E5FAD" w14:textId="26053998" w:rsidR="0031571F" w:rsidRPr="00F55AB6" w:rsidRDefault="0031571F" w:rsidP="0031571F">
      <w:pPr>
        <w:rPr>
          <w:lang w:val="en-US"/>
        </w:rPr>
      </w:pPr>
      <w:r w:rsidRPr="00F55AB6">
        <w:rPr>
          <w:lang w:val="en-US"/>
        </w:rPr>
        <w:t>Yes</w:t>
      </w:r>
      <w:r>
        <w:rPr>
          <w:lang w:val="en-US"/>
        </w:rPr>
        <w:t xml:space="preserve">. </w:t>
      </w:r>
      <w:r w:rsidR="007543EB">
        <w:rPr>
          <w:lang w:val="en-US"/>
        </w:rPr>
        <w:t xml:space="preserve">The CTI has </w:t>
      </w:r>
      <w:r w:rsidR="00930027">
        <w:rPr>
          <w:lang w:val="en-US"/>
        </w:rPr>
        <w:t>several</w:t>
      </w:r>
      <w:r w:rsidR="007543EB">
        <w:rPr>
          <w:lang w:val="en-US"/>
        </w:rPr>
        <w:t xml:space="preserve"> NGO partners, as well as University partners. These are referred to as ‘development </w:t>
      </w:r>
      <w:proofErr w:type="gramStart"/>
      <w:r w:rsidR="007543EB">
        <w:rPr>
          <w:lang w:val="en-US"/>
        </w:rPr>
        <w:t>partners’</w:t>
      </w:r>
      <w:proofErr w:type="gramEnd"/>
      <w:r w:rsidR="007543EB">
        <w:rPr>
          <w:lang w:val="en-US"/>
        </w:rPr>
        <w:t xml:space="preserve">. </w:t>
      </w:r>
    </w:p>
    <w:p w14:paraId="1DF93CF4" w14:textId="77777777" w:rsidR="0031571F" w:rsidRPr="00F55AB6" w:rsidRDefault="0031571F" w:rsidP="0031571F">
      <w:pPr>
        <w:pStyle w:val="ListParagraph"/>
        <w:numPr>
          <w:ilvl w:val="0"/>
          <w:numId w:val="1"/>
        </w:numPr>
        <w:rPr>
          <w:b/>
          <w:bCs/>
          <w:lang w:val="en-US"/>
        </w:rPr>
      </w:pPr>
      <w:r w:rsidRPr="00F55AB6">
        <w:rPr>
          <w:b/>
          <w:bCs/>
          <w:lang w:val="en-US"/>
        </w:rPr>
        <w:t xml:space="preserve">Date created: </w:t>
      </w:r>
    </w:p>
    <w:p w14:paraId="7DA40C97" w14:textId="796E6FAF" w:rsidR="0031571F" w:rsidRPr="00F55AB6" w:rsidRDefault="0031571F" w:rsidP="0031571F">
      <w:pPr>
        <w:rPr>
          <w:lang w:val="en-US"/>
        </w:rPr>
      </w:pPr>
      <w:r w:rsidRPr="00F55AB6">
        <w:rPr>
          <w:lang w:val="en-US"/>
        </w:rPr>
        <w:t>20</w:t>
      </w:r>
      <w:r w:rsidR="00693089">
        <w:rPr>
          <w:lang w:val="en-US"/>
        </w:rPr>
        <w:t>09</w:t>
      </w:r>
    </w:p>
    <w:p w14:paraId="198406A7" w14:textId="77777777" w:rsidR="0031571F" w:rsidRPr="00BA7692" w:rsidRDefault="0031571F" w:rsidP="0031571F">
      <w:pPr>
        <w:pStyle w:val="ListParagraph"/>
        <w:numPr>
          <w:ilvl w:val="0"/>
          <w:numId w:val="1"/>
        </w:numPr>
        <w:rPr>
          <w:b/>
          <w:bCs/>
          <w:lang w:val="en-US"/>
        </w:rPr>
      </w:pPr>
      <w:r w:rsidRPr="00BA7692">
        <w:rPr>
          <w:b/>
          <w:bCs/>
          <w:lang w:val="en-US"/>
        </w:rPr>
        <w:t>Date visibly started to engage with maritime security (</w:t>
      </w:r>
      <w:proofErr w:type="gramStart"/>
      <w:r w:rsidRPr="00BA7692">
        <w:rPr>
          <w:b/>
          <w:bCs/>
          <w:lang w:val="en-US"/>
        </w:rPr>
        <w:t>e.g.</w:t>
      </w:r>
      <w:proofErr w:type="gramEnd"/>
      <w:r w:rsidRPr="00BA7692">
        <w:rPr>
          <w:b/>
          <w:bCs/>
          <w:lang w:val="en-US"/>
        </w:rPr>
        <w:t xml:space="preserve"> first document that refers to it):</w:t>
      </w:r>
    </w:p>
    <w:p w14:paraId="78FFE9A4" w14:textId="0B9D8C04" w:rsidR="0031571F" w:rsidRPr="00BA7692" w:rsidRDefault="0031571F" w:rsidP="0031571F">
      <w:pPr>
        <w:rPr>
          <w:lang w:val="en-US"/>
        </w:rPr>
      </w:pPr>
      <w:r w:rsidRPr="00BA7692">
        <w:rPr>
          <w:lang w:val="en-US"/>
        </w:rPr>
        <w:t>20</w:t>
      </w:r>
      <w:r w:rsidR="00930027">
        <w:rPr>
          <w:lang w:val="en-US"/>
        </w:rPr>
        <w:t>09</w:t>
      </w:r>
    </w:p>
    <w:p w14:paraId="0CB32288" w14:textId="77777777" w:rsidR="0031571F" w:rsidRPr="00BA7692" w:rsidRDefault="0031571F" w:rsidP="0031571F">
      <w:pPr>
        <w:pStyle w:val="ListParagraph"/>
        <w:numPr>
          <w:ilvl w:val="0"/>
          <w:numId w:val="1"/>
        </w:numPr>
        <w:rPr>
          <w:b/>
          <w:bCs/>
          <w:lang w:val="en-US"/>
        </w:rPr>
      </w:pPr>
      <w:r w:rsidRPr="00BA7692">
        <w:rPr>
          <w:b/>
          <w:bCs/>
          <w:lang w:val="en-US"/>
        </w:rPr>
        <w:t xml:space="preserve">Brief History and Description: </w:t>
      </w:r>
    </w:p>
    <w:p w14:paraId="63C08068" w14:textId="77777777" w:rsidR="00930027" w:rsidRDefault="00930027" w:rsidP="00930027">
      <w:pPr>
        <w:rPr>
          <w:lang w:val="en-US"/>
        </w:rPr>
      </w:pPr>
      <w:r>
        <w:rPr>
          <w:lang w:val="en-US"/>
        </w:rPr>
        <w:t xml:space="preserve">The CTI-CFF came about through the CTI6, a grouping of countries looking to preserve the Coral Triangle marine environment. </w:t>
      </w:r>
      <w:r w:rsidRPr="00930027">
        <w:rPr>
          <w:lang w:val="en-US"/>
        </w:rPr>
        <w:t>At the Leader’s Summit in 2009, these governments agreed to adopt a 10-year CTI-CFF Regional Plan of Action (CTI RPOA) to safeguard the region’s marine and coastal biological resources.</w:t>
      </w:r>
      <w:r w:rsidRPr="00930027">
        <w:t xml:space="preserve"> </w:t>
      </w:r>
      <w:r w:rsidRPr="00930027">
        <w:rPr>
          <w:lang w:val="en-US"/>
        </w:rPr>
        <w:t>The permanent Regional Secretariat was officially established with the appointment of the first Executive Director in April 2015, where the headquarter is based in Manado, Indonesia</w:t>
      </w:r>
      <w:r>
        <w:rPr>
          <w:lang w:val="en-US"/>
        </w:rPr>
        <w:t>. It works to s</w:t>
      </w:r>
      <w:r w:rsidR="00671339" w:rsidRPr="00640E74">
        <w:rPr>
          <w:lang w:val="en-US"/>
        </w:rPr>
        <w:t>trengthen fisheries policies and legislations among member countries</w:t>
      </w:r>
      <w:r>
        <w:rPr>
          <w:lang w:val="en-US"/>
        </w:rPr>
        <w:t xml:space="preserve"> through discussions on management, </w:t>
      </w:r>
      <w:proofErr w:type="gramStart"/>
      <w:r>
        <w:rPr>
          <w:lang w:val="en-US"/>
        </w:rPr>
        <w:t>protection</w:t>
      </w:r>
      <w:proofErr w:type="gramEnd"/>
      <w:r>
        <w:rPr>
          <w:lang w:val="en-US"/>
        </w:rPr>
        <w:t xml:space="preserve"> and governance. It has </w:t>
      </w:r>
      <w:proofErr w:type="gramStart"/>
      <w:r>
        <w:rPr>
          <w:lang w:val="en-US"/>
        </w:rPr>
        <w:t>a number of</w:t>
      </w:r>
      <w:proofErr w:type="gramEnd"/>
      <w:r>
        <w:rPr>
          <w:lang w:val="en-US"/>
        </w:rPr>
        <w:t xml:space="preserve"> working groups including the Ecosystems Approach to Fisheries Management, the Seascape working group, the working group on Marine Protected Areas, the Threatened Species working group, and the Clime Change Adaption working group. All of these enact various activities and workshops. </w:t>
      </w:r>
    </w:p>
    <w:p w14:paraId="7504B01E" w14:textId="136F1AC1" w:rsidR="0031571F" w:rsidRPr="00930027" w:rsidRDefault="0031571F" w:rsidP="00930027">
      <w:pPr>
        <w:pStyle w:val="ListParagraph"/>
        <w:numPr>
          <w:ilvl w:val="0"/>
          <w:numId w:val="1"/>
        </w:numPr>
        <w:rPr>
          <w:b/>
          <w:bCs/>
          <w:lang w:val="en-US"/>
        </w:rPr>
      </w:pPr>
      <w:r w:rsidRPr="00930027">
        <w:rPr>
          <w:b/>
          <w:bCs/>
          <w:lang w:val="en-US"/>
        </w:rPr>
        <w:t xml:space="preserve">Maritime Security Issues Covered: </w:t>
      </w:r>
    </w:p>
    <w:p w14:paraId="712BD177" w14:textId="3CDE3C76" w:rsidR="0031571F" w:rsidRDefault="007543EB" w:rsidP="0031571F">
      <w:pPr>
        <w:rPr>
          <w:lang w:val="en-US"/>
        </w:rPr>
      </w:pPr>
      <w:r>
        <w:rPr>
          <w:lang w:val="en-US"/>
        </w:rPr>
        <w:t>IUU Fishing</w:t>
      </w:r>
      <w:r w:rsidR="00E36A0C">
        <w:rPr>
          <w:lang w:val="en-US"/>
        </w:rPr>
        <w:t xml:space="preserve">, </w:t>
      </w:r>
      <w:r w:rsidR="001445BF">
        <w:rPr>
          <w:lang w:val="en-US"/>
        </w:rPr>
        <w:t>pollution</w:t>
      </w:r>
    </w:p>
    <w:p w14:paraId="390FA3A3" w14:textId="77777777" w:rsidR="0031571F" w:rsidRPr="00E075CA" w:rsidRDefault="0031571F" w:rsidP="0031571F">
      <w:pPr>
        <w:pStyle w:val="ListParagraph"/>
        <w:numPr>
          <w:ilvl w:val="0"/>
          <w:numId w:val="1"/>
        </w:numPr>
        <w:rPr>
          <w:b/>
          <w:bCs/>
          <w:lang w:val="en-US"/>
        </w:rPr>
      </w:pPr>
      <w:r w:rsidRPr="00E075CA">
        <w:rPr>
          <w:b/>
          <w:bCs/>
          <w:lang w:val="en-US"/>
        </w:rPr>
        <w:t xml:space="preserve">Noteworthy documents and strategies: </w:t>
      </w:r>
    </w:p>
    <w:p w14:paraId="768527F6" w14:textId="628C3811" w:rsidR="0031571F" w:rsidRDefault="00693089" w:rsidP="0031571F">
      <w:r w:rsidRPr="00693089">
        <w:t>CTI-CFF Regional Plan of Action (CTI RPOA)</w:t>
      </w:r>
    </w:p>
    <w:p w14:paraId="384FC057" w14:textId="75C5ED47" w:rsidR="009D553C" w:rsidRDefault="009D553C" w:rsidP="0031571F">
      <w:r>
        <w:t>CTI-CFF Annual Report 2020</w:t>
      </w:r>
    </w:p>
    <w:p w14:paraId="10F0B8C5" w14:textId="77777777" w:rsidR="001445BF" w:rsidRDefault="001445BF" w:rsidP="001445BF">
      <w:pPr>
        <w:pStyle w:val="Default"/>
      </w:pPr>
    </w:p>
    <w:p w14:paraId="452CA6E4" w14:textId="7DED0606" w:rsidR="001445BF" w:rsidRPr="00E075CA" w:rsidRDefault="001445BF" w:rsidP="001445BF">
      <w:pPr>
        <w:rPr>
          <w:lang w:val="en-US"/>
        </w:rPr>
      </w:pPr>
      <w:r>
        <w:rPr>
          <w:rStyle w:val="A7"/>
          <w:rFonts w:cs="Angsana New"/>
        </w:rPr>
        <w:t>Concept Note on Local Capacity Development Program</w:t>
      </w:r>
    </w:p>
    <w:p w14:paraId="6D5AFC6E" w14:textId="45C0B04E" w:rsidR="0031571F" w:rsidRDefault="0031571F" w:rsidP="0031571F">
      <w:pPr>
        <w:pStyle w:val="ListParagraph"/>
        <w:numPr>
          <w:ilvl w:val="0"/>
          <w:numId w:val="1"/>
        </w:numPr>
        <w:rPr>
          <w:b/>
          <w:bCs/>
          <w:lang w:val="en-US"/>
        </w:rPr>
      </w:pPr>
      <w:r w:rsidRPr="00E075CA">
        <w:rPr>
          <w:b/>
          <w:bCs/>
          <w:lang w:val="en-US"/>
        </w:rPr>
        <w:t xml:space="preserve">Intensity: </w:t>
      </w:r>
    </w:p>
    <w:p w14:paraId="0C386739" w14:textId="0F7547F8" w:rsidR="007543EB" w:rsidRPr="007543EB" w:rsidRDefault="00A04B62" w:rsidP="007543EB">
      <w:pPr>
        <w:rPr>
          <w:lang w:val="en-US"/>
        </w:rPr>
      </w:pPr>
      <w:r>
        <w:rPr>
          <w:lang w:val="en-US"/>
        </w:rPr>
        <w:t>Extremely active – 97 events across all CTI working groups and Initiatives in 2021</w:t>
      </w:r>
    </w:p>
    <w:p w14:paraId="5E03EF2A" w14:textId="77777777" w:rsidR="0031571F" w:rsidRPr="004F5AEB" w:rsidRDefault="0031571F" w:rsidP="0031571F">
      <w:pPr>
        <w:pStyle w:val="ListParagraph"/>
        <w:numPr>
          <w:ilvl w:val="0"/>
          <w:numId w:val="1"/>
        </w:numPr>
        <w:rPr>
          <w:b/>
          <w:bCs/>
          <w:lang w:val="en-US"/>
        </w:rPr>
      </w:pPr>
      <w:r w:rsidRPr="004F5AEB">
        <w:rPr>
          <w:b/>
          <w:bCs/>
          <w:lang w:val="en-US"/>
        </w:rPr>
        <w:t xml:space="preserve">Ongoing projects and activities: </w:t>
      </w:r>
    </w:p>
    <w:p w14:paraId="3800AE3B" w14:textId="77777777" w:rsidR="0025655D" w:rsidRDefault="00930027" w:rsidP="005A1902">
      <w:pPr>
        <w:rPr>
          <w:rFonts w:cstheme="minorHAnsi"/>
          <w:szCs w:val="22"/>
          <w:lang w:val="en-US"/>
        </w:rPr>
      </w:pPr>
      <w:r w:rsidRPr="005A1902">
        <w:rPr>
          <w:rFonts w:cstheme="minorHAnsi"/>
          <w:szCs w:val="22"/>
          <w:lang w:val="en-US"/>
        </w:rPr>
        <w:t xml:space="preserve">There are several projects and activities relevant to Maritime Security. Most important is the </w:t>
      </w:r>
      <w:r w:rsidR="007543EB" w:rsidRPr="005A1902">
        <w:rPr>
          <w:rFonts w:cstheme="minorHAnsi"/>
          <w:szCs w:val="22"/>
          <w:lang w:val="en-US"/>
        </w:rPr>
        <w:t>implementation of the electronic Catch and Documentation System (e-CDTS) for Tuna Fisheries from 2017 to 2019 to combat Illegal, Unregulated and Unreported (IUU) fishing.</w:t>
      </w:r>
      <w:r w:rsidRPr="005A1902">
        <w:rPr>
          <w:rFonts w:cstheme="minorHAnsi"/>
          <w:szCs w:val="22"/>
          <w:lang w:val="en-US"/>
        </w:rPr>
        <w:t xml:space="preserve"> </w:t>
      </w:r>
    </w:p>
    <w:p w14:paraId="24577744" w14:textId="5A34508E" w:rsidR="005A1902" w:rsidRPr="0025655D" w:rsidRDefault="00930027" w:rsidP="005A1902">
      <w:pPr>
        <w:rPr>
          <w:rFonts w:cstheme="minorHAnsi"/>
          <w:szCs w:val="22"/>
        </w:rPr>
      </w:pPr>
      <w:r w:rsidRPr="005A1902">
        <w:rPr>
          <w:rFonts w:cstheme="minorHAnsi"/>
          <w:szCs w:val="22"/>
          <w:lang w:val="en-US"/>
        </w:rPr>
        <w:t>The CTI CFF prod</w:t>
      </w:r>
      <w:r w:rsidR="005A1902" w:rsidRPr="005A1902">
        <w:rPr>
          <w:rFonts w:cstheme="minorHAnsi"/>
          <w:szCs w:val="22"/>
          <w:lang w:val="en-US"/>
        </w:rPr>
        <w:t xml:space="preserve">uces National Plans of Action and a roadmap of priority regional activities. Other important ongoing projects are the </w:t>
      </w:r>
      <w:r w:rsidR="00640E74" w:rsidRPr="005A1902">
        <w:rPr>
          <w:rFonts w:cstheme="minorHAnsi"/>
          <w:szCs w:val="22"/>
          <w:lang w:val="en-US"/>
        </w:rPr>
        <w:t>finalization of the draft Regional Plan of Action (RPOA 2.0), draft Host Country Agreement (HCA) and draft Staff Policies and Procedures Manual (SPPM); and virtual meetings of the Working Groups and Cross-Cutting Initiatives.</w:t>
      </w:r>
      <w:r w:rsidR="005A1902" w:rsidRPr="005A1902">
        <w:rPr>
          <w:rFonts w:cstheme="minorHAnsi"/>
          <w:szCs w:val="22"/>
          <w:lang w:val="en-US"/>
        </w:rPr>
        <w:t xml:space="preserve"> T</w:t>
      </w:r>
      <w:proofErr w:type="spellStart"/>
      <w:r w:rsidR="005A1902" w:rsidRPr="005A1902">
        <w:rPr>
          <w:rFonts w:cstheme="minorHAnsi"/>
          <w:szCs w:val="22"/>
        </w:rPr>
        <w:t>hreats</w:t>
      </w:r>
      <w:proofErr w:type="spellEnd"/>
      <w:r w:rsidR="005A1902" w:rsidRPr="00205BD7">
        <w:rPr>
          <w:rFonts w:cstheme="minorHAnsi"/>
          <w:szCs w:val="22"/>
        </w:rPr>
        <w:t xml:space="preserve"> to the coastal and marine ecosystems are also monitored and/or reduced</w:t>
      </w:r>
      <w:r w:rsidR="0025655D">
        <w:rPr>
          <w:rFonts w:cstheme="minorHAnsi"/>
          <w:szCs w:val="22"/>
        </w:rPr>
        <w:t>, and t</w:t>
      </w:r>
      <w:r w:rsidR="0025655D" w:rsidRPr="0025655D">
        <w:rPr>
          <w:rFonts w:cstheme="minorHAnsi"/>
          <w:szCs w:val="22"/>
        </w:rPr>
        <w:t>raining on Fisheries Traceability Technologies and Sustainable Fisheries Management to Combat Illegal, Unreported and Unregulated Fishing in the Coral Triangle Region</w:t>
      </w:r>
      <w:r w:rsidR="0025655D">
        <w:rPr>
          <w:rFonts w:cstheme="minorHAnsi"/>
          <w:szCs w:val="22"/>
        </w:rPr>
        <w:t xml:space="preserve"> undertaken. </w:t>
      </w:r>
    </w:p>
    <w:p w14:paraId="558E53EA" w14:textId="0762A573" w:rsidR="00205BD7" w:rsidRPr="005A1902" w:rsidRDefault="005A1902" w:rsidP="005A1902">
      <w:pPr>
        <w:rPr>
          <w:rFonts w:cstheme="minorHAnsi"/>
          <w:szCs w:val="22"/>
          <w:lang w:val="en-US"/>
        </w:rPr>
      </w:pPr>
      <w:r w:rsidRPr="005A1902">
        <w:rPr>
          <w:rFonts w:cstheme="minorHAnsi"/>
          <w:szCs w:val="22"/>
          <w:lang w:val="en-US"/>
        </w:rPr>
        <w:t>The CTI CFF also seeks to develop national capacity. D</w:t>
      </w:r>
      <w:proofErr w:type="spellStart"/>
      <w:r w:rsidR="00E05BDB" w:rsidRPr="005A1902">
        <w:rPr>
          <w:rFonts w:cstheme="minorHAnsi"/>
          <w:szCs w:val="22"/>
        </w:rPr>
        <w:t>uring</w:t>
      </w:r>
      <w:proofErr w:type="spellEnd"/>
      <w:r w:rsidR="00E05BDB" w:rsidRPr="005A1902">
        <w:rPr>
          <w:rFonts w:cstheme="minorHAnsi"/>
          <w:szCs w:val="22"/>
        </w:rPr>
        <w:t xml:space="preserve"> the 2nd IRC Meeting 2020, the Regional Secretariat presented its proposal on rebranding the program components of the Regional Coral Triangle Network Officers (RCTNO) to Local Capacity Development Program (</w:t>
      </w:r>
      <w:proofErr w:type="spellStart"/>
      <w:r w:rsidR="00E05BDB" w:rsidRPr="005A1902">
        <w:rPr>
          <w:rFonts w:cstheme="minorHAnsi"/>
          <w:szCs w:val="22"/>
        </w:rPr>
        <w:t>LoCaDP</w:t>
      </w:r>
      <w:proofErr w:type="spellEnd"/>
      <w:r w:rsidR="00E05BDB" w:rsidRPr="005A1902">
        <w:rPr>
          <w:rFonts w:cstheme="minorHAnsi"/>
          <w:szCs w:val="22"/>
        </w:rPr>
        <w:t xml:space="preserve">). </w:t>
      </w:r>
      <w:r w:rsidRPr="005A1902">
        <w:rPr>
          <w:rFonts w:cstheme="minorHAnsi"/>
          <w:szCs w:val="22"/>
        </w:rPr>
        <w:t xml:space="preserve">Participants from each country attend training and are tasked with CTI-CFF program activities. </w:t>
      </w:r>
    </w:p>
    <w:p w14:paraId="53237C35" w14:textId="344906F5" w:rsidR="0031571F" w:rsidRPr="007543EB" w:rsidRDefault="0031571F" w:rsidP="007543EB">
      <w:pPr>
        <w:pStyle w:val="ListParagraph"/>
        <w:numPr>
          <w:ilvl w:val="0"/>
          <w:numId w:val="1"/>
        </w:numPr>
        <w:rPr>
          <w:b/>
          <w:bCs/>
          <w:lang w:val="en-US"/>
        </w:rPr>
      </w:pPr>
      <w:r w:rsidRPr="007543EB">
        <w:rPr>
          <w:b/>
          <w:bCs/>
          <w:lang w:val="en-US"/>
        </w:rPr>
        <w:t xml:space="preserve">Funding structure: </w:t>
      </w:r>
    </w:p>
    <w:p w14:paraId="21E5CD17" w14:textId="3F4FAE86" w:rsidR="005A1902" w:rsidRDefault="005A1902" w:rsidP="0031571F">
      <w:pPr>
        <w:rPr>
          <w:lang w:val="en-US"/>
        </w:rPr>
      </w:pPr>
      <w:r>
        <w:rPr>
          <w:lang w:val="en-US"/>
        </w:rPr>
        <w:t xml:space="preserve">The CTI is run on member and donor contributions. There is an ongoing project to establish a CTI Trust Fund to help mobilize funding from international donors and the private sector. </w:t>
      </w:r>
    </w:p>
    <w:p w14:paraId="086CFFC3" w14:textId="77777777" w:rsidR="0031571F" w:rsidRPr="00AC599E" w:rsidRDefault="0031571F" w:rsidP="0031571F">
      <w:pPr>
        <w:pStyle w:val="ListParagraph"/>
        <w:numPr>
          <w:ilvl w:val="0"/>
          <w:numId w:val="1"/>
        </w:numPr>
        <w:rPr>
          <w:b/>
          <w:bCs/>
          <w:lang w:val="en-US"/>
        </w:rPr>
      </w:pPr>
      <w:r w:rsidRPr="00AC599E">
        <w:rPr>
          <w:b/>
          <w:bCs/>
          <w:lang w:val="en-US"/>
        </w:rPr>
        <w:t>Challenges</w:t>
      </w:r>
      <w:r>
        <w:rPr>
          <w:b/>
          <w:bCs/>
          <w:lang w:val="en-US"/>
        </w:rPr>
        <w:t>:</w:t>
      </w:r>
    </w:p>
    <w:p w14:paraId="5BD9844B" w14:textId="5CFE296A" w:rsidR="005A1902" w:rsidRDefault="005A1902" w:rsidP="005A1902">
      <w:pPr>
        <w:pStyle w:val="Default"/>
        <w:rPr>
          <w:rStyle w:val="A7"/>
          <w:rFonts w:asciiTheme="minorHAnsi" w:hAnsiTheme="minorHAnsi" w:cstheme="minorHAnsi"/>
        </w:rPr>
      </w:pPr>
      <w:r w:rsidRPr="005A1902">
        <w:rPr>
          <w:rFonts w:asciiTheme="minorHAnsi" w:hAnsiTheme="minorHAnsi" w:cstheme="minorHAnsi"/>
          <w:sz w:val="22"/>
          <w:szCs w:val="22"/>
        </w:rPr>
        <w:t xml:space="preserve">Challenges have been identified in the National Action Plans, and include time zone differences, virtual meeting fatigue, and a lack of representation from member countries. </w:t>
      </w:r>
      <w:r w:rsidR="007E487B" w:rsidRPr="005A1902">
        <w:rPr>
          <w:rStyle w:val="A7"/>
          <w:rFonts w:asciiTheme="minorHAnsi" w:hAnsiTheme="minorHAnsi" w:cstheme="minorHAnsi"/>
        </w:rPr>
        <w:t xml:space="preserve">The poor quality of internet connections for several countries also caused interruption during the discussions, which caused some comments not captured by some participants and increased the time taken for the meeting </w:t>
      </w:r>
    </w:p>
    <w:p w14:paraId="1D87BEA5" w14:textId="77777777" w:rsidR="005A1902" w:rsidRPr="005A1902" w:rsidRDefault="005A1902" w:rsidP="005A1902">
      <w:pPr>
        <w:pStyle w:val="Default"/>
        <w:rPr>
          <w:rStyle w:val="A7"/>
          <w:rFonts w:asciiTheme="minorHAnsi" w:hAnsiTheme="minorHAnsi" w:cstheme="minorHAnsi"/>
          <w:color w:val="000000"/>
        </w:rPr>
      </w:pPr>
    </w:p>
    <w:p w14:paraId="07A35A14" w14:textId="3F4130F2" w:rsidR="0031571F" w:rsidRPr="005A1902" w:rsidRDefault="005A1902" w:rsidP="005A1902">
      <w:pPr>
        <w:rPr>
          <w:b/>
          <w:bCs/>
          <w:lang w:val="en-US"/>
        </w:rPr>
      </w:pPr>
      <w:r>
        <w:rPr>
          <w:rStyle w:val="A7"/>
          <w:rFonts w:cs="Angsana New"/>
        </w:rPr>
        <w:t xml:space="preserve">      16. </w:t>
      </w:r>
      <w:r w:rsidR="0031571F" w:rsidRPr="005A1902">
        <w:rPr>
          <w:b/>
          <w:bCs/>
          <w:lang w:val="en-US"/>
        </w:rPr>
        <w:t xml:space="preserve">Cooperation or link with other arrangements: </w:t>
      </w:r>
    </w:p>
    <w:p w14:paraId="20C361AC" w14:textId="1438A371" w:rsidR="0031571F" w:rsidRDefault="0031571F" w:rsidP="0031571F">
      <w:pPr>
        <w:rPr>
          <w:lang w:val="en-US"/>
        </w:rPr>
      </w:pPr>
      <w:r>
        <w:rPr>
          <w:lang w:val="en-US"/>
        </w:rPr>
        <w:t>SEAFDEC</w:t>
      </w:r>
    </w:p>
    <w:p w14:paraId="5BE2ECC8" w14:textId="17253B92" w:rsidR="008531A7" w:rsidRPr="00AC599E" w:rsidRDefault="008531A7" w:rsidP="0031571F">
      <w:pPr>
        <w:rPr>
          <w:lang w:val="en-US"/>
        </w:rPr>
      </w:pPr>
      <w:r w:rsidRPr="008531A7">
        <w:rPr>
          <w:lang w:val="en-US"/>
        </w:rPr>
        <w:t>RPOA-IUU</w:t>
      </w:r>
    </w:p>
    <w:p w14:paraId="0286C400" w14:textId="77777777" w:rsidR="0031571F" w:rsidRPr="0035608A" w:rsidRDefault="0031571F" w:rsidP="007E487B">
      <w:pPr>
        <w:pStyle w:val="ListParagraph"/>
        <w:numPr>
          <w:ilvl w:val="0"/>
          <w:numId w:val="4"/>
        </w:numPr>
        <w:rPr>
          <w:b/>
          <w:bCs/>
          <w:lang w:val="en-US"/>
        </w:rPr>
      </w:pPr>
      <w:r w:rsidRPr="0035608A">
        <w:rPr>
          <w:b/>
          <w:bCs/>
          <w:lang w:val="en-US"/>
        </w:rPr>
        <w:t xml:space="preserve">Institutional contacts: </w:t>
      </w:r>
    </w:p>
    <w:p w14:paraId="0719F68A" w14:textId="6B139F82" w:rsidR="0031571F" w:rsidRPr="0035608A" w:rsidRDefault="00671339" w:rsidP="0031571F">
      <w:pPr>
        <w:rPr>
          <w:lang w:val="en-US"/>
        </w:rPr>
      </w:pPr>
      <w:r>
        <w:rPr>
          <w:lang w:val="en-US"/>
        </w:rPr>
        <w:t>DEB</w:t>
      </w:r>
    </w:p>
    <w:p w14:paraId="0A13CB01" w14:textId="77777777" w:rsidR="0031571F" w:rsidRDefault="0031571F" w:rsidP="007E487B">
      <w:pPr>
        <w:pStyle w:val="ListParagraph"/>
        <w:numPr>
          <w:ilvl w:val="0"/>
          <w:numId w:val="4"/>
        </w:numPr>
        <w:rPr>
          <w:lang w:val="en-US"/>
        </w:rPr>
      </w:pPr>
      <w:r w:rsidRPr="0035608A">
        <w:rPr>
          <w:b/>
          <w:bCs/>
          <w:lang w:val="en-US"/>
        </w:rPr>
        <w:t>Noteworthy literature</w:t>
      </w:r>
      <w:r>
        <w:rPr>
          <w:lang w:val="en-US"/>
        </w:rPr>
        <w:t xml:space="preserve">: </w:t>
      </w:r>
    </w:p>
    <w:p w14:paraId="59CDA7AC" w14:textId="77777777" w:rsidR="0031571F" w:rsidRPr="0035608A" w:rsidRDefault="0031571F" w:rsidP="007E487B">
      <w:pPr>
        <w:pStyle w:val="ListParagraph"/>
        <w:numPr>
          <w:ilvl w:val="0"/>
          <w:numId w:val="4"/>
        </w:numPr>
        <w:rPr>
          <w:b/>
          <w:bCs/>
          <w:lang w:val="en-US"/>
        </w:rPr>
      </w:pPr>
      <w:r w:rsidRPr="0035608A">
        <w:rPr>
          <w:b/>
          <w:bCs/>
          <w:lang w:val="en-US"/>
        </w:rPr>
        <w:t xml:space="preserve">Knowledge gaps to follow up on: </w:t>
      </w:r>
      <w:bookmarkEnd w:id="0"/>
    </w:p>
    <w:p w14:paraId="41A6615A" w14:textId="77777777" w:rsidR="0031571F" w:rsidRPr="00E81CD9" w:rsidRDefault="0031571F" w:rsidP="0031571F">
      <w:pPr>
        <w:rPr>
          <w:lang w:val="en-US"/>
        </w:rPr>
      </w:pPr>
    </w:p>
    <w:p w14:paraId="12B36CC1" w14:textId="77777777" w:rsidR="00445F40" w:rsidRPr="0031571F" w:rsidRDefault="00445F40">
      <w:pPr>
        <w:rPr>
          <w:lang w:val="en-US"/>
        </w:rPr>
      </w:pPr>
    </w:p>
    <w:sectPr w:rsidR="00445F40" w:rsidRPr="003157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37D66"/>
    <w:multiLevelType w:val="hybridMultilevel"/>
    <w:tmpl w:val="1D3A90F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346254D0"/>
    <w:multiLevelType w:val="hybridMultilevel"/>
    <w:tmpl w:val="60CCD9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9323249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0449021">
    <w:abstractNumId w:val="0"/>
  </w:num>
  <w:num w:numId="3" w16cid:durableId="2080204355">
    <w:abstractNumId w:val="1"/>
  </w:num>
  <w:num w:numId="4" w16cid:durableId="16793133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71F"/>
    <w:rsid w:val="001445BF"/>
    <w:rsid w:val="00186420"/>
    <w:rsid w:val="00205BD7"/>
    <w:rsid w:val="0025655D"/>
    <w:rsid w:val="0031571F"/>
    <w:rsid w:val="00445F40"/>
    <w:rsid w:val="005A1902"/>
    <w:rsid w:val="00640E74"/>
    <w:rsid w:val="00671339"/>
    <w:rsid w:val="00693089"/>
    <w:rsid w:val="007543EB"/>
    <w:rsid w:val="007E487B"/>
    <w:rsid w:val="008531A7"/>
    <w:rsid w:val="008F72A9"/>
    <w:rsid w:val="00930027"/>
    <w:rsid w:val="009D553C"/>
    <w:rsid w:val="00A04B62"/>
    <w:rsid w:val="00B469B2"/>
    <w:rsid w:val="00D66956"/>
    <w:rsid w:val="00E05BDB"/>
    <w:rsid w:val="00E36A0C"/>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3FD63"/>
  <w15:chartTrackingRefBased/>
  <w15:docId w15:val="{9629115D-A3BD-485E-B11D-DD17EC801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71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71F"/>
    <w:pPr>
      <w:ind w:left="720"/>
      <w:contextualSpacing/>
    </w:pPr>
    <w:rPr>
      <w:szCs w:val="22"/>
      <w:lang w:bidi="ar-SA"/>
    </w:rPr>
  </w:style>
  <w:style w:type="paragraph" w:customStyle="1" w:styleId="Default">
    <w:name w:val="Default"/>
    <w:rsid w:val="00640E74"/>
    <w:pPr>
      <w:autoSpaceDE w:val="0"/>
      <w:autoSpaceDN w:val="0"/>
      <w:adjustRightInd w:val="0"/>
      <w:spacing w:after="0" w:line="240" w:lineRule="auto"/>
    </w:pPr>
    <w:rPr>
      <w:rFonts w:ascii="Calibri Light" w:hAnsi="Calibri Light" w:cs="Calibri Light"/>
      <w:color w:val="000000"/>
      <w:sz w:val="24"/>
      <w:szCs w:val="24"/>
    </w:rPr>
  </w:style>
  <w:style w:type="character" w:customStyle="1" w:styleId="A7">
    <w:name w:val="A7"/>
    <w:uiPriority w:val="99"/>
    <w:rsid w:val="00640E74"/>
    <w:rPr>
      <w:rFonts w:cs="Calibri Light"/>
      <w:color w:val="211D1E"/>
      <w:sz w:val="22"/>
      <w:szCs w:val="22"/>
    </w:rPr>
  </w:style>
  <w:style w:type="character" w:customStyle="1" w:styleId="A12">
    <w:name w:val="A12"/>
    <w:uiPriority w:val="99"/>
    <w:rsid w:val="001445BF"/>
    <w:rPr>
      <w:rFonts w:cs="Calibri Light"/>
      <w:color w:val="000000"/>
      <w:sz w:val="21"/>
      <w:szCs w:val="21"/>
    </w:rPr>
  </w:style>
  <w:style w:type="paragraph" w:customStyle="1" w:styleId="Pa4">
    <w:name w:val="Pa4"/>
    <w:basedOn w:val="Default"/>
    <w:next w:val="Default"/>
    <w:uiPriority w:val="99"/>
    <w:rsid w:val="001445BF"/>
    <w:pPr>
      <w:spacing w:line="241" w:lineRule="atLeast"/>
    </w:pPr>
    <w:rPr>
      <w:rFonts w:cs="Angsana New"/>
      <w:color w:val="auto"/>
    </w:rPr>
  </w:style>
  <w:style w:type="paragraph" w:customStyle="1" w:styleId="Pa1">
    <w:name w:val="Pa1"/>
    <w:basedOn w:val="Default"/>
    <w:next w:val="Default"/>
    <w:uiPriority w:val="99"/>
    <w:rsid w:val="00205BD7"/>
    <w:pPr>
      <w:spacing w:line="241" w:lineRule="atLeast"/>
    </w:pPr>
    <w:rPr>
      <w:rFonts w:cs="Angsana New"/>
      <w:color w:val="auto"/>
    </w:rPr>
  </w:style>
  <w:style w:type="character" w:customStyle="1" w:styleId="A1">
    <w:name w:val="A1"/>
    <w:uiPriority w:val="99"/>
    <w:rsid w:val="00205BD7"/>
    <w:rPr>
      <w:rFonts w:cs="Calibri Light"/>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129634">
      <w:bodyDiv w:val="1"/>
      <w:marLeft w:val="0"/>
      <w:marRight w:val="0"/>
      <w:marTop w:val="0"/>
      <w:marBottom w:val="0"/>
      <w:divBdr>
        <w:top w:val="none" w:sz="0" w:space="0" w:color="auto"/>
        <w:left w:val="none" w:sz="0" w:space="0" w:color="auto"/>
        <w:bottom w:val="none" w:sz="0" w:space="0" w:color="auto"/>
        <w:right w:val="none" w:sz="0" w:space="0" w:color="auto"/>
      </w:divBdr>
    </w:div>
    <w:div w:id="87033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2</Pages>
  <Words>622</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Scott Edwards</cp:lastModifiedBy>
  <cp:revision>12</cp:revision>
  <dcterms:created xsi:type="dcterms:W3CDTF">2022-07-09T10:39:00Z</dcterms:created>
  <dcterms:modified xsi:type="dcterms:W3CDTF">2022-07-12T08:10:00Z</dcterms:modified>
</cp:coreProperties>
</file>