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3D6C1" w14:textId="77777777" w:rsidR="00DE6AAE" w:rsidRPr="00E81CD9" w:rsidRDefault="00DE6AAE" w:rsidP="00DE6AAE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bookmarkStart w:id="0" w:name="_Hlk40006575"/>
      <w:r w:rsidRPr="00E81CD9">
        <w:rPr>
          <w:b/>
          <w:bCs/>
          <w:lang w:val="en-US"/>
        </w:rPr>
        <w:t xml:space="preserve">Name: </w:t>
      </w:r>
    </w:p>
    <w:p w14:paraId="6C217775" w14:textId="77777777" w:rsidR="00325A1B" w:rsidRPr="00325A1B" w:rsidRDefault="00325A1B" w:rsidP="00325A1B">
      <w:pPr>
        <w:rPr>
          <w:b/>
          <w:bCs/>
          <w:szCs w:val="22"/>
          <w:lang w:val="en-US" w:bidi="ar-SA"/>
        </w:rPr>
      </w:pPr>
      <w:r w:rsidRPr="00325A1B">
        <w:rPr>
          <w:lang w:val="en-US"/>
        </w:rPr>
        <w:t>ASEAN Transport Ministers (ATM) Meeting</w:t>
      </w:r>
    </w:p>
    <w:p w14:paraId="38430E2D" w14:textId="7D70D17C" w:rsidR="00DE6AAE" w:rsidRPr="006A730E" w:rsidRDefault="00DE6AAE" w:rsidP="00DE6AAE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6A730E">
        <w:rPr>
          <w:b/>
          <w:bCs/>
          <w:lang w:val="en-US"/>
        </w:rPr>
        <w:t xml:space="preserve">Short description: </w:t>
      </w:r>
    </w:p>
    <w:p w14:paraId="2F975829" w14:textId="77777777" w:rsidR="00325A1B" w:rsidRDefault="00325A1B" w:rsidP="00325A1B">
      <w:pPr>
        <w:rPr>
          <w:lang w:val="en-US"/>
        </w:rPr>
      </w:pPr>
      <w:r>
        <w:rPr>
          <w:lang w:val="en-US"/>
        </w:rPr>
        <w:t xml:space="preserve">As </w:t>
      </w:r>
      <w:r w:rsidRPr="00325A1B">
        <w:rPr>
          <w:lang w:val="en-US"/>
        </w:rPr>
        <w:t xml:space="preserve">the highest ASEAN transport body, </w:t>
      </w:r>
      <w:r>
        <w:rPr>
          <w:lang w:val="en-US"/>
        </w:rPr>
        <w:t>it</w:t>
      </w:r>
      <w:r w:rsidRPr="00325A1B">
        <w:rPr>
          <w:lang w:val="en-US"/>
        </w:rPr>
        <w:t xml:space="preserve"> set</w:t>
      </w:r>
      <w:r>
        <w:rPr>
          <w:lang w:val="en-US"/>
        </w:rPr>
        <w:t>s</w:t>
      </w:r>
      <w:r w:rsidRPr="00325A1B">
        <w:rPr>
          <w:lang w:val="en-US"/>
        </w:rPr>
        <w:t xml:space="preserve"> policy directions in the transport sector and discuss</w:t>
      </w:r>
      <w:r>
        <w:rPr>
          <w:lang w:val="en-US"/>
        </w:rPr>
        <w:t>es</w:t>
      </w:r>
      <w:r w:rsidRPr="00325A1B">
        <w:rPr>
          <w:lang w:val="en-US"/>
        </w:rPr>
        <w:t xml:space="preserve"> issues of common interest.</w:t>
      </w:r>
    </w:p>
    <w:p w14:paraId="774E752C" w14:textId="4A6326C4" w:rsidR="00DE6AAE" w:rsidRPr="00325A1B" w:rsidRDefault="00DE6AAE" w:rsidP="00325A1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325A1B">
        <w:rPr>
          <w:b/>
          <w:bCs/>
          <w:lang w:val="en-US"/>
        </w:rPr>
        <w:t xml:space="preserve">Formality: </w:t>
      </w:r>
    </w:p>
    <w:p w14:paraId="17F1FE5D" w14:textId="77777777" w:rsidR="00DE6AAE" w:rsidRDefault="00DE6AAE" w:rsidP="00DE6AAE">
      <w:pPr>
        <w:rPr>
          <w:lang w:val="en-US"/>
        </w:rPr>
      </w:pPr>
      <w:r>
        <w:rPr>
          <w:lang w:val="en-US"/>
        </w:rPr>
        <w:t>Is a sectoral body of ASEAN.</w:t>
      </w:r>
    </w:p>
    <w:p w14:paraId="39B8067C" w14:textId="77777777" w:rsidR="00DE6AAE" w:rsidRPr="00192A84" w:rsidRDefault="00DE6AAE" w:rsidP="00DE6AAE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192A84">
        <w:rPr>
          <w:b/>
          <w:bCs/>
          <w:lang w:val="en-US"/>
        </w:rPr>
        <w:t xml:space="preserve">Regional coverage: </w:t>
      </w:r>
    </w:p>
    <w:p w14:paraId="63DD8E93" w14:textId="77777777" w:rsidR="00DE6AAE" w:rsidRPr="00E81CD9" w:rsidRDefault="00DE6AAE" w:rsidP="00DE6AAE">
      <w:pPr>
        <w:rPr>
          <w:lang w:val="en-US"/>
        </w:rPr>
      </w:pPr>
      <w:r w:rsidRPr="00E81CD9">
        <w:rPr>
          <w:lang w:val="en-US"/>
        </w:rPr>
        <w:t xml:space="preserve">Southeast Asia </w:t>
      </w:r>
    </w:p>
    <w:p w14:paraId="45B37AD7" w14:textId="77777777" w:rsidR="00DE6AAE" w:rsidRPr="00E81CD9" w:rsidRDefault="00DE6AAE" w:rsidP="00DE6AAE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E81CD9">
        <w:rPr>
          <w:b/>
          <w:bCs/>
          <w:lang w:val="en-US"/>
        </w:rPr>
        <w:t xml:space="preserve">Members (including states and non-states): </w:t>
      </w:r>
    </w:p>
    <w:p w14:paraId="117C50FE" w14:textId="77777777" w:rsidR="00DE6AAE" w:rsidRDefault="00DE6AAE" w:rsidP="00DE6AAE">
      <w:pPr>
        <w:rPr>
          <w:lang w:val="en-US"/>
        </w:rPr>
      </w:pPr>
      <w:r w:rsidRPr="00E81CD9">
        <w:rPr>
          <w:lang w:val="en-US"/>
        </w:rPr>
        <w:t xml:space="preserve">Indonesia, Malaysia, Singapore, Brunei, Philippines, Thailand, Myanmar, Cambodia, Laos, Vietnam, </w:t>
      </w:r>
    </w:p>
    <w:p w14:paraId="693BCD4E" w14:textId="77777777" w:rsidR="00DE6AAE" w:rsidRPr="00F55AB6" w:rsidRDefault="00DE6AAE" w:rsidP="00DE6AAE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F55AB6">
        <w:rPr>
          <w:b/>
          <w:bCs/>
          <w:lang w:val="en-US"/>
        </w:rPr>
        <w:t xml:space="preserve">Includes non-state </w:t>
      </w:r>
      <w:proofErr w:type="gramStart"/>
      <w:r w:rsidRPr="00F55AB6">
        <w:rPr>
          <w:b/>
          <w:bCs/>
          <w:lang w:val="en-US"/>
        </w:rPr>
        <w:t>actors?</w:t>
      </w:r>
      <w:proofErr w:type="gramEnd"/>
      <w:r w:rsidRPr="00F55AB6">
        <w:rPr>
          <w:b/>
          <w:bCs/>
          <w:lang w:val="en-US"/>
        </w:rPr>
        <w:t xml:space="preserve"> </w:t>
      </w:r>
    </w:p>
    <w:p w14:paraId="3640098B" w14:textId="77777777" w:rsidR="00DE6AAE" w:rsidRDefault="00DE6AAE" w:rsidP="00DE6AAE">
      <w:pPr>
        <w:rPr>
          <w:lang w:val="en-US"/>
        </w:rPr>
      </w:pPr>
      <w:r>
        <w:rPr>
          <w:lang w:val="en-US"/>
        </w:rPr>
        <w:t>No.</w:t>
      </w:r>
    </w:p>
    <w:p w14:paraId="51BAFC07" w14:textId="77777777" w:rsidR="00DE6AAE" w:rsidRPr="000B2037" w:rsidRDefault="00DE6AAE" w:rsidP="00DE6AAE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0B2037">
        <w:rPr>
          <w:b/>
          <w:bCs/>
          <w:lang w:val="en-US"/>
        </w:rPr>
        <w:t xml:space="preserve">Date created: </w:t>
      </w:r>
    </w:p>
    <w:p w14:paraId="1460C9AF" w14:textId="77777777" w:rsidR="00325A1B" w:rsidRDefault="00325A1B" w:rsidP="00325A1B">
      <w:pPr>
        <w:pStyle w:val="ListParagraph"/>
        <w:rPr>
          <w:b/>
          <w:bCs/>
          <w:lang w:val="en-US"/>
        </w:rPr>
      </w:pPr>
    </w:p>
    <w:p w14:paraId="3A5614B7" w14:textId="3CA801FB" w:rsidR="00DE6AAE" w:rsidRPr="00BA7692" w:rsidRDefault="00DE6AAE" w:rsidP="00DE6AAE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BA7692">
        <w:rPr>
          <w:b/>
          <w:bCs/>
          <w:lang w:val="en-US"/>
        </w:rPr>
        <w:t>Date visibly started to engage with maritime security (e.g. first document that refers to it):</w:t>
      </w:r>
    </w:p>
    <w:p w14:paraId="136583CE" w14:textId="77777777" w:rsidR="00DE6AAE" w:rsidRDefault="00DE6AAE" w:rsidP="00DE6AAE">
      <w:pPr>
        <w:rPr>
          <w:lang w:val="en-US"/>
        </w:rPr>
      </w:pPr>
      <w:r w:rsidRPr="00BD6621">
        <w:rPr>
          <w:lang w:val="en-US"/>
        </w:rPr>
        <w:t>Unclear</w:t>
      </w:r>
      <w:r>
        <w:rPr>
          <w:lang w:val="en-US"/>
        </w:rPr>
        <w:t xml:space="preserve"> </w:t>
      </w:r>
    </w:p>
    <w:p w14:paraId="387E28B7" w14:textId="60260DB2" w:rsidR="00DE6AAE" w:rsidRDefault="00DE6AAE" w:rsidP="00DE6AAE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1072A4">
        <w:rPr>
          <w:b/>
          <w:bCs/>
          <w:lang w:val="en-US"/>
        </w:rPr>
        <w:t xml:space="preserve">Brief History and Description: </w:t>
      </w:r>
    </w:p>
    <w:p w14:paraId="2EE85EAD" w14:textId="73C74AD4" w:rsidR="00325A1B" w:rsidRPr="00325A1B" w:rsidRDefault="00325A1B" w:rsidP="00325A1B">
      <w:pPr>
        <w:rPr>
          <w:lang w:val="en-US"/>
        </w:rPr>
      </w:pPr>
      <w:r w:rsidRPr="00325A1B">
        <w:rPr>
          <w:lang w:val="en-US"/>
        </w:rPr>
        <w:t>The ASEAN Senior Transport Officials Meeting, as the executive body, supervise</w:t>
      </w:r>
      <w:r>
        <w:rPr>
          <w:lang w:val="en-US"/>
        </w:rPr>
        <w:t>s</w:t>
      </w:r>
      <w:r w:rsidRPr="00325A1B">
        <w:rPr>
          <w:lang w:val="en-US"/>
        </w:rPr>
        <w:t>, coordinate</w:t>
      </w:r>
      <w:r>
        <w:rPr>
          <w:lang w:val="en-US"/>
        </w:rPr>
        <w:t>s</w:t>
      </w:r>
      <w:r w:rsidRPr="00325A1B">
        <w:rPr>
          <w:lang w:val="en-US"/>
        </w:rPr>
        <w:t>, and review</w:t>
      </w:r>
      <w:r>
        <w:rPr>
          <w:lang w:val="en-US"/>
        </w:rPr>
        <w:t>s</w:t>
      </w:r>
      <w:r w:rsidRPr="00325A1B">
        <w:rPr>
          <w:lang w:val="en-US"/>
        </w:rPr>
        <w:t xml:space="preserve"> </w:t>
      </w:r>
      <w:proofErr w:type="spellStart"/>
      <w:r w:rsidRPr="00325A1B">
        <w:rPr>
          <w:lang w:val="en-US"/>
        </w:rPr>
        <w:t>programmes</w:t>
      </w:r>
      <w:proofErr w:type="spellEnd"/>
      <w:r w:rsidRPr="00325A1B">
        <w:rPr>
          <w:lang w:val="en-US"/>
        </w:rPr>
        <w:t xml:space="preserve"> as well as directions set by ASEAN Transport Ministers</w:t>
      </w:r>
      <w:r>
        <w:rPr>
          <w:lang w:val="en-US"/>
        </w:rPr>
        <w:t xml:space="preserve"> at the ATM. There are two further working groups of relevance to the maritime sphere: the </w:t>
      </w:r>
      <w:r w:rsidRPr="00325A1B">
        <w:rPr>
          <w:lang w:val="en-US"/>
        </w:rPr>
        <w:t>ASEAN Maritime Transport Working Group</w:t>
      </w:r>
      <w:r>
        <w:rPr>
          <w:lang w:val="en-US"/>
        </w:rPr>
        <w:t xml:space="preserve"> and the ASEAN Transport SAR Forum. </w:t>
      </w:r>
      <w:r w:rsidR="00F1785B">
        <w:rPr>
          <w:lang w:val="en-US"/>
        </w:rPr>
        <w:t>The Maritime Consultation Mechanism with China is also led by the AMT, where they cooperate on pollution, maritime transport security, and port state controls.</w:t>
      </w:r>
    </w:p>
    <w:p w14:paraId="1EEC7E10" w14:textId="77777777" w:rsidR="00DE6AAE" w:rsidRDefault="00DE6AAE" w:rsidP="00DE6AAE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CF48F0">
        <w:rPr>
          <w:b/>
          <w:bCs/>
          <w:lang w:val="en-US"/>
        </w:rPr>
        <w:t>Maritime Security Issues Covered:</w:t>
      </w:r>
    </w:p>
    <w:p w14:paraId="71ACDCD0" w14:textId="62DB2E38" w:rsidR="00DE6AAE" w:rsidRPr="005647DA" w:rsidRDefault="00325A1B" w:rsidP="00DE6AAE">
      <w:pPr>
        <w:rPr>
          <w:lang w:val="en-US"/>
        </w:rPr>
      </w:pPr>
      <w:r>
        <w:rPr>
          <w:lang w:val="en-US"/>
        </w:rPr>
        <w:t>Pollution; Infrastructure (e.g. ports)</w:t>
      </w:r>
      <w:r w:rsidR="00F1785B">
        <w:rPr>
          <w:lang w:val="en-US"/>
        </w:rPr>
        <w:t xml:space="preserve">; </w:t>
      </w:r>
      <w:proofErr w:type="spellStart"/>
      <w:r w:rsidR="00F1785B">
        <w:rPr>
          <w:lang w:val="en-US"/>
        </w:rPr>
        <w:t>Labour</w:t>
      </w:r>
      <w:proofErr w:type="spellEnd"/>
      <w:r w:rsidR="00F1785B">
        <w:rPr>
          <w:lang w:val="en-US"/>
        </w:rPr>
        <w:t xml:space="preserve"> abuse</w:t>
      </w:r>
    </w:p>
    <w:p w14:paraId="0FA00FD3" w14:textId="77777777" w:rsidR="00DE6AAE" w:rsidRPr="005647DA" w:rsidRDefault="00DE6AAE" w:rsidP="00DE6AAE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5647DA">
        <w:rPr>
          <w:b/>
          <w:bCs/>
          <w:lang w:val="en-US"/>
        </w:rPr>
        <w:t xml:space="preserve">Noteworthy documents and strategies: </w:t>
      </w:r>
    </w:p>
    <w:p w14:paraId="0A8BD9A9" w14:textId="77777777" w:rsidR="00DE6AAE" w:rsidRDefault="00DE6AAE" w:rsidP="00DE6AAE">
      <w:pPr>
        <w:pStyle w:val="ListParagraph"/>
        <w:rPr>
          <w:b/>
          <w:bCs/>
          <w:lang w:val="en-US"/>
        </w:rPr>
      </w:pPr>
    </w:p>
    <w:p w14:paraId="3229F13A" w14:textId="0D89147B" w:rsidR="00DE6AAE" w:rsidRDefault="00F1785B" w:rsidP="00DE6AAE">
      <w:pPr>
        <w:pStyle w:val="ListParagraph"/>
        <w:rPr>
          <w:lang w:val="en-US"/>
        </w:rPr>
      </w:pPr>
      <w:r>
        <w:rPr>
          <w:lang w:val="en-US"/>
        </w:rPr>
        <w:t>MoU on ASEAN Cooperation Mechanism for Joint Oil Spill Preparedness and Response</w:t>
      </w:r>
    </w:p>
    <w:p w14:paraId="5EE36901" w14:textId="090F7DB3" w:rsidR="00F1785B" w:rsidRDefault="00F1785B" w:rsidP="00DE6AAE">
      <w:pPr>
        <w:pStyle w:val="ListParagraph"/>
        <w:rPr>
          <w:lang w:val="en-US"/>
        </w:rPr>
      </w:pPr>
      <w:r>
        <w:rPr>
          <w:lang w:val="en-US"/>
        </w:rPr>
        <w:t>MoU Between ASEAN and China on Maritime Consultation Mechanism.</w:t>
      </w:r>
    </w:p>
    <w:p w14:paraId="0E1806D4" w14:textId="77777777" w:rsidR="00DE6AAE" w:rsidRDefault="00DE6AAE" w:rsidP="00DE6AAE">
      <w:pPr>
        <w:pStyle w:val="ListParagraph"/>
        <w:rPr>
          <w:lang w:val="en-US"/>
        </w:rPr>
      </w:pPr>
    </w:p>
    <w:p w14:paraId="4ACAB4CD" w14:textId="77777777" w:rsidR="00DE6AAE" w:rsidRPr="00E075CA" w:rsidRDefault="00DE6AAE" w:rsidP="00DE6AAE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 w:rsidRPr="00E075CA">
        <w:rPr>
          <w:b/>
          <w:bCs/>
          <w:lang w:val="en-US"/>
        </w:rPr>
        <w:t xml:space="preserve">Intensity: </w:t>
      </w:r>
    </w:p>
    <w:p w14:paraId="5D8708BE" w14:textId="25017274" w:rsidR="00DE6AAE" w:rsidRPr="00E075CA" w:rsidRDefault="00F1785B" w:rsidP="00DE6AAE">
      <w:pPr>
        <w:rPr>
          <w:lang w:val="en-US"/>
        </w:rPr>
      </w:pPr>
      <w:r>
        <w:rPr>
          <w:lang w:val="en-US"/>
        </w:rPr>
        <w:t>One meeting of the AMT per year, one meeting of the STOM per year.</w:t>
      </w:r>
    </w:p>
    <w:p w14:paraId="20674CEC" w14:textId="3F8E978F" w:rsidR="00DE6AAE" w:rsidRDefault="00DE6AAE" w:rsidP="00DE6AAE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 w:rsidRPr="004F5AEB">
        <w:rPr>
          <w:b/>
          <w:bCs/>
          <w:lang w:val="en-US"/>
        </w:rPr>
        <w:t xml:space="preserve">Ongoing projects and activities: </w:t>
      </w:r>
    </w:p>
    <w:p w14:paraId="5C591C31" w14:textId="3F2506A2" w:rsidR="00F1785B" w:rsidRPr="00F1785B" w:rsidRDefault="00F1785B" w:rsidP="00F1785B">
      <w:pPr>
        <w:rPr>
          <w:lang w:val="en-US"/>
        </w:rPr>
      </w:pPr>
      <w:r w:rsidRPr="00F1785B">
        <w:rPr>
          <w:lang w:val="en-US"/>
        </w:rPr>
        <w:t xml:space="preserve">ASEAN-EU Maritime Dialogue on the Implementation of Maritime </w:t>
      </w:r>
      <w:proofErr w:type="spellStart"/>
      <w:r w:rsidRPr="00F1785B">
        <w:rPr>
          <w:lang w:val="en-US"/>
        </w:rPr>
        <w:t>Labour</w:t>
      </w:r>
      <w:proofErr w:type="spellEnd"/>
      <w:r w:rsidRPr="00F1785B">
        <w:rPr>
          <w:lang w:val="en-US"/>
        </w:rPr>
        <w:t xml:space="preserve"> Convention (MLC) 2006</w:t>
      </w:r>
    </w:p>
    <w:p w14:paraId="35FEC2CA" w14:textId="77777777" w:rsidR="00DE6AAE" w:rsidRPr="00C71A07" w:rsidRDefault="00DE6AAE" w:rsidP="00DE6AAE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 w:rsidRPr="00C71A07">
        <w:rPr>
          <w:b/>
          <w:bCs/>
          <w:lang w:val="en-US"/>
        </w:rPr>
        <w:t xml:space="preserve">Funding structure: </w:t>
      </w:r>
    </w:p>
    <w:p w14:paraId="09839D0C" w14:textId="77777777" w:rsidR="00DE6AAE" w:rsidRDefault="00DE6AAE" w:rsidP="00DE6AAE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 w:rsidRPr="00AC599E">
        <w:rPr>
          <w:b/>
          <w:bCs/>
          <w:lang w:val="en-US"/>
        </w:rPr>
        <w:lastRenderedPageBreak/>
        <w:t>Challenges</w:t>
      </w:r>
      <w:r>
        <w:rPr>
          <w:b/>
          <w:bCs/>
          <w:lang w:val="en-US"/>
        </w:rPr>
        <w:t>:</w:t>
      </w:r>
    </w:p>
    <w:p w14:paraId="192C8AC9" w14:textId="77777777" w:rsidR="00DE6AAE" w:rsidRPr="00864109" w:rsidRDefault="00DE6AAE" w:rsidP="00DE6AAE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 w:rsidRPr="00864109">
        <w:rPr>
          <w:b/>
          <w:bCs/>
          <w:lang w:val="en-US"/>
        </w:rPr>
        <w:t xml:space="preserve">Cooperation or link with other arrangements: </w:t>
      </w:r>
    </w:p>
    <w:p w14:paraId="5CD5080D" w14:textId="77777777" w:rsidR="00DE6AAE" w:rsidRPr="00192A84" w:rsidRDefault="00DE6AAE" w:rsidP="00DE6AAE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 w:rsidRPr="00192A84">
        <w:rPr>
          <w:b/>
          <w:bCs/>
          <w:lang w:val="en-US"/>
        </w:rPr>
        <w:t xml:space="preserve">Institutional contacts: </w:t>
      </w:r>
    </w:p>
    <w:p w14:paraId="73A2BC0D" w14:textId="77777777" w:rsidR="00DE6AAE" w:rsidRDefault="00DE6AAE" w:rsidP="00DE6AAE">
      <w:pPr>
        <w:pStyle w:val="ListParagraph"/>
        <w:numPr>
          <w:ilvl w:val="0"/>
          <w:numId w:val="2"/>
        </w:numPr>
        <w:rPr>
          <w:lang w:val="en-US"/>
        </w:rPr>
      </w:pPr>
      <w:r w:rsidRPr="0035608A">
        <w:rPr>
          <w:b/>
          <w:bCs/>
          <w:lang w:val="en-US"/>
        </w:rPr>
        <w:t>Noteworthy literature</w:t>
      </w:r>
      <w:r>
        <w:rPr>
          <w:lang w:val="en-US"/>
        </w:rPr>
        <w:t xml:space="preserve">: </w:t>
      </w:r>
    </w:p>
    <w:p w14:paraId="45153D0D" w14:textId="77777777" w:rsidR="00DE6AAE" w:rsidRDefault="00DE6AAE" w:rsidP="00DE6AAE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 w:rsidRPr="0035608A">
        <w:rPr>
          <w:b/>
          <w:bCs/>
          <w:lang w:val="en-US"/>
        </w:rPr>
        <w:t xml:space="preserve">Knowledge gaps to follow up on: </w:t>
      </w:r>
      <w:bookmarkEnd w:id="0"/>
    </w:p>
    <w:p w14:paraId="5AD3FF27" w14:textId="0A7C5C08" w:rsidR="00DE6AAE" w:rsidRPr="001F1A10" w:rsidRDefault="00DE6AAE" w:rsidP="00DE6AAE">
      <w:pPr>
        <w:rPr>
          <w:lang w:val="en-US"/>
        </w:rPr>
      </w:pPr>
    </w:p>
    <w:p w14:paraId="11F0566F" w14:textId="77777777" w:rsidR="00DE6AAE" w:rsidRPr="007252C7" w:rsidRDefault="00DE6AAE" w:rsidP="00DE6AAE">
      <w:pPr>
        <w:rPr>
          <w:lang w:val="en-US"/>
        </w:rPr>
      </w:pPr>
    </w:p>
    <w:p w14:paraId="5322354E" w14:textId="77777777" w:rsidR="00445F40" w:rsidRDefault="00445F40"/>
    <w:sectPr w:rsidR="00445F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65C49"/>
    <w:multiLevelType w:val="hybridMultilevel"/>
    <w:tmpl w:val="F37A4AE6"/>
    <w:lvl w:ilvl="0" w:tplc="ABEAC3DC">
      <w:start w:val="10"/>
      <w:numFmt w:val="decimal"/>
      <w:lvlText w:val="%1."/>
      <w:lvlJc w:val="left"/>
      <w:pPr>
        <w:ind w:left="643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25538"/>
    <w:multiLevelType w:val="hybridMultilevel"/>
    <w:tmpl w:val="60CCD9E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323249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3086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AAE"/>
    <w:rsid w:val="00325A1B"/>
    <w:rsid w:val="00445F40"/>
    <w:rsid w:val="00BD6621"/>
    <w:rsid w:val="00DE6AAE"/>
    <w:rsid w:val="00F1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736F27"/>
  <w15:chartTrackingRefBased/>
  <w15:docId w15:val="{BC0EC85F-306F-4B36-873F-3143EB138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6AA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6AAE"/>
    <w:pPr>
      <w:ind w:left="720"/>
      <w:contextualSpacing/>
    </w:pPr>
    <w:rPr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Edwards</dc:creator>
  <cp:keywords/>
  <dc:description/>
  <cp:lastModifiedBy>Timothy Edmunds</cp:lastModifiedBy>
  <cp:revision>2</cp:revision>
  <dcterms:created xsi:type="dcterms:W3CDTF">2022-07-11T16:50:00Z</dcterms:created>
  <dcterms:modified xsi:type="dcterms:W3CDTF">2024-01-26T10:38:00Z</dcterms:modified>
</cp:coreProperties>
</file>