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86BFB" w14:textId="77777777" w:rsidR="00B95421" w:rsidRDefault="00B95421" w:rsidP="00B95421">
      <w:pPr>
        <w:pStyle w:val="ListParagraph"/>
        <w:numPr>
          <w:ilvl w:val="0"/>
          <w:numId w:val="1"/>
        </w:numPr>
        <w:rPr>
          <w:rFonts w:cstheme="minorHAnsi"/>
          <w:b/>
          <w:bCs/>
          <w:lang w:val="en-US"/>
        </w:rPr>
      </w:pPr>
      <w:bookmarkStart w:id="0" w:name="_Hlk40006575"/>
      <w:r w:rsidRPr="00BF25C5">
        <w:rPr>
          <w:rFonts w:cstheme="minorHAnsi"/>
          <w:b/>
          <w:bCs/>
          <w:lang w:val="en-US"/>
        </w:rPr>
        <w:t xml:space="preserve">Name: </w:t>
      </w:r>
    </w:p>
    <w:p w14:paraId="6D33465C" w14:textId="77777777" w:rsidR="00B95421" w:rsidRPr="00436347" w:rsidRDefault="00B95421" w:rsidP="00B95421">
      <w:pPr>
        <w:rPr>
          <w:rFonts w:cstheme="minorHAnsi"/>
          <w:b/>
          <w:bCs/>
          <w:lang w:val="en-US"/>
        </w:rPr>
      </w:pPr>
      <w:r w:rsidRPr="00436347">
        <w:rPr>
          <w:rFonts w:cstheme="minorHAnsi"/>
          <w:lang w:val="en-US"/>
        </w:rPr>
        <w:t xml:space="preserve">ASEAN Working Group on Coastal and Marine Environment </w:t>
      </w:r>
    </w:p>
    <w:p w14:paraId="631F30E1" w14:textId="77777777" w:rsidR="00B95421" w:rsidRPr="002D683F" w:rsidRDefault="00B95421" w:rsidP="00B95421">
      <w:pPr>
        <w:pStyle w:val="ListParagraph"/>
        <w:numPr>
          <w:ilvl w:val="0"/>
          <w:numId w:val="1"/>
        </w:numPr>
        <w:rPr>
          <w:rFonts w:cstheme="minorHAnsi"/>
          <w:b/>
          <w:bCs/>
          <w:lang w:val="en-US"/>
        </w:rPr>
      </w:pPr>
      <w:r w:rsidRPr="002D683F">
        <w:rPr>
          <w:rFonts w:cstheme="minorHAnsi"/>
          <w:b/>
          <w:bCs/>
          <w:lang w:val="en-US"/>
        </w:rPr>
        <w:t xml:space="preserve">Short description: </w:t>
      </w:r>
    </w:p>
    <w:p w14:paraId="3EA31283" w14:textId="77777777" w:rsidR="00B95421" w:rsidRDefault="00B95421" w:rsidP="00B95421">
      <w:pPr>
        <w:rPr>
          <w:rFonts w:cstheme="minorHAnsi"/>
          <w:lang w:val="en-US"/>
        </w:rPr>
      </w:pPr>
      <w:r>
        <w:rPr>
          <w:rFonts w:cstheme="minorHAnsi"/>
          <w:lang w:val="en-US"/>
        </w:rPr>
        <w:t>T</w:t>
      </w:r>
      <w:r w:rsidRPr="00AA172F">
        <w:rPr>
          <w:rFonts w:cstheme="minorHAnsi"/>
          <w:lang w:val="en-US"/>
        </w:rPr>
        <w:t>he institution responsible for ASEAN cooperation on the environment</w:t>
      </w:r>
      <w:r>
        <w:rPr>
          <w:rFonts w:cstheme="minorHAnsi"/>
          <w:lang w:val="en-US"/>
        </w:rPr>
        <w:t>, has an interest in coastal and marine environments.</w:t>
      </w:r>
    </w:p>
    <w:p w14:paraId="1109FF37" w14:textId="77777777" w:rsidR="00B95421" w:rsidRPr="00AA172F" w:rsidRDefault="00B95421" w:rsidP="00B95421">
      <w:pPr>
        <w:pStyle w:val="ListParagraph"/>
        <w:numPr>
          <w:ilvl w:val="0"/>
          <w:numId w:val="1"/>
        </w:numPr>
        <w:rPr>
          <w:rFonts w:cstheme="minorHAnsi"/>
          <w:b/>
          <w:bCs/>
          <w:lang w:val="en-US"/>
        </w:rPr>
      </w:pPr>
      <w:r w:rsidRPr="00AA172F">
        <w:rPr>
          <w:rFonts w:cstheme="minorHAnsi"/>
          <w:b/>
          <w:bCs/>
          <w:lang w:val="en-US"/>
        </w:rPr>
        <w:t xml:space="preserve">Formality: </w:t>
      </w:r>
    </w:p>
    <w:p w14:paraId="4790895E" w14:textId="77777777" w:rsidR="00B95421" w:rsidRDefault="00B95421" w:rsidP="00B95421">
      <w:pPr>
        <w:rPr>
          <w:rFonts w:cstheme="minorHAnsi"/>
          <w:szCs w:val="22"/>
          <w:lang w:val="en-US"/>
        </w:rPr>
      </w:pPr>
      <w:r w:rsidRPr="00BF25C5">
        <w:rPr>
          <w:rFonts w:cstheme="minorHAnsi"/>
          <w:szCs w:val="22"/>
          <w:lang w:val="en-US"/>
        </w:rPr>
        <w:t xml:space="preserve">Formal. Operates within the </w:t>
      </w:r>
      <w:r>
        <w:rPr>
          <w:rFonts w:cstheme="minorHAnsi"/>
          <w:szCs w:val="22"/>
          <w:lang w:val="en-US"/>
        </w:rPr>
        <w:t>ASEAN</w:t>
      </w:r>
      <w:r w:rsidRPr="00BF25C5">
        <w:rPr>
          <w:rFonts w:cstheme="minorHAnsi"/>
          <w:szCs w:val="22"/>
          <w:lang w:val="en-US"/>
        </w:rPr>
        <w:t xml:space="preserve"> Secretariat</w:t>
      </w:r>
      <w:r>
        <w:rPr>
          <w:rFonts w:cstheme="minorHAnsi"/>
          <w:szCs w:val="22"/>
          <w:lang w:val="en-US"/>
        </w:rPr>
        <w:t xml:space="preserve">. </w:t>
      </w:r>
    </w:p>
    <w:p w14:paraId="0EF2B152" w14:textId="77777777" w:rsidR="00B95421" w:rsidRPr="00846EEF" w:rsidRDefault="00B95421" w:rsidP="00B95421">
      <w:pPr>
        <w:pStyle w:val="ListParagraph"/>
        <w:numPr>
          <w:ilvl w:val="0"/>
          <w:numId w:val="1"/>
        </w:numPr>
        <w:rPr>
          <w:rFonts w:cstheme="minorHAnsi"/>
          <w:b/>
          <w:bCs/>
          <w:lang w:val="en-US"/>
        </w:rPr>
      </w:pPr>
      <w:r w:rsidRPr="00846EEF">
        <w:rPr>
          <w:rFonts w:cstheme="minorHAnsi"/>
          <w:b/>
          <w:bCs/>
          <w:lang w:val="en-US"/>
        </w:rPr>
        <w:t xml:space="preserve">Regional coverage: </w:t>
      </w:r>
    </w:p>
    <w:p w14:paraId="0F8945EC" w14:textId="77777777" w:rsidR="00B95421" w:rsidRPr="00BF25C5" w:rsidRDefault="00B95421" w:rsidP="00B95421">
      <w:pPr>
        <w:rPr>
          <w:rFonts w:cstheme="minorHAnsi"/>
          <w:szCs w:val="22"/>
          <w:lang w:val="en-US"/>
        </w:rPr>
      </w:pPr>
      <w:r>
        <w:rPr>
          <w:rFonts w:cstheme="minorHAnsi"/>
          <w:szCs w:val="22"/>
          <w:lang w:val="en-US"/>
        </w:rPr>
        <w:t>Southeast Asia</w:t>
      </w:r>
    </w:p>
    <w:p w14:paraId="204C2BE1" w14:textId="77777777" w:rsidR="00B95421" w:rsidRPr="00BF25C5" w:rsidRDefault="00B95421" w:rsidP="00B95421">
      <w:pPr>
        <w:pStyle w:val="ListParagraph"/>
        <w:numPr>
          <w:ilvl w:val="0"/>
          <w:numId w:val="1"/>
        </w:numPr>
        <w:rPr>
          <w:rFonts w:cstheme="minorHAnsi"/>
          <w:b/>
          <w:bCs/>
          <w:lang w:val="en-US"/>
        </w:rPr>
      </w:pPr>
      <w:r w:rsidRPr="00BF25C5">
        <w:rPr>
          <w:rFonts w:cstheme="minorHAnsi"/>
          <w:b/>
          <w:bCs/>
          <w:lang w:val="en-US"/>
        </w:rPr>
        <w:t xml:space="preserve">Members (including states and non-states): </w:t>
      </w:r>
    </w:p>
    <w:p w14:paraId="253C129C" w14:textId="77777777" w:rsidR="00B95421" w:rsidRDefault="00B95421" w:rsidP="00B95421">
      <w:pPr>
        <w:rPr>
          <w:rFonts w:cstheme="minorHAnsi"/>
          <w:szCs w:val="22"/>
          <w:lang w:val="en-US"/>
        </w:rPr>
      </w:pPr>
      <w:r>
        <w:rPr>
          <w:rFonts w:cstheme="minorHAnsi"/>
          <w:szCs w:val="22"/>
          <w:lang w:val="en-US"/>
        </w:rPr>
        <w:t>ASEAN member states.</w:t>
      </w:r>
    </w:p>
    <w:p w14:paraId="0CA2A32C" w14:textId="77777777" w:rsidR="00B95421" w:rsidRPr="00205E68" w:rsidRDefault="00B95421" w:rsidP="00B95421">
      <w:pPr>
        <w:pStyle w:val="ListParagraph"/>
        <w:numPr>
          <w:ilvl w:val="0"/>
          <w:numId w:val="1"/>
        </w:numPr>
        <w:autoSpaceDE w:val="0"/>
        <w:autoSpaceDN w:val="0"/>
        <w:adjustRightInd w:val="0"/>
        <w:spacing w:after="0" w:line="240" w:lineRule="auto"/>
        <w:rPr>
          <w:rFonts w:cstheme="minorHAnsi"/>
        </w:rPr>
      </w:pPr>
      <w:r w:rsidRPr="00BF25C5">
        <w:rPr>
          <w:rFonts w:cstheme="minorHAnsi"/>
          <w:b/>
          <w:bCs/>
          <w:lang w:val="en-US"/>
        </w:rPr>
        <w:t xml:space="preserve">Includes non-state </w:t>
      </w:r>
      <w:proofErr w:type="gramStart"/>
      <w:r w:rsidRPr="00BF25C5">
        <w:rPr>
          <w:rFonts w:cstheme="minorHAnsi"/>
          <w:b/>
          <w:bCs/>
          <w:lang w:val="en-US"/>
        </w:rPr>
        <w:t>actors?</w:t>
      </w:r>
      <w:proofErr w:type="gramEnd"/>
      <w:r w:rsidRPr="00BF25C5">
        <w:rPr>
          <w:rFonts w:cstheme="minorHAnsi"/>
          <w:b/>
          <w:bCs/>
          <w:lang w:val="en-US"/>
        </w:rPr>
        <w:t xml:space="preserve"> </w:t>
      </w:r>
    </w:p>
    <w:p w14:paraId="565A80D0" w14:textId="77777777" w:rsidR="00B95421" w:rsidRPr="00B7507A" w:rsidRDefault="00B95421" w:rsidP="00B95421">
      <w:pPr>
        <w:pStyle w:val="ListParagraph"/>
        <w:autoSpaceDE w:val="0"/>
        <w:autoSpaceDN w:val="0"/>
        <w:adjustRightInd w:val="0"/>
        <w:spacing w:after="0" w:line="240" w:lineRule="auto"/>
        <w:rPr>
          <w:rFonts w:cstheme="minorHAnsi"/>
        </w:rPr>
      </w:pPr>
    </w:p>
    <w:p w14:paraId="690C7D62" w14:textId="77777777" w:rsidR="00B95421" w:rsidRPr="00205E68" w:rsidRDefault="00B95421" w:rsidP="00B95421">
      <w:pPr>
        <w:autoSpaceDE w:val="0"/>
        <w:autoSpaceDN w:val="0"/>
        <w:adjustRightInd w:val="0"/>
        <w:spacing w:after="0" w:line="240" w:lineRule="auto"/>
        <w:rPr>
          <w:rFonts w:cstheme="minorHAnsi"/>
        </w:rPr>
      </w:pPr>
      <w:r>
        <w:rPr>
          <w:rFonts w:cstheme="minorHAnsi"/>
        </w:rPr>
        <w:t>On an ad hoc basis (giving presentations, partnerships, etc.)</w:t>
      </w:r>
    </w:p>
    <w:p w14:paraId="1F32FFEE" w14:textId="77777777" w:rsidR="00B95421" w:rsidRDefault="00B95421" w:rsidP="00B95421">
      <w:pPr>
        <w:pStyle w:val="ListParagraph"/>
        <w:rPr>
          <w:rFonts w:cstheme="minorHAnsi"/>
          <w:b/>
          <w:bCs/>
          <w:lang w:val="en-US"/>
        </w:rPr>
      </w:pPr>
    </w:p>
    <w:p w14:paraId="02911373" w14:textId="77777777" w:rsidR="00B95421" w:rsidRDefault="00B95421" w:rsidP="00B95421">
      <w:pPr>
        <w:pStyle w:val="ListParagraph"/>
        <w:numPr>
          <w:ilvl w:val="0"/>
          <w:numId w:val="1"/>
        </w:numPr>
        <w:rPr>
          <w:rFonts w:cstheme="minorHAnsi"/>
          <w:b/>
          <w:bCs/>
          <w:lang w:val="en-US"/>
        </w:rPr>
      </w:pPr>
      <w:r w:rsidRPr="00BF25C5">
        <w:rPr>
          <w:rFonts w:cstheme="minorHAnsi"/>
          <w:b/>
          <w:bCs/>
          <w:lang w:val="en-US"/>
        </w:rPr>
        <w:t xml:space="preserve">Date created: </w:t>
      </w:r>
    </w:p>
    <w:p w14:paraId="12A3C8EB" w14:textId="0B832803" w:rsidR="00B95421" w:rsidRPr="00326CD9" w:rsidRDefault="00740441" w:rsidP="00B95421">
      <w:pPr>
        <w:rPr>
          <w:rFonts w:cstheme="minorHAnsi"/>
          <w:lang w:val="en-US"/>
        </w:rPr>
      </w:pPr>
      <w:r>
        <w:rPr>
          <w:rFonts w:cstheme="minorHAnsi"/>
          <w:lang w:val="en-US"/>
        </w:rPr>
        <w:t>1992</w:t>
      </w:r>
    </w:p>
    <w:p w14:paraId="305FA44F" w14:textId="77777777" w:rsidR="00B95421" w:rsidRPr="00BF25C5" w:rsidRDefault="00B95421" w:rsidP="00B95421">
      <w:pPr>
        <w:pStyle w:val="ListParagraph"/>
        <w:numPr>
          <w:ilvl w:val="0"/>
          <w:numId w:val="1"/>
        </w:numPr>
        <w:rPr>
          <w:rFonts w:cstheme="minorHAnsi"/>
          <w:b/>
          <w:bCs/>
          <w:lang w:val="en-US"/>
        </w:rPr>
      </w:pPr>
      <w:r w:rsidRPr="00BF25C5">
        <w:rPr>
          <w:rFonts w:cstheme="minorHAnsi"/>
          <w:b/>
          <w:bCs/>
          <w:lang w:val="en-US"/>
        </w:rPr>
        <w:t>Date visibly started to engage with maritime security (e.g. first document that refers to it):</w:t>
      </w:r>
    </w:p>
    <w:p w14:paraId="602F395F" w14:textId="77777777" w:rsidR="00B95421" w:rsidRPr="00BF25C5" w:rsidRDefault="00B95421" w:rsidP="00B95421">
      <w:pPr>
        <w:rPr>
          <w:rFonts w:cstheme="minorHAnsi"/>
          <w:szCs w:val="22"/>
          <w:lang w:val="en-US"/>
        </w:rPr>
      </w:pPr>
      <w:r w:rsidRPr="00C27C68">
        <w:rPr>
          <w:rFonts w:cstheme="minorHAnsi"/>
          <w:szCs w:val="22"/>
          <w:lang w:val="en-US"/>
        </w:rPr>
        <w:t>Unclear</w:t>
      </w:r>
    </w:p>
    <w:p w14:paraId="0EB8E714" w14:textId="77777777" w:rsidR="00B95421" w:rsidRDefault="00B95421" w:rsidP="00B95421">
      <w:pPr>
        <w:pStyle w:val="ListParagraph"/>
        <w:numPr>
          <w:ilvl w:val="0"/>
          <w:numId w:val="1"/>
        </w:numPr>
        <w:rPr>
          <w:rFonts w:cstheme="minorHAnsi"/>
          <w:b/>
          <w:bCs/>
          <w:lang w:val="en-US"/>
        </w:rPr>
      </w:pPr>
      <w:r w:rsidRPr="00BF25C5">
        <w:rPr>
          <w:rFonts w:cstheme="minorHAnsi"/>
          <w:b/>
          <w:bCs/>
          <w:lang w:val="en-US"/>
        </w:rPr>
        <w:t xml:space="preserve">Brief History and Description: </w:t>
      </w:r>
    </w:p>
    <w:p w14:paraId="12DEB282" w14:textId="55B51C76" w:rsidR="001A7BFF" w:rsidRDefault="001A7BFF" w:rsidP="00B95421">
      <w:pPr>
        <w:rPr>
          <w:rFonts w:cstheme="minorHAnsi"/>
          <w:lang w:val="en-US"/>
        </w:rPr>
      </w:pPr>
      <w:r w:rsidRPr="001A7BFF">
        <w:rPr>
          <w:rFonts w:cstheme="minorHAnsi"/>
          <w:lang w:val="en-US"/>
        </w:rPr>
        <w:t xml:space="preserve">In 1983, the ASEAN Ministerial Understanding on Fisheries Cooperation was adopted by the ASEAN Ministers of Agriculture and Food (AMAF) to foster closer cooperation in the areas of fisheries management and conservation, exchange of technology, fisheries </w:t>
      </w:r>
      <w:proofErr w:type="gramStart"/>
      <w:r w:rsidRPr="001A7BFF">
        <w:rPr>
          <w:rFonts w:cstheme="minorHAnsi"/>
          <w:lang w:val="en-US"/>
        </w:rPr>
        <w:t>trade</w:t>
      </w:r>
      <w:proofErr w:type="gramEnd"/>
      <w:r w:rsidRPr="001A7BFF">
        <w:rPr>
          <w:rFonts w:cstheme="minorHAnsi"/>
          <w:lang w:val="en-US"/>
        </w:rPr>
        <w:t xml:space="preserve"> and marketing. Following the dissolution of the ASEAN COFAF in 1992 and the 14th AMAF decision of providing SOM-AMAF the important role in reformulating new policy guidelines for ASEAN cooperation in food, agriculture and forestry, the ASEAN Sectoral Working Group on Fisheries (</w:t>
      </w:r>
      <w:proofErr w:type="spellStart"/>
      <w:r w:rsidRPr="001A7BFF">
        <w:rPr>
          <w:rFonts w:cstheme="minorHAnsi"/>
          <w:lang w:val="en-US"/>
        </w:rPr>
        <w:t>ASWGFi</w:t>
      </w:r>
      <w:proofErr w:type="spellEnd"/>
      <w:r w:rsidRPr="001A7BFF">
        <w:rPr>
          <w:rFonts w:cstheme="minorHAnsi"/>
          <w:lang w:val="en-US"/>
        </w:rPr>
        <w:t>) was reconstituted as one of the subsidiary bodies providing technical support to SOM-AMAF.</w:t>
      </w:r>
    </w:p>
    <w:p w14:paraId="66859D84" w14:textId="3074FB70" w:rsidR="00B95421" w:rsidRDefault="00B95421" w:rsidP="00B95421">
      <w:pPr>
        <w:rPr>
          <w:rFonts w:cstheme="minorHAnsi"/>
          <w:lang w:val="en-US"/>
        </w:rPr>
      </w:pPr>
      <w:r w:rsidRPr="005B7AF3">
        <w:rPr>
          <w:rFonts w:cstheme="minorHAnsi"/>
          <w:lang w:val="en-US"/>
        </w:rPr>
        <w:t>ASEAN Working Group on Coastal and Marine Environment (AWGCME) aims to ensure ASEANs coastal and marine environment are sustainably managed; representative ecosystems, pristine areas, and species are protected; economic activities are sustainably managed; and public awareness of the coastal and marine environment instilled.</w:t>
      </w:r>
      <w:r>
        <w:rPr>
          <w:rFonts w:cstheme="minorHAnsi"/>
          <w:lang w:val="en-US"/>
        </w:rPr>
        <w:t xml:space="preserve"> </w:t>
      </w:r>
      <w:r w:rsidRPr="00D16BD5">
        <w:rPr>
          <w:rFonts w:cstheme="minorHAnsi"/>
          <w:lang w:val="en-US"/>
        </w:rPr>
        <w:t xml:space="preserve">AWGCME </w:t>
      </w:r>
      <w:r>
        <w:rPr>
          <w:rFonts w:cstheme="minorHAnsi"/>
          <w:lang w:val="en-US"/>
        </w:rPr>
        <w:t>also functions</w:t>
      </w:r>
      <w:r w:rsidRPr="00D16BD5">
        <w:rPr>
          <w:rFonts w:cstheme="minorHAnsi"/>
          <w:lang w:val="en-US"/>
        </w:rPr>
        <w:t xml:space="preserve"> as a consultative forum to promote coordination and collaboration among various relevant ASEAN and other regional marine-related initiatives to ensure a well-coordinated and integrated approach to the conservation and sustainable management of the coastal and marine environment</w:t>
      </w:r>
    </w:p>
    <w:p w14:paraId="1BC8A52A" w14:textId="02F0164F" w:rsidR="00740441" w:rsidRPr="00740441" w:rsidRDefault="00740441" w:rsidP="00740441">
      <w:pPr>
        <w:rPr>
          <w:rFonts w:cstheme="minorHAnsi"/>
          <w:lang w:val="en-US"/>
        </w:rPr>
      </w:pPr>
      <w:r w:rsidRPr="00740441">
        <w:rPr>
          <w:rFonts w:cstheme="minorHAnsi"/>
          <w:lang w:val="en-US"/>
        </w:rPr>
        <w:t xml:space="preserve">The </w:t>
      </w:r>
      <w:proofErr w:type="spellStart"/>
      <w:r w:rsidRPr="00740441">
        <w:rPr>
          <w:rFonts w:cstheme="minorHAnsi"/>
          <w:lang w:val="en-US"/>
        </w:rPr>
        <w:t>ASWGFi</w:t>
      </w:r>
      <w:proofErr w:type="spellEnd"/>
      <w:r w:rsidRPr="00740441">
        <w:rPr>
          <w:rFonts w:cstheme="minorHAnsi"/>
          <w:lang w:val="en-US"/>
        </w:rPr>
        <w:t xml:space="preserve"> is supported by the following sub-working working groups in the implementation of the strategic plan of action: </w:t>
      </w:r>
    </w:p>
    <w:p w14:paraId="7B750755" w14:textId="77777777" w:rsidR="00740441" w:rsidRPr="00740441" w:rsidRDefault="00740441" w:rsidP="00740441">
      <w:pPr>
        <w:rPr>
          <w:rFonts w:cstheme="minorHAnsi"/>
          <w:lang w:val="en-US"/>
        </w:rPr>
      </w:pPr>
      <w:r w:rsidRPr="00740441">
        <w:rPr>
          <w:rFonts w:cstheme="minorHAnsi"/>
          <w:lang w:val="en-US"/>
        </w:rPr>
        <w:lastRenderedPageBreak/>
        <w:t xml:space="preserve">    ASEAN Shrimp Alliance (ASA) provides a platform for government and private sector to formulate and harmonize shrimp production and certification standards, and to discuss issues affecting shrimp production and </w:t>
      </w:r>
      <w:proofErr w:type="gramStart"/>
      <w:r w:rsidRPr="00740441">
        <w:rPr>
          <w:rFonts w:cstheme="minorHAnsi"/>
          <w:lang w:val="en-US"/>
        </w:rPr>
        <w:t>trade;</w:t>
      </w:r>
      <w:proofErr w:type="gramEnd"/>
      <w:r w:rsidRPr="00740441">
        <w:rPr>
          <w:rFonts w:cstheme="minorHAnsi"/>
          <w:lang w:val="en-US"/>
        </w:rPr>
        <w:t xml:space="preserve"> </w:t>
      </w:r>
    </w:p>
    <w:p w14:paraId="53A7483B" w14:textId="77777777" w:rsidR="00740441" w:rsidRPr="00740441" w:rsidRDefault="00740441" w:rsidP="00740441">
      <w:pPr>
        <w:rPr>
          <w:rFonts w:cstheme="minorHAnsi"/>
          <w:lang w:val="en-US"/>
        </w:rPr>
      </w:pPr>
      <w:r w:rsidRPr="00740441">
        <w:rPr>
          <w:rFonts w:cstheme="minorHAnsi"/>
          <w:lang w:val="en-US"/>
        </w:rPr>
        <w:t xml:space="preserve">    Fisheries Consultative Group of the ASEAN-SEAFDEC Strategic Partnership (FCG/ASSP) provides a mechanism for ASEAN and SEAFDEC to work together in developing common or coordinated positions on international fisheries issues and implementing mutually agreed fisheries </w:t>
      </w:r>
      <w:proofErr w:type="gramStart"/>
      <w:r w:rsidRPr="00740441">
        <w:rPr>
          <w:rFonts w:cstheme="minorHAnsi"/>
          <w:lang w:val="en-US"/>
        </w:rPr>
        <w:t>programs;</w:t>
      </w:r>
      <w:proofErr w:type="gramEnd"/>
      <w:r w:rsidRPr="00740441">
        <w:rPr>
          <w:rFonts w:cstheme="minorHAnsi"/>
          <w:lang w:val="en-US"/>
        </w:rPr>
        <w:t xml:space="preserve"> </w:t>
      </w:r>
    </w:p>
    <w:p w14:paraId="538ADF1E" w14:textId="77777777" w:rsidR="00740441" w:rsidRPr="00740441" w:rsidRDefault="00740441" w:rsidP="00740441">
      <w:pPr>
        <w:rPr>
          <w:rFonts w:cstheme="minorHAnsi"/>
          <w:lang w:val="en-US"/>
        </w:rPr>
      </w:pPr>
      <w:r w:rsidRPr="00740441">
        <w:rPr>
          <w:rFonts w:cstheme="minorHAnsi"/>
          <w:lang w:val="en-US"/>
        </w:rPr>
        <w:t xml:space="preserve">    ASEAN Fisheries Consultative Forum (AFCF) provides a platform to discuss and address common problems on fisheries management and development faced by AMS; and</w:t>
      </w:r>
    </w:p>
    <w:p w14:paraId="6FBDFB27" w14:textId="119E5A04" w:rsidR="00740441" w:rsidRDefault="00740441" w:rsidP="00740441">
      <w:pPr>
        <w:rPr>
          <w:rFonts w:cstheme="minorHAnsi"/>
          <w:lang w:val="en-US"/>
        </w:rPr>
      </w:pPr>
      <w:r w:rsidRPr="00740441">
        <w:rPr>
          <w:rFonts w:cstheme="minorHAnsi"/>
          <w:lang w:val="en-US"/>
        </w:rPr>
        <w:t xml:space="preserve">    Expert Working Group on ASEAN Good Aquaculture Practice (EWG-ASEAN </w:t>
      </w:r>
      <w:proofErr w:type="spellStart"/>
      <w:r w:rsidRPr="00740441">
        <w:rPr>
          <w:rFonts w:cstheme="minorHAnsi"/>
          <w:lang w:val="en-US"/>
        </w:rPr>
        <w:t>GAqP</w:t>
      </w:r>
      <w:proofErr w:type="spellEnd"/>
      <w:r w:rsidRPr="00740441">
        <w:rPr>
          <w:rFonts w:cstheme="minorHAnsi"/>
          <w:lang w:val="en-US"/>
        </w:rPr>
        <w:t>) provides a mechanism to develop and review the ASEAN certification system and best practices guidelines or standards for aquaculture commodities.</w:t>
      </w:r>
    </w:p>
    <w:p w14:paraId="2EF8B416" w14:textId="77777777" w:rsidR="00B95421" w:rsidRPr="005B7AF3" w:rsidRDefault="00B95421" w:rsidP="00B95421">
      <w:pPr>
        <w:pStyle w:val="ListParagraph"/>
        <w:numPr>
          <w:ilvl w:val="0"/>
          <w:numId w:val="1"/>
        </w:numPr>
        <w:rPr>
          <w:rFonts w:cstheme="minorHAnsi"/>
          <w:b/>
          <w:bCs/>
          <w:lang w:val="en-US"/>
        </w:rPr>
      </w:pPr>
      <w:r w:rsidRPr="005B7AF3">
        <w:rPr>
          <w:rFonts w:cstheme="minorHAnsi"/>
          <w:szCs w:val="28"/>
          <w:lang w:val="en-US" w:bidi="th-TH"/>
        </w:rPr>
        <w:t xml:space="preserve"> </w:t>
      </w:r>
      <w:r w:rsidRPr="005B7AF3">
        <w:rPr>
          <w:rFonts w:cstheme="minorHAnsi"/>
          <w:b/>
          <w:bCs/>
          <w:lang w:val="en-US"/>
        </w:rPr>
        <w:t xml:space="preserve">Maritime Security Issues Covered: </w:t>
      </w:r>
    </w:p>
    <w:p w14:paraId="16216F62" w14:textId="79A01E0F" w:rsidR="00B95421" w:rsidRPr="00BF25C5" w:rsidRDefault="00B95421" w:rsidP="00B95421">
      <w:pPr>
        <w:rPr>
          <w:rFonts w:cstheme="minorHAnsi"/>
          <w:szCs w:val="22"/>
          <w:lang w:val="en-US"/>
        </w:rPr>
      </w:pPr>
      <w:r>
        <w:rPr>
          <w:rFonts w:cstheme="minorHAnsi"/>
          <w:szCs w:val="22"/>
          <w:lang w:val="en-US"/>
        </w:rPr>
        <w:t>IUU Fishing</w:t>
      </w:r>
    </w:p>
    <w:p w14:paraId="1BBACFB5" w14:textId="2E4C5CCE" w:rsidR="00B95421" w:rsidRDefault="00B95421" w:rsidP="00B95421">
      <w:pPr>
        <w:pStyle w:val="ListParagraph"/>
        <w:numPr>
          <w:ilvl w:val="0"/>
          <w:numId w:val="1"/>
        </w:numPr>
        <w:rPr>
          <w:rFonts w:cstheme="minorHAnsi"/>
          <w:b/>
          <w:bCs/>
          <w:lang w:val="en-US"/>
        </w:rPr>
      </w:pPr>
      <w:r w:rsidRPr="00BF25C5">
        <w:rPr>
          <w:rFonts w:cstheme="minorHAnsi"/>
          <w:b/>
          <w:bCs/>
          <w:lang w:val="en-US"/>
        </w:rPr>
        <w:t xml:space="preserve">Noteworthy documents and strategies: </w:t>
      </w:r>
      <w:r w:rsidR="00EE6BC1">
        <w:rPr>
          <w:rFonts w:cstheme="minorHAnsi"/>
          <w:b/>
          <w:bCs/>
          <w:lang w:val="en-US"/>
        </w:rPr>
        <w:t xml:space="preserve"> </w:t>
      </w:r>
    </w:p>
    <w:p w14:paraId="68BF02B5" w14:textId="77777777" w:rsidR="00B95421" w:rsidRPr="00BF25C5" w:rsidRDefault="00B95421" w:rsidP="00B95421">
      <w:pPr>
        <w:pStyle w:val="ListParagraph"/>
        <w:rPr>
          <w:rFonts w:cstheme="minorHAnsi"/>
          <w:b/>
          <w:bCs/>
          <w:lang w:val="en-US"/>
        </w:rPr>
      </w:pPr>
    </w:p>
    <w:p w14:paraId="29818F57" w14:textId="4F9499C8" w:rsidR="00B95421" w:rsidRDefault="005E08D2" w:rsidP="00017564">
      <w:pPr>
        <w:pStyle w:val="ListParagraph"/>
        <w:numPr>
          <w:ilvl w:val="0"/>
          <w:numId w:val="4"/>
        </w:numPr>
        <w:rPr>
          <w:rFonts w:cstheme="minorHAnsi"/>
          <w:color w:val="000000"/>
        </w:rPr>
      </w:pPr>
      <w:r w:rsidRPr="005E08D2">
        <w:rPr>
          <w:rFonts w:cstheme="minorHAnsi"/>
          <w:color w:val="000000"/>
        </w:rPr>
        <w:t>STRATEGIC PLAN OF ACTION ON ASEAN COOPERATION ON FISHERIES</w:t>
      </w:r>
      <w:r>
        <w:rPr>
          <w:rFonts w:cstheme="minorHAnsi"/>
          <w:color w:val="000000"/>
        </w:rPr>
        <w:t xml:space="preserve"> </w:t>
      </w:r>
      <w:r w:rsidRPr="005E08D2">
        <w:rPr>
          <w:rFonts w:cstheme="minorHAnsi"/>
          <w:color w:val="000000"/>
        </w:rPr>
        <w:t>2016-2020</w:t>
      </w:r>
    </w:p>
    <w:p w14:paraId="12DC79A2" w14:textId="371424AC" w:rsidR="00740441" w:rsidRDefault="00740441" w:rsidP="00017564">
      <w:pPr>
        <w:pStyle w:val="ListParagraph"/>
        <w:numPr>
          <w:ilvl w:val="0"/>
          <w:numId w:val="4"/>
        </w:numPr>
        <w:rPr>
          <w:rFonts w:cstheme="minorHAnsi"/>
          <w:color w:val="000000"/>
        </w:rPr>
      </w:pPr>
      <w:r w:rsidRPr="00740441">
        <w:rPr>
          <w:rFonts w:cstheme="minorHAnsi"/>
          <w:color w:val="000000"/>
        </w:rPr>
        <w:t>ASEAN-SEAFDEC Joint Declaration on Regional Cooperation for Combating IUU Fishing</w:t>
      </w:r>
    </w:p>
    <w:p w14:paraId="1ACFA45E" w14:textId="036101C4" w:rsidR="00740441" w:rsidRDefault="00740441" w:rsidP="00017564">
      <w:pPr>
        <w:pStyle w:val="ListParagraph"/>
        <w:numPr>
          <w:ilvl w:val="0"/>
          <w:numId w:val="4"/>
        </w:numPr>
        <w:rPr>
          <w:rFonts w:cstheme="minorHAnsi"/>
          <w:color w:val="000000"/>
        </w:rPr>
      </w:pPr>
      <w:r w:rsidRPr="00740441">
        <w:rPr>
          <w:rFonts w:cstheme="minorHAnsi"/>
          <w:color w:val="000000"/>
        </w:rPr>
        <w:t>Guidelines for Preventing the Entry of Fish and Fishery Products from IUU Fishing Activities into the Supply Chain</w:t>
      </w:r>
    </w:p>
    <w:p w14:paraId="4448F9E1" w14:textId="77777777" w:rsidR="005E08D2" w:rsidRPr="005E08D2" w:rsidRDefault="005E08D2" w:rsidP="005E08D2">
      <w:pPr>
        <w:pStyle w:val="ListParagraph"/>
        <w:rPr>
          <w:rFonts w:cstheme="minorHAnsi"/>
          <w:b/>
          <w:bCs/>
          <w:lang w:val="en-US"/>
        </w:rPr>
      </w:pPr>
    </w:p>
    <w:p w14:paraId="6A64B939" w14:textId="6EEE3A8C" w:rsidR="00B95421" w:rsidRPr="00FE189D" w:rsidRDefault="00B95421" w:rsidP="00B95421">
      <w:pPr>
        <w:pStyle w:val="ListParagraph"/>
        <w:numPr>
          <w:ilvl w:val="0"/>
          <w:numId w:val="1"/>
        </w:numPr>
        <w:rPr>
          <w:rFonts w:cstheme="minorHAnsi"/>
          <w:b/>
          <w:bCs/>
          <w:lang w:val="en-US"/>
        </w:rPr>
      </w:pPr>
      <w:r w:rsidRPr="00FE189D">
        <w:rPr>
          <w:rFonts w:cstheme="minorHAnsi"/>
          <w:b/>
          <w:bCs/>
          <w:color w:val="000000"/>
          <w:lang w:bidi="th-TH"/>
        </w:rPr>
        <w:t xml:space="preserve">Meeting </w:t>
      </w:r>
      <w:r w:rsidRPr="00FE189D">
        <w:rPr>
          <w:rFonts w:cstheme="minorHAnsi"/>
          <w:b/>
          <w:bCs/>
          <w:lang w:val="en-US"/>
        </w:rPr>
        <w:t xml:space="preserve">Intensity: </w:t>
      </w:r>
    </w:p>
    <w:p w14:paraId="3522AE87" w14:textId="77777777" w:rsidR="00B95421" w:rsidRPr="004E320C" w:rsidRDefault="00B95421" w:rsidP="00B95421">
      <w:pPr>
        <w:rPr>
          <w:rFonts w:cstheme="minorHAnsi"/>
          <w:szCs w:val="22"/>
        </w:rPr>
      </w:pPr>
      <w:r>
        <w:rPr>
          <w:rFonts w:cstheme="minorHAnsi"/>
          <w:szCs w:val="22"/>
          <w:lang w:val="en-US"/>
        </w:rPr>
        <w:t xml:space="preserve">1 meeting a year </w:t>
      </w:r>
    </w:p>
    <w:p w14:paraId="0E8E3D53" w14:textId="77777777" w:rsidR="00B95421" w:rsidRDefault="00B95421" w:rsidP="00B95421">
      <w:pPr>
        <w:pStyle w:val="ListParagraph"/>
        <w:numPr>
          <w:ilvl w:val="0"/>
          <w:numId w:val="1"/>
        </w:numPr>
        <w:rPr>
          <w:rFonts w:cstheme="minorHAnsi"/>
          <w:b/>
          <w:bCs/>
          <w:lang w:val="en-US"/>
        </w:rPr>
      </w:pPr>
      <w:r w:rsidRPr="00FE189D">
        <w:rPr>
          <w:rFonts w:cstheme="minorHAnsi"/>
          <w:b/>
          <w:bCs/>
          <w:lang w:val="en-US"/>
        </w:rPr>
        <w:t xml:space="preserve">Ongoing projects and activities: </w:t>
      </w:r>
    </w:p>
    <w:p w14:paraId="5FC90917" w14:textId="1D18671C" w:rsidR="00B95421" w:rsidRDefault="00B95421" w:rsidP="00B95421">
      <w:pPr>
        <w:autoSpaceDE w:val="0"/>
        <w:autoSpaceDN w:val="0"/>
        <w:adjustRightInd w:val="0"/>
        <w:spacing w:after="0" w:line="240" w:lineRule="auto"/>
      </w:pPr>
      <w:r w:rsidRPr="00B95421">
        <w:t xml:space="preserve">ASEAN cooperation to improve the governance of transboundary fishing and traceability of fishery products </w:t>
      </w:r>
      <w:proofErr w:type="gramStart"/>
      <w:r w:rsidRPr="00B95421">
        <w:t>in order to</w:t>
      </w:r>
      <w:proofErr w:type="gramEnd"/>
      <w:r w:rsidRPr="00B95421">
        <w:t xml:space="preserve"> combat IUU fishing. </w:t>
      </w:r>
      <w:proofErr w:type="gramStart"/>
      <w:r w:rsidRPr="00B95421">
        <w:t>In particular, improve</w:t>
      </w:r>
      <w:proofErr w:type="gramEnd"/>
      <w:r w:rsidRPr="00B95421">
        <w:t xml:space="preserve"> the regulation and control of fishing vessels through registries, the use of vessel monitoring systems and effective catch documentation schemes.</w:t>
      </w:r>
    </w:p>
    <w:p w14:paraId="4C3855D1" w14:textId="1FABA0B8" w:rsidR="00017564" w:rsidRDefault="00017564" w:rsidP="00B95421">
      <w:pPr>
        <w:autoSpaceDE w:val="0"/>
        <w:autoSpaceDN w:val="0"/>
        <w:adjustRightInd w:val="0"/>
        <w:spacing w:after="0" w:line="240" w:lineRule="auto"/>
      </w:pPr>
    </w:p>
    <w:p w14:paraId="16417CE0" w14:textId="1CFE5BD3" w:rsidR="00017564" w:rsidRDefault="00017564" w:rsidP="00B95421">
      <w:pPr>
        <w:autoSpaceDE w:val="0"/>
        <w:autoSpaceDN w:val="0"/>
        <w:adjustRightInd w:val="0"/>
        <w:spacing w:after="0" w:line="240" w:lineRule="auto"/>
      </w:pPr>
      <w:r>
        <w:t>Action points:</w:t>
      </w:r>
    </w:p>
    <w:p w14:paraId="651573A2" w14:textId="030200B8" w:rsidR="00017564" w:rsidRDefault="00017564" w:rsidP="00B95421">
      <w:pPr>
        <w:autoSpaceDE w:val="0"/>
        <w:autoSpaceDN w:val="0"/>
        <w:adjustRightInd w:val="0"/>
        <w:spacing w:after="0" w:line="240" w:lineRule="auto"/>
      </w:pPr>
    </w:p>
    <w:p w14:paraId="3A5FA51B" w14:textId="77777777" w:rsidR="00017564" w:rsidRPr="00017564" w:rsidRDefault="00B95421" w:rsidP="00B95421">
      <w:pPr>
        <w:pStyle w:val="ListParagraph"/>
        <w:numPr>
          <w:ilvl w:val="0"/>
          <w:numId w:val="5"/>
        </w:numPr>
        <w:autoSpaceDE w:val="0"/>
        <w:autoSpaceDN w:val="0"/>
        <w:adjustRightInd w:val="0"/>
        <w:spacing w:after="0" w:line="240" w:lineRule="auto"/>
      </w:pPr>
      <w:r w:rsidRPr="00017564">
        <w:rPr>
          <w:rFonts w:cstheme="minorHAnsi"/>
          <w:color w:val="000000"/>
        </w:rPr>
        <w:t xml:space="preserve">Foster cooperation among ASEAN Member Countries and with international and regional organizations in combating IUU fishing </w:t>
      </w:r>
    </w:p>
    <w:p w14:paraId="23FF9740" w14:textId="77777777" w:rsidR="00017564" w:rsidRDefault="00B95421" w:rsidP="00B95421">
      <w:pPr>
        <w:pStyle w:val="ListParagraph"/>
        <w:numPr>
          <w:ilvl w:val="0"/>
          <w:numId w:val="5"/>
        </w:numPr>
        <w:autoSpaceDE w:val="0"/>
        <w:autoSpaceDN w:val="0"/>
        <w:adjustRightInd w:val="0"/>
        <w:spacing w:after="0" w:line="240" w:lineRule="auto"/>
        <w:rPr>
          <w:rFonts w:cstheme="minorHAnsi"/>
          <w:color w:val="000000"/>
        </w:rPr>
      </w:pPr>
      <w:r w:rsidRPr="00017564">
        <w:rPr>
          <w:rFonts w:cstheme="minorHAnsi"/>
          <w:color w:val="000000"/>
        </w:rPr>
        <w:t xml:space="preserve">Strengthen regional and national policy and legislation to implement measures and activities to combat IUU fishing, including the development and implementation of national plans of action (NPOAs) to combat IUU fishing, and promote the awareness and understanding of international and regional instruments and agreements through information dissemination campaigns </w:t>
      </w:r>
    </w:p>
    <w:p w14:paraId="03691320" w14:textId="77777777" w:rsidR="00017564" w:rsidRDefault="00B95421" w:rsidP="00B95421">
      <w:pPr>
        <w:pStyle w:val="ListParagraph"/>
        <w:numPr>
          <w:ilvl w:val="0"/>
          <w:numId w:val="5"/>
        </w:numPr>
        <w:autoSpaceDE w:val="0"/>
        <w:autoSpaceDN w:val="0"/>
        <w:adjustRightInd w:val="0"/>
        <w:spacing w:after="0" w:line="240" w:lineRule="auto"/>
        <w:rPr>
          <w:rFonts w:cstheme="minorHAnsi"/>
          <w:color w:val="000000"/>
        </w:rPr>
      </w:pPr>
      <w:r w:rsidRPr="00017564">
        <w:rPr>
          <w:rFonts w:cstheme="minorHAnsi"/>
          <w:color w:val="000000"/>
        </w:rPr>
        <w:t xml:space="preserve">Establish and strengthen regional and sub-regional coordination on fisheries management and efforts to combat IUU fishing including the development of regional/sub-regional Monitoring, Control and Surveillance (MCS) networks. </w:t>
      </w:r>
    </w:p>
    <w:p w14:paraId="7D4B1F89" w14:textId="77777777" w:rsidR="00017564" w:rsidRDefault="00B95421" w:rsidP="00B95421">
      <w:pPr>
        <w:pStyle w:val="ListParagraph"/>
        <w:numPr>
          <w:ilvl w:val="0"/>
          <w:numId w:val="5"/>
        </w:numPr>
        <w:autoSpaceDE w:val="0"/>
        <w:autoSpaceDN w:val="0"/>
        <w:adjustRightInd w:val="0"/>
        <w:spacing w:after="0" w:line="240" w:lineRule="auto"/>
        <w:rPr>
          <w:rFonts w:cstheme="minorHAnsi"/>
          <w:color w:val="000000"/>
        </w:rPr>
      </w:pPr>
      <w:r w:rsidRPr="00017564">
        <w:rPr>
          <w:rFonts w:cstheme="minorHAnsi"/>
          <w:color w:val="000000"/>
        </w:rPr>
        <w:t xml:space="preserve">Build up the capacity among AMS including functions for regional and sub-regional cooperation, to effectively meet the requirements of Port State Measure and Flag State Responsibilities </w:t>
      </w:r>
    </w:p>
    <w:p w14:paraId="4D02DF86" w14:textId="0D93E1D3" w:rsidR="00B95421" w:rsidRPr="00017564" w:rsidRDefault="00B95421" w:rsidP="00B95421">
      <w:pPr>
        <w:pStyle w:val="ListParagraph"/>
        <w:numPr>
          <w:ilvl w:val="0"/>
          <w:numId w:val="5"/>
        </w:numPr>
        <w:autoSpaceDE w:val="0"/>
        <w:autoSpaceDN w:val="0"/>
        <w:adjustRightInd w:val="0"/>
        <w:spacing w:after="0" w:line="240" w:lineRule="auto"/>
        <w:rPr>
          <w:rFonts w:cstheme="minorHAnsi"/>
          <w:color w:val="000000"/>
        </w:rPr>
      </w:pPr>
      <w:r w:rsidRPr="00017564">
        <w:rPr>
          <w:rFonts w:cstheme="minorHAnsi"/>
          <w:color w:val="000000"/>
        </w:rPr>
        <w:lastRenderedPageBreak/>
        <w:t>Implement the ASEAN Guidelines for Preventing the Entry of Fish and Fisheries Products from IUU Fishing Activities into the Supply Chain</w:t>
      </w:r>
    </w:p>
    <w:p w14:paraId="0CB34BBC" w14:textId="556D1A5A" w:rsidR="00B95421" w:rsidRDefault="00B95421" w:rsidP="00B95421">
      <w:pPr>
        <w:autoSpaceDE w:val="0"/>
        <w:autoSpaceDN w:val="0"/>
        <w:adjustRightInd w:val="0"/>
        <w:spacing w:after="0" w:line="240" w:lineRule="auto"/>
        <w:rPr>
          <w:rFonts w:cstheme="minorHAnsi"/>
          <w:color w:val="000000"/>
        </w:rPr>
      </w:pPr>
    </w:p>
    <w:p w14:paraId="3E6EA2CE" w14:textId="77777777" w:rsidR="00B95421" w:rsidRDefault="00B95421" w:rsidP="00B95421">
      <w:pPr>
        <w:pStyle w:val="ListParagraph"/>
        <w:numPr>
          <w:ilvl w:val="0"/>
          <w:numId w:val="1"/>
        </w:numPr>
        <w:rPr>
          <w:rFonts w:cstheme="minorHAnsi"/>
          <w:b/>
          <w:bCs/>
          <w:lang w:val="en-US"/>
        </w:rPr>
      </w:pPr>
      <w:r w:rsidRPr="002C27F9">
        <w:rPr>
          <w:rFonts w:cstheme="minorHAnsi"/>
          <w:b/>
          <w:bCs/>
          <w:lang w:val="en-US"/>
        </w:rPr>
        <w:t xml:space="preserve">Funding structure: </w:t>
      </w:r>
    </w:p>
    <w:p w14:paraId="35687E72" w14:textId="77777777" w:rsidR="00B95421" w:rsidRPr="00BF25C5" w:rsidRDefault="00B95421" w:rsidP="00B95421">
      <w:pPr>
        <w:pStyle w:val="ListParagraph"/>
        <w:numPr>
          <w:ilvl w:val="0"/>
          <w:numId w:val="1"/>
        </w:numPr>
        <w:rPr>
          <w:rFonts w:cstheme="minorHAnsi"/>
          <w:b/>
          <w:bCs/>
          <w:lang w:val="en-US"/>
        </w:rPr>
      </w:pPr>
      <w:r w:rsidRPr="00BF25C5">
        <w:rPr>
          <w:rFonts w:cstheme="minorHAnsi"/>
          <w:b/>
          <w:bCs/>
          <w:lang w:val="en-US"/>
        </w:rPr>
        <w:t>Challenges:</w:t>
      </w:r>
    </w:p>
    <w:p w14:paraId="04C7AB71" w14:textId="77777777" w:rsidR="00B95421" w:rsidRDefault="00B95421" w:rsidP="00B95421">
      <w:pPr>
        <w:pStyle w:val="Default"/>
        <w:rPr>
          <w:rFonts w:asciiTheme="minorHAnsi" w:hAnsiTheme="minorHAnsi" w:cstheme="minorHAnsi"/>
          <w:sz w:val="22"/>
          <w:szCs w:val="22"/>
        </w:rPr>
      </w:pPr>
      <w:r w:rsidRPr="002C27F9">
        <w:rPr>
          <w:rFonts w:asciiTheme="minorHAnsi" w:hAnsiTheme="minorHAnsi" w:cstheme="minorHAnsi"/>
          <w:sz w:val="22"/>
          <w:szCs w:val="22"/>
        </w:rPr>
        <w:t>As it takes place within the ASEAN structure, an ongoing challenge is its perception as a talking shop, tied into broader regional limits to cooperation</w:t>
      </w:r>
    </w:p>
    <w:p w14:paraId="7B08C139" w14:textId="77777777" w:rsidR="00B95421" w:rsidRDefault="00B95421" w:rsidP="00B95421">
      <w:pPr>
        <w:pStyle w:val="Default"/>
        <w:rPr>
          <w:rFonts w:asciiTheme="minorHAnsi" w:hAnsiTheme="minorHAnsi" w:cstheme="minorHAnsi"/>
          <w:sz w:val="22"/>
          <w:szCs w:val="22"/>
        </w:rPr>
      </w:pPr>
    </w:p>
    <w:p w14:paraId="19E9AA3C" w14:textId="77777777" w:rsidR="00B95421" w:rsidRDefault="00B95421" w:rsidP="00B95421">
      <w:pPr>
        <w:pStyle w:val="Default"/>
        <w:rPr>
          <w:rStyle w:val="A7"/>
          <w:rFonts w:asciiTheme="minorHAnsi" w:hAnsiTheme="minorHAnsi" w:cstheme="minorHAnsi"/>
          <w:color w:val="000000"/>
        </w:rPr>
      </w:pPr>
      <w:r>
        <w:rPr>
          <w:rStyle w:val="A7"/>
          <w:rFonts w:asciiTheme="minorHAnsi" w:hAnsiTheme="minorHAnsi" w:cstheme="minorHAnsi"/>
          <w:color w:val="000000"/>
        </w:rPr>
        <w:t>T</w:t>
      </w:r>
      <w:r w:rsidRPr="00214232">
        <w:rPr>
          <w:rStyle w:val="A7"/>
          <w:rFonts w:asciiTheme="minorHAnsi" w:hAnsiTheme="minorHAnsi" w:cstheme="minorHAnsi"/>
          <w:color w:val="000000"/>
        </w:rPr>
        <w:t>he Meetings recognised that collective regional actions are still needed to address cross-cutting environmental issues, such as marine debris pollution</w:t>
      </w:r>
    </w:p>
    <w:p w14:paraId="34348375" w14:textId="77777777" w:rsidR="00B95421" w:rsidRPr="00BF25C5" w:rsidRDefault="00B95421" w:rsidP="00B95421">
      <w:pPr>
        <w:pStyle w:val="Default"/>
        <w:rPr>
          <w:rStyle w:val="A7"/>
          <w:rFonts w:asciiTheme="minorHAnsi" w:hAnsiTheme="minorHAnsi" w:cstheme="minorHAnsi"/>
          <w:color w:val="000000"/>
        </w:rPr>
      </w:pPr>
    </w:p>
    <w:p w14:paraId="5DA3FA2A" w14:textId="77777777" w:rsidR="00B95421" w:rsidRDefault="00B95421" w:rsidP="00B95421">
      <w:pPr>
        <w:pStyle w:val="ListParagraph"/>
        <w:numPr>
          <w:ilvl w:val="0"/>
          <w:numId w:val="2"/>
        </w:numPr>
        <w:rPr>
          <w:rFonts w:cstheme="minorHAnsi"/>
          <w:b/>
          <w:bCs/>
          <w:lang w:val="en-US"/>
        </w:rPr>
      </w:pPr>
      <w:r w:rsidRPr="003E2603">
        <w:rPr>
          <w:rFonts w:cstheme="minorHAnsi"/>
          <w:b/>
          <w:bCs/>
          <w:lang w:val="en-US"/>
        </w:rPr>
        <w:t xml:space="preserve">Cooperation or link with other arrangements: </w:t>
      </w:r>
    </w:p>
    <w:p w14:paraId="76C11537" w14:textId="58005443" w:rsidR="00B95421" w:rsidRDefault="00B95421" w:rsidP="00B95421">
      <w:pPr>
        <w:rPr>
          <w:rFonts w:cstheme="minorHAnsi"/>
          <w:lang w:val="en-US"/>
        </w:rPr>
      </w:pPr>
      <w:r>
        <w:rPr>
          <w:rFonts w:cstheme="minorHAnsi"/>
          <w:lang w:val="en-US"/>
        </w:rPr>
        <w:t>AC</w:t>
      </w:r>
      <w:r w:rsidR="005E08D2">
        <w:rPr>
          <w:rFonts w:cstheme="minorHAnsi"/>
          <w:lang w:val="en-US"/>
        </w:rPr>
        <w:t>FC; AMAF</w:t>
      </w:r>
      <w:r w:rsidR="00D46A2B">
        <w:rPr>
          <w:rFonts w:cstheme="minorHAnsi"/>
          <w:lang w:val="en-US"/>
        </w:rPr>
        <w:t>; SEAFDEC</w:t>
      </w:r>
    </w:p>
    <w:p w14:paraId="438AD27A" w14:textId="3AF3CA80" w:rsidR="00C6443F" w:rsidRPr="00D33626" w:rsidRDefault="00C6443F" w:rsidP="00B95421">
      <w:pPr>
        <w:rPr>
          <w:rFonts w:cstheme="minorHAnsi"/>
          <w:lang w:val="en-US"/>
        </w:rPr>
      </w:pPr>
      <w:r w:rsidRPr="00C6443F">
        <w:rPr>
          <w:rFonts w:cstheme="minorHAnsi"/>
          <w:lang w:val="en-US"/>
        </w:rPr>
        <w:t>Fisheries Consultative Group of the ASEAN-SEAFDEC Strategic Partnership</w:t>
      </w:r>
    </w:p>
    <w:p w14:paraId="6857D7C3" w14:textId="77777777" w:rsidR="00B95421" w:rsidRPr="00210CC5" w:rsidRDefault="00B95421" w:rsidP="00B95421">
      <w:pPr>
        <w:pStyle w:val="ListParagraph"/>
        <w:numPr>
          <w:ilvl w:val="0"/>
          <w:numId w:val="2"/>
        </w:numPr>
        <w:tabs>
          <w:tab w:val="left" w:pos="2016"/>
        </w:tabs>
        <w:rPr>
          <w:rFonts w:cstheme="minorHAnsi"/>
          <w:b/>
          <w:bCs/>
          <w:lang w:val="en-US"/>
        </w:rPr>
      </w:pPr>
      <w:r>
        <w:rPr>
          <w:rFonts w:cstheme="minorHAnsi"/>
          <w:b/>
          <w:bCs/>
          <w:lang w:val="en-US"/>
        </w:rPr>
        <w:t>I</w:t>
      </w:r>
      <w:r w:rsidRPr="00210CC5">
        <w:rPr>
          <w:rFonts w:cstheme="minorHAnsi"/>
          <w:b/>
          <w:bCs/>
          <w:lang w:val="en-US"/>
        </w:rPr>
        <w:t xml:space="preserve">nstitutional contacts: </w:t>
      </w:r>
    </w:p>
    <w:p w14:paraId="0CFD4C8E" w14:textId="77777777" w:rsidR="00B95421" w:rsidRPr="002C27F9" w:rsidRDefault="00B95421" w:rsidP="00B95421">
      <w:pPr>
        <w:pStyle w:val="ListParagraph"/>
        <w:rPr>
          <w:rFonts w:cstheme="minorHAnsi"/>
          <w:b/>
          <w:bCs/>
          <w:lang w:val="en-US"/>
        </w:rPr>
      </w:pPr>
    </w:p>
    <w:p w14:paraId="6C6E8899" w14:textId="77777777" w:rsidR="00B95421" w:rsidRDefault="00B95421" w:rsidP="00B95421">
      <w:pPr>
        <w:pStyle w:val="ListParagraph"/>
        <w:numPr>
          <w:ilvl w:val="0"/>
          <w:numId w:val="2"/>
        </w:numPr>
        <w:rPr>
          <w:rFonts w:cstheme="minorHAnsi"/>
          <w:lang w:val="en-US"/>
        </w:rPr>
      </w:pPr>
      <w:r w:rsidRPr="00BF25C5">
        <w:rPr>
          <w:rFonts w:cstheme="minorHAnsi"/>
          <w:b/>
          <w:bCs/>
          <w:lang w:val="en-US"/>
        </w:rPr>
        <w:t>Noteworthy literature</w:t>
      </w:r>
      <w:r w:rsidRPr="00BF25C5">
        <w:rPr>
          <w:rFonts w:cstheme="minorHAnsi"/>
          <w:lang w:val="en-US"/>
        </w:rPr>
        <w:t xml:space="preserve">: </w:t>
      </w:r>
    </w:p>
    <w:p w14:paraId="677B4B71" w14:textId="77777777" w:rsidR="00B95421" w:rsidRPr="002C27F9" w:rsidRDefault="00B95421" w:rsidP="00B95421">
      <w:pPr>
        <w:pStyle w:val="ListParagraph"/>
        <w:rPr>
          <w:rFonts w:cstheme="minorHAnsi"/>
          <w:lang w:val="en-US"/>
        </w:rPr>
      </w:pPr>
    </w:p>
    <w:p w14:paraId="486621CE" w14:textId="77777777" w:rsidR="003C4FE8" w:rsidRDefault="00B95421" w:rsidP="003C4FE8">
      <w:pPr>
        <w:pStyle w:val="ListParagraph"/>
        <w:numPr>
          <w:ilvl w:val="0"/>
          <w:numId w:val="2"/>
        </w:numPr>
        <w:rPr>
          <w:rFonts w:cstheme="minorHAnsi"/>
          <w:b/>
          <w:bCs/>
          <w:lang w:val="en-US"/>
        </w:rPr>
      </w:pPr>
      <w:r w:rsidRPr="00BF25C5">
        <w:rPr>
          <w:rFonts w:cstheme="minorHAnsi"/>
          <w:b/>
          <w:bCs/>
          <w:lang w:val="en-US"/>
        </w:rPr>
        <w:t>Knowledge gaps to follow up on:</w:t>
      </w:r>
      <w:bookmarkEnd w:id="0"/>
    </w:p>
    <w:p w14:paraId="112BAF62" w14:textId="77777777" w:rsidR="003C4FE8" w:rsidRPr="003C4FE8" w:rsidRDefault="003C4FE8" w:rsidP="003C4FE8">
      <w:pPr>
        <w:pStyle w:val="ListParagraph"/>
        <w:rPr>
          <w:rFonts w:cstheme="minorHAnsi"/>
          <w:color w:val="000000"/>
        </w:rPr>
      </w:pPr>
    </w:p>
    <w:p w14:paraId="63F532E5" w14:textId="45D18195" w:rsidR="005E08D2" w:rsidRPr="003C4FE8" w:rsidRDefault="003C4FE8" w:rsidP="003C4FE8">
      <w:pPr>
        <w:rPr>
          <w:rFonts w:cstheme="minorHAnsi"/>
          <w:b/>
          <w:bCs/>
          <w:lang w:val="en-US"/>
        </w:rPr>
      </w:pPr>
      <w:r>
        <w:rPr>
          <w:rFonts w:cstheme="minorHAnsi"/>
          <w:color w:val="000000"/>
        </w:rPr>
        <w:t>Seems to be a recognition of the potential for overlap. Document states ‘</w:t>
      </w:r>
      <w:r w:rsidR="005E08D2" w:rsidRPr="003C4FE8">
        <w:rPr>
          <w:rFonts w:cstheme="minorHAnsi"/>
          <w:color w:val="000000"/>
        </w:rPr>
        <w:t>The implementation of the SPA Fisheries will be carried out by the ASEAN Sectoral Working Group on Fisheries (</w:t>
      </w:r>
      <w:proofErr w:type="spellStart"/>
      <w:r w:rsidR="005E08D2" w:rsidRPr="003C4FE8">
        <w:rPr>
          <w:rFonts w:cstheme="minorHAnsi"/>
          <w:color w:val="000000"/>
        </w:rPr>
        <w:t>ASWFi</w:t>
      </w:r>
      <w:proofErr w:type="spellEnd"/>
      <w:r w:rsidR="005E08D2" w:rsidRPr="003C4FE8">
        <w:rPr>
          <w:rFonts w:cstheme="minorHAnsi"/>
          <w:color w:val="000000"/>
        </w:rPr>
        <w:t>) and ASEAN Fisheries Consultation Forum (AFCF), pending the outcomes of the streamlining of SOM-AMAF/AMAF structure</w:t>
      </w:r>
      <w:r>
        <w:rPr>
          <w:rFonts w:cstheme="minorHAnsi"/>
          <w:color w:val="000000"/>
        </w:rPr>
        <w:t>’. Efforts to structure / streamline current governance.</w:t>
      </w:r>
    </w:p>
    <w:p w14:paraId="200517A7" w14:textId="77777777" w:rsidR="00B95421" w:rsidRDefault="00B95421" w:rsidP="00B95421"/>
    <w:p w14:paraId="7E691E6F" w14:textId="77777777" w:rsidR="00B95421" w:rsidRPr="003D4F4D" w:rsidRDefault="00B95421" w:rsidP="00B95421">
      <w:pPr>
        <w:rPr>
          <w:lang w:val="en-US"/>
        </w:rPr>
      </w:pPr>
    </w:p>
    <w:p w14:paraId="21C17BB7" w14:textId="77777777" w:rsidR="00B95421" w:rsidRDefault="00B95421" w:rsidP="00B95421"/>
    <w:p w14:paraId="16B3EAD5" w14:textId="77777777" w:rsidR="00B95421" w:rsidRPr="004522B7" w:rsidRDefault="00B95421" w:rsidP="00B95421">
      <w:pPr>
        <w:rPr>
          <w:lang w:val="en-US"/>
        </w:rPr>
      </w:pPr>
    </w:p>
    <w:p w14:paraId="0F44AE92" w14:textId="77777777" w:rsidR="00B95421" w:rsidRDefault="00B95421" w:rsidP="00B95421"/>
    <w:p w14:paraId="2B501F9B" w14:textId="77777777" w:rsidR="00445F40" w:rsidRPr="00B95421" w:rsidRDefault="00445F40">
      <w:pPr>
        <w:rPr>
          <w:lang w:val="en-US"/>
        </w:rPr>
      </w:pPr>
    </w:p>
    <w:sectPr w:rsidR="00445F40" w:rsidRPr="00B954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56F65"/>
    <w:multiLevelType w:val="hybridMultilevel"/>
    <w:tmpl w:val="974E1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1AE60EB6"/>
    <w:multiLevelType w:val="hybridMultilevel"/>
    <w:tmpl w:val="04C8B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DA267D"/>
    <w:multiLevelType w:val="hybridMultilevel"/>
    <w:tmpl w:val="C1C8A70E"/>
    <w:lvl w:ilvl="0" w:tplc="90EE8C1A">
      <w:start w:val="16"/>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646CCC"/>
    <w:multiLevelType w:val="hybridMultilevel"/>
    <w:tmpl w:val="3C8E5F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0089709">
    <w:abstractNumId w:val="3"/>
  </w:num>
  <w:num w:numId="3" w16cid:durableId="385449433">
    <w:abstractNumId w:val="0"/>
  </w:num>
  <w:num w:numId="4" w16cid:durableId="2060206510">
    <w:abstractNumId w:val="4"/>
  </w:num>
  <w:num w:numId="5" w16cid:durableId="377583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21"/>
    <w:rsid w:val="00017564"/>
    <w:rsid w:val="001A7BFF"/>
    <w:rsid w:val="003C4FE8"/>
    <w:rsid w:val="00445F40"/>
    <w:rsid w:val="005E08D2"/>
    <w:rsid w:val="00722569"/>
    <w:rsid w:val="00740441"/>
    <w:rsid w:val="00925B3A"/>
    <w:rsid w:val="00B95421"/>
    <w:rsid w:val="00C27C68"/>
    <w:rsid w:val="00C6443F"/>
    <w:rsid w:val="00D46A2B"/>
    <w:rsid w:val="00EE6BC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84F1B"/>
  <w15:chartTrackingRefBased/>
  <w15:docId w15:val="{E7D2A1D4-77CB-43E0-BAD2-FB0F8D080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42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5421"/>
    <w:pPr>
      <w:ind w:left="720"/>
      <w:contextualSpacing/>
    </w:pPr>
    <w:rPr>
      <w:szCs w:val="22"/>
      <w:lang w:bidi="ar-SA"/>
    </w:rPr>
  </w:style>
  <w:style w:type="paragraph" w:customStyle="1" w:styleId="Default">
    <w:name w:val="Default"/>
    <w:rsid w:val="00B95421"/>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B95421"/>
    <w:rPr>
      <w:rFonts w:cs="Calibri Ligh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11</cp:revision>
  <dcterms:created xsi:type="dcterms:W3CDTF">2022-07-11T11:51:00Z</dcterms:created>
  <dcterms:modified xsi:type="dcterms:W3CDTF">2024-01-26T10:37:00Z</dcterms:modified>
</cp:coreProperties>
</file>