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96644" w14:textId="6FC5065D" w:rsidR="00BD41EE" w:rsidRPr="00396FDA" w:rsidRDefault="00BD41EE" w:rsidP="00BD41EE">
      <w:pPr>
        <w:pStyle w:val="ListParagraph"/>
        <w:numPr>
          <w:ilvl w:val="0"/>
          <w:numId w:val="1"/>
        </w:numPr>
        <w:rPr>
          <w:rFonts w:cstheme="minorHAnsi"/>
          <w:b/>
          <w:bCs/>
          <w:lang w:val="en-US"/>
        </w:rPr>
      </w:pPr>
      <w:bookmarkStart w:id="0" w:name="_Hlk40006575"/>
      <w:r w:rsidRPr="00396FDA">
        <w:rPr>
          <w:rFonts w:cstheme="minorHAnsi"/>
          <w:b/>
          <w:bCs/>
          <w:lang w:val="en-US"/>
        </w:rPr>
        <w:t xml:space="preserve">Name: </w:t>
      </w:r>
    </w:p>
    <w:p w14:paraId="749216F1" w14:textId="6A536DD2" w:rsidR="002E09CF" w:rsidRPr="00396FDA" w:rsidRDefault="002E09CF" w:rsidP="002E09CF">
      <w:pPr>
        <w:ind w:left="360"/>
        <w:rPr>
          <w:rFonts w:cstheme="minorHAnsi"/>
          <w:szCs w:val="22"/>
          <w:lang w:val="en-US"/>
        </w:rPr>
      </w:pPr>
      <w:r w:rsidRPr="00396FDA">
        <w:rPr>
          <w:rFonts w:cstheme="minorHAnsi"/>
          <w:szCs w:val="22"/>
          <w:lang w:val="en-US"/>
        </w:rPr>
        <w:t>ASEAN Ministerial Meeting on Drug Matters (AMMD)</w:t>
      </w:r>
    </w:p>
    <w:p w14:paraId="0305DA7F" w14:textId="3C2EA7AD" w:rsidR="00BD41EE" w:rsidRPr="00396FDA" w:rsidRDefault="00BD41EE" w:rsidP="00366AD7">
      <w:pPr>
        <w:pStyle w:val="ListParagraph"/>
        <w:numPr>
          <w:ilvl w:val="0"/>
          <w:numId w:val="1"/>
        </w:numPr>
        <w:rPr>
          <w:rFonts w:cstheme="minorHAnsi"/>
          <w:b/>
          <w:bCs/>
          <w:lang w:val="en-US"/>
        </w:rPr>
      </w:pPr>
      <w:r w:rsidRPr="00396FDA">
        <w:rPr>
          <w:rFonts w:cstheme="minorHAnsi"/>
          <w:b/>
          <w:bCs/>
          <w:lang w:val="en-US"/>
        </w:rPr>
        <w:t xml:space="preserve">Short description: </w:t>
      </w:r>
    </w:p>
    <w:p w14:paraId="64E36818" w14:textId="40A7CB6E" w:rsidR="00396FDA" w:rsidRPr="00396FDA" w:rsidRDefault="00396FDA" w:rsidP="00396FDA">
      <w:pPr>
        <w:rPr>
          <w:rFonts w:cstheme="minorHAnsi"/>
          <w:szCs w:val="22"/>
          <w:lang w:val="en-US"/>
        </w:rPr>
      </w:pPr>
      <w:r w:rsidRPr="00396FDA">
        <w:rPr>
          <w:rFonts w:cstheme="minorHAnsi"/>
          <w:szCs w:val="22"/>
          <w:lang w:val="en-US"/>
        </w:rPr>
        <w:t xml:space="preserve">ASEAN Ministerial Meeting on Drug Matters is the </w:t>
      </w:r>
      <w:proofErr w:type="gramStart"/>
      <w:r w:rsidRPr="00396FDA">
        <w:rPr>
          <w:rFonts w:cstheme="minorHAnsi"/>
          <w:szCs w:val="22"/>
          <w:lang w:val="en-US"/>
        </w:rPr>
        <w:t>highest level</w:t>
      </w:r>
      <w:proofErr w:type="gramEnd"/>
      <w:r w:rsidRPr="00396FDA">
        <w:rPr>
          <w:rFonts w:cstheme="minorHAnsi"/>
          <w:szCs w:val="22"/>
          <w:lang w:val="en-US"/>
        </w:rPr>
        <w:t xml:space="preserve"> meeting on drug matters in ASEAN. It focuses on all drugs matters, including smuggling.</w:t>
      </w:r>
    </w:p>
    <w:p w14:paraId="002E91C9" w14:textId="49E8F829" w:rsidR="00BD41EE" w:rsidRPr="00396FDA" w:rsidRDefault="00BD41EE" w:rsidP="00BD41EE">
      <w:pPr>
        <w:pStyle w:val="ListParagraph"/>
        <w:numPr>
          <w:ilvl w:val="0"/>
          <w:numId w:val="1"/>
        </w:numPr>
        <w:rPr>
          <w:rFonts w:cstheme="minorHAnsi"/>
          <w:b/>
          <w:bCs/>
          <w:lang w:val="en-US"/>
        </w:rPr>
      </w:pPr>
      <w:r w:rsidRPr="00396FDA">
        <w:rPr>
          <w:rFonts w:cstheme="minorHAnsi"/>
          <w:b/>
          <w:bCs/>
          <w:lang w:val="en-US"/>
        </w:rPr>
        <w:t xml:space="preserve">Formality: </w:t>
      </w:r>
    </w:p>
    <w:p w14:paraId="098514DD" w14:textId="50588709" w:rsidR="008524AA" w:rsidRPr="00396FDA" w:rsidRDefault="00ED759C" w:rsidP="008524AA">
      <w:pPr>
        <w:rPr>
          <w:rFonts w:cstheme="minorHAnsi"/>
          <w:szCs w:val="22"/>
          <w:lang w:val="en-US"/>
        </w:rPr>
      </w:pPr>
      <w:r>
        <w:rPr>
          <w:rFonts w:cstheme="minorHAnsi"/>
          <w:szCs w:val="22"/>
          <w:lang w:val="en-US"/>
        </w:rPr>
        <w:t xml:space="preserve">Formal. </w:t>
      </w:r>
      <w:r w:rsidR="008524AA" w:rsidRPr="00396FDA">
        <w:rPr>
          <w:rFonts w:cstheme="minorHAnsi"/>
          <w:szCs w:val="22"/>
          <w:lang w:val="en-US"/>
        </w:rPr>
        <w:t xml:space="preserve">Operates under the ASEAN Secretariat </w:t>
      </w:r>
    </w:p>
    <w:p w14:paraId="0AC74DAF" w14:textId="77777777" w:rsidR="00BD41EE" w:rsidRPr="00396FDA" w:rsidRDefault="00BD41EE" w:rsidP="00BD41EE">
      <w:pPr>
        <w:pStyle w:val="ListParagraph"/>
        <w:numPr>
          <w:ilvl w:val="0"/>
          <w:numId w:val="1"/>
        </w:numPr>
        <w:rPr>
          <w:rFonts w:cstheme="minorHAnsi"/>
          <w:b/>
          <w:bCs/>
          <w:lang w:val="en-US"/>
        </w:rPr>
      </w:pPr>
      <w:r w:rsidRPr="00396FDA">
        <w:rPr>
          <w:rFonts w:cstheme="minorHAnsi"/>
          <w:b/>
          <w:bCs/>
          <w:lang w:val="en-US"/>
        </w:rPr>
        <w:t xml:space="preserve">Regional coverage: </w:t>
      </w:r>
    </w:p>
    <w:p w14:paraId="1AFBDE2B" w14:textId="77777777" w:rsidR="00BD41EE" w:rsidRPr="00396FDA" w:rsidRDefault="00BD41EE" w:rsidP="00BD41EE">
      <w:pPr>
        <w:rPr>
          <w:rFonts w:cstheme="minorHAnsi"/>
          <w:szCs w:val="22"/>
          <w:lang w:val="en-US"/>
        </w:rPr>
      </w:pPr>
      <w:r w:rsidRPr="00396FDA">
        <w:rPr>
          <w:rFonts w:cstheme="minorHAnsi"/>
          <w:szCs w:val="22"/>
          <w:lang w:val="en-US"/>
        </w:rPr>
        <w:t xml:space="preserve">Southeast Asia </w:t>
      </w:r>
    </w:p>
    <w:p w14:paraId="4B86C801" w14:textId="77777777" w:rsidR="00BD41EE" w:rsidRPr="00396FDA" w:rsidRDefault="00BD41EE" w:rsidP="00BD41EE">
      <w:pPr>
        <w:pStyle w:val="ListParagraph"/>
        <w:numPr>
          <w:ilvl w:val="0"/>
          <w:numId w:val="1"/>
        </w:numPr>
        <w:rPr>
          <w:rFonts w:cstheme="minorHAnsi"/>
          <w:b/>
          <w:bCs/>
          <w:lang w:val="en-US"/>
        </w:rPr>
      </w:pPr>
      <w:r w:rsidRPr="00396FDA">
        <w:rPr>
          <w:rFonts w:cstheme="minorHAnsi"/>
          <w:b/>
          <w:bCs/>
          <w:lang w:val="en-US"/>
        </w:rPr>
        <w:t xml:space="preserve">Members (including states and non-states): </w:t>
      </w:r>
    </w:p>
    <w:p w14:paraId="0CB3BD1C" w14:textId="77777777" w:rsidR="00BD41EE" w:rsidRPr="00396FDA" w:rsidRDefault="00BD41EE" w:rsidP="00BD41EE">
      <w:pPr>
        <w:rPr>
          <w:rFonts w:cstheme="minorHAnsi"/>
          <w:szCs w:val="22"/>
          <w:lang w:val="en-US"/>
        </w:rPr>
      </w:pPr>
      <w:r w:rsidRPr="00396FDA">
        <w:rPr>
          <w:rFonts w:cstheme="minorHAnsi"/>
          <w:szCs w:val="22"/>
          <w:lang w:val="en-US"/>
        </w:rPr>
        <w:t xml:space="preserve">Indonesia, Malaysia, Singapore, Brunei, Philippines, Thailand, Myanmar, Cambodia, Laos, Vietnam, </w:t>
      </w:r>
    </w:p>
    <w:p w14:paraId="666AA07B" w14:textId="2BBA289A" w:rsidR="00BD41EE" w:rsidRPr="00396FDA" w:rsidRDefault="00BD41EE" w:rsidP="00BD41EE">
      <w:pPr>
        <w:pStyle w:val="ListParagraph"/>
        <w:numPr>
          <w:ilvl w:val="0"/>
          <w:numId w:val="1"/>
        </w:numPr>
        <w:rPr>
          <w:rFonts w:cstheme="minorHAnsi"/>
          <w:b/>
          <w:bCs/>
          <w:lang w:val="en-US"/>
        </w:rPr>
      </w:pPr>
      <w:r w:rsidRPr="00396FDA">
        <w:rPr>
          <w:rFonts w:cstheme="minorHAnsi"/>
          <w:b/>
          <w:bCs/>
          <w:lang w:val="en-US"/>
        </w:rPr>
        <w:t xml:space="preserve">Includes non-state </w:t>
      </w:r>
      <w:proofErr w:type="gramStart"/>
      <w:r w:rsidRPr="00396FDA">
        <w:rPr>
          <w:rFonts w:cstheme="minorHAnsi"/>
          <w:b/>
          <w:bCs/>
          <w:lang w:val="en-US"/>
        </w:rPr>
        <w:t>actors?</w:t>
      </w:r>
      <w:proofErr w:type="gramEnd"/>
      <w:r w:rsidRPr="00396FDA">
        <w:rPr>
          <w:rFonts w:cstheme="minorHAnsi"/>
          <w:b/>
          <w:bCs/>
          <w:lang w:val="en-US"/>
        </w:rPr>
        <w:t xml:space="preserve"> </w:t>
      </w:r>
    </w:p>
    <w:p w14:paraId="1FB46AFF" w14:textId="4AEB2B5D" w:rsidR="0079702D" w:rsidRPr="00396FDA" w:rsidRDefault="0079702D" w:rsidP="0079702D">
      <w:pPr>
        <w:rPr>
          <w:rFonts w:cstheme="minorHAnsi"/>
          <w:b/>
          <w:bCs/>
          <w:szCs w:val="22"/>
          <w:lang w:val="en-US"/>
        </w:rPr>
      </w:pPr>
      <w:r w:rsidRPr="00396FDA">
        <w:rPr>
          <w:rFonts w:cstheme="minorHAnsi"/>
          <w:b/>
          <w:bCs/>
          <w:szCs w:val="22"/>
          <w:lang w:val="en-US"/>
        </w:rPr>
        <w:t>No</w:t>
      </w:r>
    </w:p>
    <w:p w14:paraId="1C1F8D31" w14:textId="19DDE757" w:rsidR="00BD41EE" w:rsidRPr="00396FDA" w:rsidRDefault="00BD41EE" w:rsidP="00BD41EE">
      <w:pPr>
        <w:pStyle w:val="ListParagraph"/>
        <w:numPr>
          <w:ilvl w:val="0"/>
          <w:numId w:val="1"/>
        </w:numPr>
        <w:rPr>
          <w:rFonts w:cstheme="minorHAnsi"/>
          <w:b/>
          <w:bCs/>
          <w:lang w:val="en-US"/>
        </w:rPr>
      </w:pPr>
      <w:r w:rsidRPr="00396FDA">
        <w:rPr>
          <w:rFonts w:cstheme="minorHAnsi"/>
          <w:b/>
          <w:bCs/>
          <w:lang w:val="en-US"/>
        </w:rPr>
        <w:t xml:space="preserve">Date created: </w:t>
      </w:r>
    </w:p>
    <w:p w14:paraId="6C9AF753" w14:textId="100F267D" w:rsidR="0075765E" w:rsidRPr="00396FDA" w:rsidRDefault="0092726A" w:rsidP="0092726A">
      <w:pPr>
        <w:rPr>
          <w:rFonts w:cstheme="minorHAnsi"/>
          <w:szCs w:val="22"/>
          <w:lang w:val="en-US"/>
        </w:rPr>
      </w:pPr>
      <w:r w:rsidRPr="00396FDA">
        <w:rPr>
          <w:rFonts w:cstheme="minorHAnsi"/>
          <w:szCs w:val="22"/>
          <w:lang w:val="en-US"/>
        </w:rPr>
        <w:t xml:space="preserve">Met from 2012 but institutionalized in 2016. The ASOD has met since 1976 in various forms. </w:t>
      </w:r>
    </w:p>
    <w:p w14:paraId="58AA206B" w14:textId="30443C4A" w:rsidR="00BD41EE" w:rsidRPr="00396FDA" w:rsidRDefault="00BD41EE" w:rsidP="00BD41EE">
      <w:pPr>
        <w:pStyle w:val="ListParagraph"/>
        <w:numPr>
          <w:ilvl w:val="0"/>
          <w:numId w:val="1"/>
        </w:numPr>
        <w:rPr>
          <w:rFonts w:cstheme="minorHAnsi"/>
          <w:b/>
          <w:bCs/>
          <w:lang w:val="en-US"/>
        </w:rPr>
      </w:pPr>
      <w:r w:rsidRPr="00396FDA">
        <w:rPr>
          <w:rFonts w:cstheme="minorHAnsi"/>
          <w:b/>
          <w:bCs/>
          <w:lang w:val="en-US"/>
        </w:rPr>
        <w:t>Date visibly started to engage with maritime security (e.g. first document that refers to it):</w:t>
      </w:r>
    </w:p>
    <w:p w14:paraId="44C9A32C" w14:textId="6978F753" w:rsidR="0075765E" w:rsidRPr="004A4E74" w:rsidRDefault="004A4E74" w:rsidP="0075765E">
      <w:pPr>
        <w:rPr>
          <w:rFonts w:cstheme="minorHAnsi"/>
          <w:szCs w:val="22"/>
          <w:lang w:val="en-US"/>
        </w:rPr>
      </w:pPr>
      <w:r>
        <w:rPr>
          <w:rFonts w:cstheme="minorHAnsi"/>
          <w:szCs w:val="22"/>
          <w:lang w:val="en-US"/>
        </w:rPr>
        <w:t>Drugs trafficking is mentioned in the 1976 ASEAN Declaration of Principles to Combat the Abuse of Narcotic Drugs</w:t>
      </w:r>
    </w:p>
    <w:p w14:paraId="11AA86C2" w14:textId="7F659EB8" w:rsidR="00BD41EE" w:rsidRPr="00396FDA" w:rsidRDefault="00BD41EE" w:rsidP="00BD41EE">
      <w:pPr>
        <w:pStyle w:val="ListParagraph"/>
        <w:numPr>
          <w:ilvl w:val="0"/>
          <w:numId w:val="1"/>
        </w:numPr>
        <w:rPr>
          <w:rFonts w:cstheme="minorHAnsi"/>
          <w:b/>
          <w:bCs/>
          <w:lang w:val="en-US"/>
        </w:rPr>
      </w:pPr>
      <w:r w:rsidRPr="00396FDA">
        <w:rPr>
          <w:rFonts w:cstheme="minorHAnsi"/>
          <w:b/>
          <w:bCs/>
          <w:lang w:val="en-US"/>
        </w:rPr>
        <w:t xml:space="preserve">Brief History and Description: </w:t>
      </w:r>
    </w:p>
    <w:p w14:paraId="7886E842" w14:textId="6E2060AE" w:rsidR="0092726A" w:rsidRDefault="0092726A" w:rsidP="0092726A">
      <w:pPr>
        <w:rPr>
          <w:rFonts w:cstheme="minorHAnsi"/>
          <w:szCs w:val="22"/>
          <w:lang w:val="en-US"/>
        </w:rPr>
      </w:pPr>
      <w:r w:rsidRPr="00396FDA">
        <w:rPr>
          <w:rFonts w:cstheme="minorHAnsi"/>
          <w:szCs w:val="22"/>
          <w:lang w:val="en-US"/>
        </w:rPr>
        <w:t>The ASEAN Drug Experts Meeting began in 1976. It was renamed the ASEAN Senior Officials on Drug Matters (ASOD) in 1984. The Ministerial Meeting was established as the main policy meeting concerning drug matters in 2012, with ASOD implementing AMMD policy.</w:t>
      </w:r>
      <w:r w:rsidR="005B3DC4" w:rsidRPr="00396FDA">
        <w:rPr>
          <w:rFonts w:cstheme="minorHAnsi"/>
          <w:szCs w:val="22"/>
          <w:lang w:val="en-US"/>
        </w:rPr>
        <w:t xml:space="preserve"> There have been two work plans on drug matters.</w:t>
      </w:r>
      <w:r w:rsidR="00ED759C">
        <w:rPr>
          <w:rFonts w:cstheme="minorHAnsi"/>
          <w:szCs w:val="22"/>
          <w:lang w:val="en-US"/>
        </w:rPr>
        <w:t xml:space="preserve"> </w:t>
      </w:r>
      <w:r w:rsidR="00726E53">
        <w:rPr>
          <w:rFonts w:cstheme="minorHAnsi"/>
          <w:szCs w:val="22"/>
          <w:lang w:val="en-US"/>
        </w:rPr>
        <w:t xml:space="preserve">The first work plan aimed to implement the </w:t>
      </w:r>
      <w:r w:rsidR="00ED759C" w:rsidRPr="00ED759C">
        <w:rPr>
          <w:rFonts w:cstheme="minorHAnsi"/>
          <w:szCs w:val="22"/>
          <w:lang w:val="en-US"/>
        </w:rPr>
        <w:t>Joint Declaration for a Drug-Free ASEAN by 2020 that affirmed the</w:t>
      </w:r>
      <w:r w:rsidR="00ED759C">
        <w:rPr>
          <w:rFonts w:cstheme="minorHAnsi"/>
          <w:szCs w:val="22"/>
          <w:lang w:val="en-US"/>
        </w:rPr>
        <w:t xml:space="preserve"> </w:t>
      </w:r>
      <w:r w:rsidR="00ED759C" w:rsidRPr="00ED759C">
        <w:rPr>
          <w:rFonts w:cstheme="minorHAnsi"/>
          <w:szCs w:val="22"/>
          <w:lang w:val="en-US"/>
        </w:rPr>
        <w:t>Association’s commitment to eradicate illicit drug production, processing, trafficking</w:t>
      </w:r>
      <w:r w:rsidR="00ED759C">
        <w:rPr>
          <w:rFonts w:cstheme="minorHAnsi"/>
          <w:szCs w:val="22"/>
          <w:lang w:val="en-US"/>
        </w:rPr>
        <w:t xml:space="preserve"> </w:t>
      </w:r>
      <w:r w:rsidR="00ED759C" w:rsidRPr="00ED759C">
        <w:rPr>
          <w:rFonts w:cstheme="minorHAnsi"/>
          <w:szCs w:val="22"/>
          <w:lang w:val="en-US"/>
        </w:rPr>
        <w:t>and use by the year 2020 in ASEAN.</w:t>
      </w:r>
      <w:r w:rsidR="00ED759C">
        <w:rPr>
          <w:rFonts w:cstheme="minorHAnsi"/>
          <w:szCs w:val="22"/>
          <w:lang w:val="en-US"/>
        </w:rPr>
        <w:t xml:space="preserve"> </w:t>
      </w:r>
      <w:r w:rsidR="00726E53">
        <w:rPr>
          <w:rFonts w:cstheme="minorHAnsi"/>
          <w:szCs w:val="22"/>
          <w:lang w:val="en-US"/>
        </w:rPr>
        <w:t>In relation to smuggling, the goals were: e</w:t>
      </w:r>
      <w:r w:rsidR="00726E53" w:rsidRPr="00726E53">
        <w:rPr>
          <w:rFonts w:cstheme="minorHAnsi"/>
          <w:szCs w:val="22"/>
          <w:lang w:val="en-US"/>
        </w:rPr>
        <w:t>limination of syndicates involved in trafficking of illicit drugs;</w:t>
      </w:r>
      <w:r w:rsidR="00726E53">
        <w:rPr>
          <w:rFonts w:cstheme="minorHAnsi"/>
          <w:szCs w:val="22"/>
          <w:lang w:val="en-US"/>
        </w:rPr>
        <w:t xml:space="preserve"> e</w:t>
      </w:r>
      <w:r w:rsidR="00726E53" w:rsidRPr="00726E53">
        <w:rPr>
          <w:rFonts w:cstheme="minorHAnsi"/>
          <w:szCs w:val="22"/>
          <w:lang w:val="en-US"/>
        </w:rPr>
        <w:t>limination of diversion and smuggling of precursor chemicals; and</w:t>
      </w:r>
      <w:r w:rsidR="00726E53">
        <w:rPr>
          <w:rFonts w:cstheme="minorHAnsi"/>
          <w:szCs w:val="22"/>
          <w:lang w:val="en-US"/>
        </w:rPr>
        <w:t xml:space="preserve"> enhancement of </w:t>
      </w:r>
      <w:r w:rsidR="00726E53" w:rsidRPr="00726E53">
        <w:rPr>
          <w:rFonts w:cstheme="minorHAnsi"/>
          <w:szCs w:val="22"/>
          <w:lang w:val="en-US"/>
        </w:rPr>
        <w:t>cross-border and transnational law enforcement collaboration</w:t>
      </w:r>
      <w:r w:rsidR="00726E53">
        <w:rPr>
          <w:rFonts w:cstheme="minorHAnsi"/>
          <w:szCs w:val="22"/>
          <w:lang w:val="en-US"/>
        </w:rPr>
        <w:t xml:space="preserve"> </w:t>
      </w:r>
      <w:r w:rsidR="00726E53" w:rsidRPr="00726E53">
        <w:rPr>
          <w:rFonts w:cstheme="minorHAnsi"/>
          <w:szCs w:val="22"/>
          <w:lang w:val="en-US"/>
        </w:rPr>
        <w:t>and cooperation.</w:t>
      </w:r>
      <w:r w:rsidR="004A4E74">
        <w:rPr>
          <w:rFonts w:cstheme="minorHAnsi"/>
          <w:szCs w:val="22"/>
          <w:lang w:val="en-US"/>
        </w:rPr>
        <w:t xml:space="preserve"> </w:t>
      </w:r>
      <w:r w:rsidR="0052508F" w:rsidRPr="00396FDA">
        <w:rPr>
          <w:rFonts w:cstheme="minorHAnsi"/>
          <w:szCs w:val="22"/>
          <w:lang w:val="en-US"/>
        </w:rPr>
        <w:t xml:space="preserve">The work of ASOD is supported by five working groups, namely, Preventive Education, Treatment and Rehabilitation, Law Enforcement, Research and Alternative Development. </w:t>
      </w:r>
    </w:p>
    <w:p w14:paraId="6DD9E1DE" w14:textId="77777777" w:rsidR="00BD41EE" w:rsidRPr="00396FDA" w:rsidRDefault="00BD41EE" w:rsidP="00BD41EE">
      <w:pPr>
        <w:pStyle w:val="ListParagraph"/>
        <w:numPr>
          <w:ilvl w:val="0"/>
          <w:numId w:val="2"/>
        </w:numPr>
        <w:rPr>
          <w:rFonts w:cstheme="minorHAnsi"/>
          <w:b/>
          <w:bCs/>
          <w:lang w:val="en-US"/>
        </w:rPr>
      </w:pPr>
      <w:r w:rsidRPr="00396FDA">
        <w:rPr>
          <w:rFonts w:cstheme="minorHAnsi"/>
          <w:b/>
          <w:bCs/>
          <w:lang w:val="en-US"/>
        </w:rPr>
        <w:t xml:space="preserve">Maritime Security Issues Covered: </w:t>
      </w:r>
    </w:p>
    <w:p w14:paraId="5ABAE41A" w14:textId="6B765F11" w:rsidR="00BD41EE" w:rsidRPr="00396FDA" w:rsidRDefault="00610E68" w:rsidP="00BD41EE">
      <w:pPr>
        <w:rPr>
          <w:rFonts w:cstheme="minorHAnsi"/>
          <w:szCs w:val="22"/>
          <w:lang w:val="en-US"/>
        </w:rPr>
      </w:pPr>
      <w:r w:rsidRPr="00396FDA">
        <w:rPr>
          <w:rFonts w:cstheme="minorHAnsi"/>
          <w:szCs w:val="22"/>
          <w:lang w:val="en-US"/>
        </w:rPr>
        <w:t>Drug trafficking</w:t>
      </w:r>
    </w:p>
    <w:p w14:paraId="4ECDAD5C" w14:textId="00340D9C" w:rsidR="00BD41EE" w:rsidRPr="00396FDA" w:rsidRDefault="00BD41EE" w:rsidP="00BD41EE">
      <w:pPr>
        <w:pStyle w:val="ListParagraph"/>
        <w:numPr>
          <w:ilvl w:val="0"/>
          <w:numId w:val="2"/>
        </w:numPr>
        <w:rPr>
          <w:rFonts w:cstheme="minorHAnsi"/>
          <w:b/>
          <w:bCs/>
          <w:lang w:val="en-US"/>
        </w:rPr>
      </w:pPr>
      <w:r w:rsidRPr="00396FDA">
        <w:rPr>
          <w:rFonts w:cstheme="minorHAnsi"/>
          <w:b/>
          <w:bCs/>
          <w:lang w:val="en-US"/>
        </w:rPr>
        <w:t xml:space="preserve">Noteworthy documents and strategies: </w:t>
      </w:r>
    </w:p>
    <w:p w14:paraId="67FADA8F" w14:textId="460819BC" w:rsidR="00396FDA" w:rsidRPr="00396FDA" w:rsidRDefault="00396FDA" w:rsidP="00396FDA">
      <w:pPr>
        <w:rPr>
          <w:rFonts w:cstheme="minorHAnsi"/>
          <w:szCs w:val="22"/>
          <w:lang w:val="en-US"/>
        </w:rPr>
      </w:pPr>
      <w:r w:rsidRPr="00396FDA">
        <w:rPr>
          <w:rFonts w:cstheme="minorHAnsi"/>
          <w:szCs w:val="22"/>
          <w:lang w:val="en-US"/>
        </w:rPr>
        <w:t>ASEAN Drugs Monitoring Report</w:t>
      </w:r>
    </w:p>
    <w:p w14:paraId="4D49B2A1" w14:textId="2E024D84" w:rsidR="0092726A" w:rsidRDefault="00396FDA" w:rsidP="00396FDA">
      <w:pPr>
        <w:rPr>
          <w:rFonts w:cstheme="minorHAnsi"/>
          <w:szCs w:val="22"/>
          <w:lang w:val="en-US"/>
        </w:rPr>
      </w:pPr>
      <w:r w:rsidRPr="00396FDA">
        <w:rPr>
          <w:rFonts w:cstheme="minorHAnsi"/>
          <w:szCs w:val="22"/>
          <w:lang w:val="en-US"/>
        </w:rPr>
        <w:t xml:space="preserve">ASEAN Work Plan on Combating Illicit Drug Production, Trafficking and Use 2009 </w:t>
      </w:r>
      <w:r w:rsidR="00726E53">
        <w:rPr>
          <w:rFonts w:cstheme="minorHAnsi"/>
          <w:szCs w:val="22"/>
          <w:lang w:val="en-US"/>
        </w:rPr>
        <w:t>–</w:t>
      </w:r>
      <w:r w:rsidRPr="00396FDA">
        <w:rPr>
          <w:rFonts w:cstheme="minorHAnsi"/>
          <w:szCs w:val="22"/>
          <w:lang w:val="en-US"/>
        </w:rPr>
        <w:t xml:space="preserve"> 2015</w:t>
      </w:r>
    </w:p>
    <w:p w14:paraId="10EE10C3" w14:textId="05AAFEAB" w:rsidR="00726E53" w:rsidRDefault="00726E53" w:rsidP="00396FDA">
      <w:pPr>
        <w:rPr>
          <w:rFonts w:cstheme="minorHAnsi"/>
          <w:szCs w:val="22"/>
          <w:lang w:val="en-US"/>
        </w:rPr>
      </w:pPr>
      <w:r w:rsidRPr="00726E53">
        <w:rPr>
          <w:rFonts w:cstheme="minorHAnsi"/>
          <w:szCs w:val="22"/>
          <w:lang w:val="en-US"/>
        </w:rPr>
        <w:lastRenderedPageBreak/>
        <w:t>The A</w:t>
      </w:r>
      <w:r>
        <w:rPr>
          <w:rFonts w:cstheme="minorHAnsi"/>
          <w:szCs w:val="22"/>
          <w:lang w:val="en-US"/>
        </w:rPr>
        <w:t>SEAN</w:t>
      </w:r>
      <w:r w:rsidRPr="00726E53">
        <w:rPr>
          <w:rFonts w:cstheme="minorHAnsi"/>
          <w:szCs w:val="22"/>
          <w:lang w:val="en-US"/>
        </w:rPr>
        <w:t xml:space="preserve"> Work Plan </w:t>
      </w:r>
      <w:proofErr w:type="gramStart"/>
      <w:r w:rsidRPr="00726E53">
        <w:rPr>
          <w:rFonts w:cstheme="minorHAnsi"/>
          <w:szCs w:val="22"/>
          <w:lang w:val="en-US"/>
        </w:rPr>
        <w:t>On</w:t>
      </w:r>
      <w:proofErr w:type="gramEnd"/>
      <w:r w:rsidRPr="00726E53">
        <w:rPr>
          <w:rFonts w:cstheme="minorHAnsi"/>
          <w:szCs w:val="22"/>
          <w:lang w:val="en-US"/>
        </w:rPr>
        <w:t xml:space="preserve"> Securing Communities Against Illicit Drugs 2016-2025</w:t>
      </w:r>
    </w:p>
    <w:p w14:paraId="0BF8A271" w14:textId="5EFF61CA" w:rsidR="00EF03C7" w:rsidRPr="00726E53" w:rsidRDefault="00EF03C7" w:rsidP="00396FDA">
      <w:pPr>
        <w:rPr>
          <w:rFonts w:cstheme="minorHAnsi"/>
          <w:szCs w:val="22"/>
          <w:lang w:val="en-US"/>
        </w:rPr>
      </w:pPr>
      <w:r w:rsidRPr="00EF03C7">
        <w:rPr>
          <w:rFonts w:cstheme="minorHAnsi"/>
          <w:szCs w:val="22"/>
          <w:lang w:val="en-US"/>
        </w:rPr>
        <w:t>ASEAN Cooperation Plan to Tackle Illicit Drug Production and Trafficking in the Golden Triangle 2020-2022</w:t>
      </w:r>
    </w:p>
    <w:p w14:paraId="33290824" w14:textId="1F56A168" w:rsidR="00BD41EE" w:rsidRPr="00396FDA" w:rsidRDefault="00BD41EE" w:rsidP="00BD41EE">
      <w:pPr>
        <w:pStyle w:val="ListParagraph"/>
        <w:numPr>
          <w:ilvl w:val="0"/>
          <w:numId w:val="2"/>
        </w:numPr>
        <w:rPr>
          <w:rFonts w:cstheme="minorHAnsi"/>
          <w:b/>
          <w:bCs/>
          <w:lang w:val="en-US"/>
        </w:rPr>
      </w:pPr>
      <w:r w:rsidRPr="00396FDA">
        <w:rPr>
          <w:rFonts w:cstheme="minorHAnsi"/>
          <w:b/>
          <w:bCs/>
          <w:lang w:val="en-US"/>
        </w:rPr>
        <w:t xml:space="preserve">Intensity: </w:t>
      </w:r>
    </w:p>
    <w:p w14:paraId="597AE13B" w14:textId="2A44366B" w:rsidR="0092726A" w:rsidRPr="00396FDA" w:rsidRDefault="0092726A" w:rsidP="0092726A">
      <w:pPr>
        <w:rPr>
          <w:rFonts w:cstheme="minorHAnsi"/>
          <w:szCs w:val="22"/>
          <w:lang w:val="en-US"/>
        </w:rPr>
      </w:pPr>
      <w:r w:rsidRPr="00396FDA">
        <w:rPr>
          <w:rFonts w:cstheme="minorHAnsi"/>
          <w:szCs w:val="22"/>
          <w:lang w:val="en-US"/>
        </w:rPr>
        <w:t>The AMMD meets every two years, and ASOD meets every year.</w:t>
      </w:r>
    </w:p>
    <w:p w14:paraId="14B0B0B5" w14:textId="755DE55D" w:rsidR="00BD41EE" w:rsidRPr="00396FDA" w:rsidRDefault="00BD41EE" w:rsidP="00BD41EE">
      <w:pPr>
        <w:pStyle w:val="ListParagraph"/>
        <w:numPr>
          <w:ilvl w:val="0"/>
          <w:numId w:val="2"/>
        </w:numPr>
        <w:rPr>
          <w:rFonts w:cstheme="minorHAnsi"/>
          <w:b/>
          <w:bCs/>
          <w:lang w:val="en-US"/>
        </w:rPr>
      </w:pPr>
      <w:r w:rsidRPr="00396FDA">
        <w:rPr>
          <w:rFonts w:cstheme="minorHAnsi"/>
          <w:b/>
          <w:bCs/>
          <w:lang w:val="en-US"/>
        </w:rPr>
        <w:t xml:space="preserve">Ongoing projects and activities: </w:t>
      </w:r>
    </w:p>
    <w:p w14:paraId="20EA9847" w14:textId="77777777" w:rsidR="0052508F" w:rsidRPr="00396FDA" w:rsidRDefault="0052508F" w:rsidP="0052508F">
      <w:pPr>
        <w:rPr>
          <w:rFonts w:cstheme="minorHAnsi"/>
          <w:szCs w:val="22"/>
          <w:lang w:val="en-US"/>
        </w:rPr>
      </w:pPr>
      <w:r w:rsidRPr="00396FDA">
        <w:rPr>
          <w:rFonts w:cstheme="minorHAnsi"/>
          <w:szCs w:val="22"/>
          <w:lang w:val="en-US"/>
        </w:rPr>
        <w:t>ASEAN Seaport Interdiction Task Force (ASITF): The ASITF was established in 2015 and serves as a sharing platform to enhance joint operations and investigations among relevant ASEAN drug law enforcement agencies on the rising cases of drug trafficking through the international seaports and waterways checkpoints.</w:t>
      </w:r>
    </w:p>
    <w:p w14:paraId="2C12A76C" w14:textId="661477AC" w:rsidR="0052508F" w:rsidRPr="00396FDA" w:rsidRDefault="0052508F" w:rsidP="0052508F">
      <w:pPr>
        <w:rPr>
          <w:rFonts w:cstheme="minorHAnsi"/>
          <w:szCs w:val="22"/>
          <w:lang w:val="en-US"/>
        </w:rPr>
      </w:pPr>
      <w:r w:rsidRPr="00396FDA">
        <w:rPr>
          <w:rFonts w:cstheme="minorHAnsi"/>
          <w:szCs w:val="22"/>
          <w:lang w:val="en-US"/>
        </w:rPr>
        <w:t>ASEAN Narcotics Cooperation Center (ASEAN-NARCO): The ASEAN-NARCO was established in 2014 to serve as a coordinating platform for ASEAN drug control focal agencies to work together on drug-related cases, particularly in developing information database on anti-drug activities of the ASEAN Member States</w:t>
      </w:r>
    </w:p>
    <w:p w14:paraId="3A3FFB65" w14:textId="5828D8FB" w:rsidR="008524AA" w:rsidRPr="00396FDA" w:rsidRDefault="008524AA" w:rsidP="008524AA">
      <w:pPr>
        <w:rPr>
          <w:rFonts w:cstheme="minorHAnsi"/>
          <w:b/>
          <w:bCs/>
          <w:szCs w:val="22"/>
          <w:lang w:val="en-US"/>
        </w:rPr>
      </w:pPr>
      <w:r w:rsidRPr="00396FDA">
        <w:rPr>
          <w:rFonts w:cstheme="minorHAnsi"/>
          <w:szCs w:val="22"/>
          <w:lang w:val="en-US"/>
        </w:rPr>
        <w:t xml:space="preserve">ASEAN Drugs Monitoring Report: ASOD releases an annual report on drugs in ASEAN. It describes drug use trends and emerging issues. It provides national reports on policy and </w:t>
      </w:r>
      <w:proofErr w:type="spellStart"/>
      <w:r w:rsidRPr="00396FDA">
        <w:rPr>
          <w:rFonts w:cstheme="minorHAnsi"/>
          <w:szCs w:val="22"/>
          <w:lang w:val="en-US"/>
        </w:rPr>
        <w:t>programme</w:t>
      </w:r>
      <w:proofErr w:type="spellEnd"/>
      <w:r w:rsidRPr="00396FDA">
        <w:rPr>
          <w:rFonts w:cstheme="minorHAnsi"/>
          <w:szCs w:val="22"/>
          <w:lang w:val="en-US"/>
        </w:rPr>
        <w:t xml:space="preserve"> implementation. </w:t>
      </w:r>
    </w:p>
    <w:p w14:paraId="1B435EFB" w14:textId="33B12EA9" w:rsidR="00BD41EE" w:rsidRPr="00396FDA" w:rsidRDefault="00BD41EE" w:rsidP="00BD41EE">
      <w:pPr>
        <w:pStyle w:val="ListParagraph"/>
        <w:numPr>
          <w:ilvl w:val="0"/>
          <w:numId w:val="2"/>
        </w:numPr>
        <w:rPr>
          <w:rFonts w:cstheme="minorHAnsi"/>
          <w:b/>
          <w:bCs/>
          <w:lang w:val="en-US"/>
        </w:rPr>
      </w:pPr>
      <w:r w:rsidRPr="00396FDA">
        <w:rPr>
          <w:rFonts w:cstheme="minorHAnsi"/>
          <w:b/>
          <w:bCs/>
          <w:lang w:val="en-US"/>
        </w:rPr>
        <w:t xml:space="preserve">Funding structure: </w:t>
      </w:r>
    </w:p>
    <w:p w14:paraId="2F57C8DC" w14:textId="4C864A19" w:rsidR="00396FDA" w:rsidRPr="00CB5F6F" w:rsidRDefault="004A4E74" w:rsidP="00396FDA">
      <w:pPr>
        <w:rPr>
          <w:rFonts w:cstheme="minorHAnsi"/>
          <w:szCs w:val="22"/>
          <w:lang w:val="en-US"/>
        </w:rPr>
      </w:pPr>
      <w:r w:rsidRPr="00CB5F6F">
        <w:rPr>
          <w:rFonts w:cstheme="minorHAnsi"/>
          <w:szCs w:val="22"/>
          <w:lang w:val="en-US"/>
        </w:rPr>
        <w:t>Unclear – some seem to be UNODC/US-funded previously, but unsure currently.</w:t>
      </w:r>
    </w:p>
    <w:p w14:paraId="4DFDFA49" w14:textId="745A527A" w:rsidR="00396FDA" w:rsidRPr="00396FDA" w:rsidRDefault="00BD41EE" w:rsidP="00396FDA">
      <w:pPr>
        <w:pStyle w:val="ListParagraph"/>
        <w:numPr>
          <w:ilvl w:val="0"/>
          <w:numId w:val="2"/>
        </w:numPr>
        <w:rPr>
          <w:rFonts w:cstheme="minorHAnsi"/>
          <w:b/>
          <w:bCs/>
          <w:lang w:val="en-US"/>
        </w:rPr>
      </w:pPr>
      <w:r w:rsidRPr="00396FDA">
        <w:rPr>
          <w:rFonts w:cstheme="minorHAnsi"/>
          <w:b/>
          <w:bCs/>
          <w:lang w:val="en-US"/>
        </w:rPr>
        <w:t>Challenges:</w:t>
      </w:r>
    </w:p>
    <w:p w14:paraId="481B137F" w14:textId="73CB9921" w:rsidR="00396FDA" w:rsidRPr="004A4E74" w:rsidRDefault="004A4E74" w:rsidP="00396FDA">
      <w:pPr>
        <w:rPr>
          <w:rFonts w:cstheme="minorHAnsi"/>
          <w:szCs w:val="22"/>
          <w:lang w:val="en-US"/>
        </w:rPr>
      </w:pPr>
      <w:r w:rsidRPr="004A4E74">
        <w:rPr>
          <w:rFonts w:cstheme="minorHAnsi"/>
          <w:szCs w:val="22"/>
          <w:lang w:val="en-US"/>
        </w:rPr>
        <w:t>In the second work plan, challenges are presented as evolving threats</w:t>
      </w:r>
      <w:r>
        <w:rPr>
          <w:rFonts w:cstheme="minorHAnsi"/>
          <w:szCs w:val="22"/>
          <w:lang w:val="en-US"/>
        </w:rPr>
        <w:t xml:space="preserve"> and the dynamism of the drug trade.</w:t>
      </w:r>
    </w:p>
    <w:p w14:paraId="7E3A17B7" w14:textId="43580BAC" w:rsidR="00BD41EE" w:rsidRPr="00396FDA" w:rsidRDefault="00BD41EE" w:rsidP="00BD41EE">
      <w:pPr>
        <w:pStyle w:val="ListParagraph"/>
        <w:numPr>
          <w:ilvl w:val="0"/>
          <w:numId w:val="2"/>
        </w:numPr>
        <w:rPr>
          <w:rFonts w:cstheme="minorHAnsi"/>
          <w:b/>
          <w:bCs/>
          <w:lang w:val="en-US"/>
        </w:rPr>
      </w:pPr>
      <w:r w:rsidRPr="00396FDA">
        <w:rPr>
          <w:rFonts w:cstheme="minorHAnsi"/>
          <w:b/>
          <w:bCs/>
          <w:lang w:val="en-US"/>
        </w:rPr>
        <w:t xml:space="preserve">Cooperation or link with other arrangements: </w:t>
      </w:r>
    </w:p>
    <w:p w14:paraId="23C4937D" w14:textId="0A29DC71" w:rsidR="004F4321" w:rsidRPr="00396FDA" w:rsidRDefault="004F4321" w:rsidP="004F4321">
      <w:pPr>
        <w:rPr>
          <w:rFonts w:cstheme="minorHAnsi"/>
          <w:szCs w:val="22"/>
          <w:lang w:val="en-US"/>
        </w:rPr>
      </w:pPr>
      <w:r w:rsidRPr="00396FDA">
        <w:rPr>
          <w:rFonts w:cstheme="minorHAnsi"/>
          <w:szCs w:val="22"/>
          <w:lang w:val="en-US"/>
        </w:rPr>
        <w:t xml:space="preserve">Coordinated by </w:t>
      </w:r>
      <w:r w:rsidRPr="00396FDA">
        <w:rPr>
          <w:rFonts w:cstheme="minorHAnsi"/>
          <w:szCs w:val="22"/>
        </w:rPr>
        <w:t>AMTTC</w:t>
      </w:r>
      <w:r w:rsidR="00950CB8">
        <w:rPr>
          <w:rFonts w:cstheme="minorHAnsi"/>
          <w:szCs w:val="22"/>
        </w:rPr>
        <w:t xml:space="preserve">. </w:t>
      </w:r>
      <w:r w:rsidR="0035265B">
        <w:rPr>
          <w:rFonts w:cstheme="minorHAnsi"/>
          <w:szCs w:val="22"/>
        </w:rPr>
        <w:t>Also interacts with</w:t>
      </w:r>
      <w:r w:rsidR="00950CB8" w:rsidRPr="00950CB8">
        <w:rPr>
          <w:rFonts w:cstheme="minorHAnsi"/>
          <w:szCs w:val="22"/>
        </w:rPr>
        <w:t xml:space="preserve"> the ASEAN Finance Ministers' Meeting (AFMM), the ASEAN Senior Officials' Meeting on Drug Matters (ASOD), the ASEAN Senior Law Officials Meeting (ASLOM), the ASEAN Directors-General of Customs, the ASEAN Directors-General for Immigration Department and Heads of Consular Affairs Divisions of Ministries of Foreign Affairs Meeting (DGICM), and the ASEANAPOL</w:t>
      </w:r>
    </w:p>
    <w:p w14:paraId="2247015F" w14:textId="35A1FD8E" w:rsidR="00BD41EE" w:rsidRPr="00396FDA" w:rsidRDefault="00BD41EE" w:rsidP="00BD41EE">
      <w:pPr>
        <w:pStyle w:val="ListParagraph"/>
        <w:numPr>
          <w:ilvl w:val="0"/>
          <w:numId w:val="2"/>
        </w:numPr>
        <w:rPr>
          <w:rFonts w:cstheme="minorHAnsi"/>
          <w:b/>
          <w:bCs/>
          <w:lang w:val="en-US"/>
        </w:rPr>
      </w:pPr>
      <w:r w:rsidRPr="00396FDA">
        <w:rPr>
          <w:rFonts w:cstheme="minorHAnsi"/>
          <w:b/>
          <w:bCs/>
          <w:lang w:val="en-US"/>
        </w:rPr>
        <w:t xml:space="preserve">Institutional contacts: </w:t>
      </w:r>
      <w:r w:rsidR="005D4BE4">
        <w:rPr>
          <w:rFonts w:cstheme="minorHAnsi"/>
          <w:b/>
          <w:bCs/>
          <w:lang w:val="en-US"/>
        </w:rPr>
        <w:t xml:space="preserve"> </w:t>
      </w:r>
    </w:p>
    <w:p w14:paraId="190C6A70" w14:textId="77777777" w:rsidR="00BD41EE" w:rsidRPr="00396FDA" w:rsidRDefault="00BD41EE" w:rsidP="00BD41EE">
      <w:pPr>
        <w:rPr>
          <w:rFonts w:cstheme="minorHAnsi"/>
          <w:szCs w:val="22"/>
          <w:lang w:val="en-US"/>
        </w:rPr>
      </w:pPr>
      <w:r w:rsidRPr="00396FDA">
        <w:rPr>
          <w:rFonts w:cstheme="minorHAnsi"/>
          <w:szCs w:val="22"/>
          <w:lang w:val="en-US"/>
        </w:rPr>
        <w:t>N/A</w:t>
      </w:r>
    </w:p>
    <w:p w14:paraId="0C5C04C3" w14:textId="77777777" w:rsidR="00BD41EE" w:rsidRPr="00396FDA" w:rsidRDefault="00BD41EE" w:rsidP="00BD41EE">
      <w:pPr>
        <w:pStyle w:val="ListParagraph"/>
        <w:numPr>
          <w:ilvl w:val="0"/>
          <w:numId w:val="2"/>
        </w:numPr>
        <w:rPr>
          <w:rFonts w:cstheme="minorHAnsi"/>
          <w:lang w:val="en-US"/>
        </w:rPr>
      </w:pPr>
      <w:r w:rsidRPr="00396FDA">
        <w:rPr>
          <w:rFonts w:cstheme="minorHAnsi"/>
          <w:b/>
          <w:bCs/>
          <w:lang w:val="en-US"/>
        </w:rPr>
        <w:t>Noteworthy literature</w:t>
      </w:r>
      <w:r w:rsidRPr="00396FDA">
        <w:rPr>
          <w:rFonts w:cstheme="minorHAnsi"/>
          <w:lang w:val="en-US"/>
        </w:rPr>
        <w:t xml:space="preserve">: </w:t>
      </w:r>
    </w:p>
    <w:p w14:paraId="412F578D" w14:textId="77777777" w:rsidR="00BD41EE" w:rsidRPr="00396FDA" w:rsidRDefault="00BD41EE" w:rsidP="00BD41EE">
      <w:pPr>
        <w:pStyle w:val="ListParagraph"/>
        <w:numPr>
          <w:ilvl w:val="0"/>
          <w:numId w:val="2"/>
        </w:numPr>
        <w:rPr>
          <w:rFonts w:cstheme="minorHAnsi"/>
          <w:b/>
          <w:bCs/>
          <w:lang w:val="en-US"/>
        </w:rPr>
      </w:pPr>
      <w:r w:rsidRPr="00396FDA">
        <w:rPr>
          <w:rFonts w:cstheme="minorHAnsi"/>
          <w:b/>
          <w:bCs/>
          <w:lang w:val="en-US"/>
        </w:rPr>
        <w:t xml:space="preserve">Knowledge gaps to follow up on: </w:t>
      </w:r>
      <w:bookmarkEnd w:id="0"/>
    </w:p>
    <w:p w14:paraId="503E843A" w14:textId="77777777" w:rsidR="00BD41EE" w:rsidRPr="00396FDA" w:rsidRDefault="00BD41EE" w:rsidP="00BD41EE">
      <w:pPr>
        <w:rPr>
          <w:rFonts w:cstheme="minorHAnsi"/>
          <w:szCs w:val="22"/>
          <w:lang w:val="en-US"/>
        </w:rPr>
      </w:pPr>
    </w:p>
    <w:p w14:paraId="09639444" w14:textId="77777777" w:rsidR="00BD41EE" w:rsidRPr="00396FDA" w:rsidRDefault="00BD41EE" w:rsidP="00BD41EE">
      <w:pPr>
        <w:rPr>
          <w:rFonts w:cstheme="minorHAnsi"/>
          <w:szCs w:val="22"/>
          <w:lang w:val="en-US"/>
        </w:rPr>
      </w:pPr>
    </w:p>
    <w:p w14:paraId="1B6EB017" w14:textId="77777777" w:rsidR="00445F40" w:rsidRPr="00396FDA" w:rsidRDefault="00445F40">
      <w:pPr>
        <w:rPr>
          <w:rFonts w:cstheme="minorHAnsi"/>
          <w:szCs w:val="22"/>
          <w:lang w:val="en-US"/>
        </w:rPr>
      </w:pPr>
    </w:p>
    <w:sectPr w:rsidR="00445F40" w:rsidRPr="00396F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65C49"/>
    <w:multiLevelType w:val="hybridMultilevel"/>
    <w:tmpl w:val="E45077B0"/>
    <w:lvl w:ilvl="0" w:tplc="2C4486D4">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16cid:durableId="932324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7082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1EE"/>
    <w:rsid w:val="000D0620"/>
    <w:rsid w:val="001245D1"/>
    <w:rsid w:val="002E09CF"/>
    <w:rsid w:val="0035265B"/>
    <w:rsid w:val="00366AD7"/>
    <w:rsid w:val="00396FDA"/>
    <w:rsid w:val="00445F40"/>
    <w:rsid w:val="004A4E74"/>
    <w:rsid w:val="004F4321"/>
    <w:rsid w:val="0052508F"/>
    <w:rsid w:val="005B3DC4"/>
    <w:rsid w:val="005D4BE4"/>
    <w:rsid w:val="00610E68"/>
    <w:rsid w:val="00726E53"/>
    <w:rsid w:val="0075765E"/>
    <w:rsid w:val="0079702D"/>
    <w:rsid w:val="008524AA"/>
    <w:rsid w:val="0092726A"/>
    <w:rsid w:val="00950CB8"/>
    <w:rsid w:val="00A37272"/>
    <w:rsid w:val="00B62976"/>
    <w:rsid w:val="00BD41EE"/>
    <w:rsid w:val="00CB5F6F"/>
    <w:rsid w:val="00D8742B"/>
    <w:rsid w:val="00ED759C"/>
    <w:rsid w:val="00EF03C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7A37B"/>
  <w15:chartTrackingRefBased/>
  <w15:docId w15:val="{39F303B7-8E1A-4BBA-A33A-978A5B46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1E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41EE"/>
    <w:pPr>
      <w:ind w:left="720"/>
      <w:contextualSpacing/>
    </w:pPr>
    <w:rPr>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Timothy Edmunds</cp:lastModifiedBy>
  <cp:revision>22</cp:revision>
  <dcterms:created xsi:type="dcterms:W3CDTF">2022-07-10T19:39:00Z</dcterms:created>
  <dcterms:modified xsi:type="dcterms:W3CDTF">2024-01-26T10:36:00Z</dcterms:modified>
</cp:coreProperties>
</file>