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D6C5F" w14:textId="77777777" w:rsidR="00775733" w:rsidRPr="00E81CD9" w:rsidRDefault="00775733" w:rsidP="00775733">
      <w:pPr>
        <w:pStyle w:val="ListParagraph"/>
        <w:numPr>
          <w:ilvl w:val="0"/>
          <w:numId w:val="1"/>
        </w:numPr>
        <w:rPr>
          <w:b/>
          <w:bCs/>
          <w:lang w:val="en-US"/>
        </w:rPr>
      </w:pPr>
      <w:bookmarkStart w:id="0" w:name="_Hlk40006575"/>
      <w:r w:rsidRPr="00E81CD9">
        <w:rPr>
          <w:b/>
          <w:bCs/>
          <w:lang w:val="en-US"/>
        </w:rPr>
        <w:t xml:space="preserve">Name: </w:t>
      </w:r>
    </w:p>
    <w:p w14:paraId="5B558883" w14:textId="77777777" w:rsidR="005A2839" w:rsidRDefault="005A2839" w:rsidP="005A2839">
      <w:pPr>
        <w:rPr>
          <w:lang w:val="en-US"/>
        </w:rPr>
      </w:pPr>
      <w:r w:rsidRPr="005A2839">
        <w:rPr>
          <w:lang w:val="en-US"/>
        </w:rPr>
        <w:t>ARF Workshop on International Cooperation on Maritime Domain Awareness (MDA)</w:t>
      </w:r>
    </w:p>
    <w:p w14:paraId="3E44A656" w14:textId="7A0CD23D" w:rsidR="00775733" w:rsidRPr="005A2839" w:rsidRDefault="00775733" w:rsidP="005A2839">
      <w:pPr>
        <w:pStyle w:val="ListParagraph"/>
        <w:numPr>
          <w:ilvl w:val="0"/>
          <w:numId w:val="1"/>
        </w:numPr>
        <w:rPr>
          <w:b/>
          <w:bCs/>
          <w:lang w:val="en-US"/>
        </w:rPr>
      </w:pPr>
      <w:r w:rsidRPr="005A2839">
        <w:rPr>
          <w:b/>
          <w:bCs/>
          <w:lang w:val="en-US"/>
        </w:rPr>
        <w:t xml:space="preserve">Short description: </w:t>
      </w:r>
    </w:p>
    <w:p w14:paraId="6AADFB58" w14:textId="6683EBD4" w:rsidR="00775733" w:rsidRDefault="005A2839" w:rsidP="00775733">
      <w:pPr>
        <w:rPr>
          <w:lang w:val="en-US"/>
        </w:rPr>
      </w:pPr>
      <w:r>
        <w:rPr>
          <w:lang w:val="en-US"/>
        </w:rPr>
        <w:t xml:space="preserve">A workshop held to improve cooperation on MDA by ARF members. </w:t>
      </w:r>
    </w:p>
    <w:p w14:paraId="2F905176" w14:textId="77777777" w:rsidR="00775733" w:rsidRPr="007B77CB" w:rsidRDefault="00775733" w:rsidP="00775733">
      <w:pPr>
        <w:pStyle w:val="ListParagraph"/>
        <w:numPr>
          <w:ilvl w:val="0"/>
          <w:numId w:val="1"/>
        </w:numPr>
        <w:rPr>
          <w:b/>
          <w:bCs/>
          <w:lang w:val="en-US"/>
        </w:rPr>
      </w:pPr>
      <w:r w:rsidRPr="007B77CB">
        <w:rPr>
          <w:b/>
          <w:bCs/>
          <w:lang w:val="en-US"/>
        </w:rPr>
        <w:t xml:space="preserve">Formality: </w:t>
      </w:r>
    </w:p>
    <w:p w14:paraId="4E91E453" w14:textId="07AE1B33" w:rsidR="00775733" w:rsidRPr="00E81CD9" w:rsidRDefault="00775733" w:rsidP="00775733">
      <w:pPr>
        <w:rPr>
          <w:lang w:val="en-US"/>
        </w:rPr>
      </w:pPr>
      <w:r>
        <w:rPr>
          <w:lang w:val="en-US"/>
        </w:rPr>
        <w:t xml:space="preserve">Mixed. </w:t>
      </w:r>
      <w:r w:rsidR="005A2839">
        <w:rPr>
          <w:lang w:val="en-US"/>
        </w:rPr>
        <w:t>The ARF</w:t>
      </w:r>
      <w:r>
        <w:rPr>
          <w:lang w:val="en-US"/>
        </w:rPr>
        <w:t xml:space="preserve"> has a small unit within the ASEAN secretariat but no dedicated secretariat of its own</w:t>
      </w:r>
      <w:r w:rsidR="005A2839">
        <w:rPr>
          <w:lang w:val="en-US"/>
        </w:rPr>
        <w:t>, nor does the workshop have a fixed structure</w:t>
      </w:r>
      <w:r>
        <w:rPr>
          <w:lang w:val="en-US"/>
        </w:rPr>
        <w:t xml:space="preserve">. </w:t>
      </w:r>
    </w:p>
    <w:p w14:paraId="4DF1106E" w14:textId="77777777" w:rsidR="00775733" w:rsidRPr="00E81CD9" w:rsidRDefault="00775733" w:rsidP="00775733">
      <w:pPr>
        <w:pStyle w:val="ListParagraph"/>
        <w:numPr>
          <w:ilvl w:val="0"/>
          <w:numId w:val="1"/>
        </w:numPr>
        <w:rPr>
          <w:b/>
          <w:bCs/>
          <w:lang w:val="en-US"/>
        </w:rPr>
      </w:pPr>
      <w:r w:rsidRPr="00E81CD9">
        <w:rPr>
          <w:b/>
          <w:bCs/>
          <w:lang w:val="en-US"/>
        </w:rPr>
        <w:t xml:space="preserve">Regional coverage: </w:t>
      </w:r>
    </w:p>
    <w:p w14:paraId="3410225B" w14:textId="77777777" w:rsidR="00775733" w:rsidRPr="00E81CD9" w:rsidRDefault="00775733" w:rsidP="00775733">
      <w:pPr>
        <w:rPr>
          <w:lang w:val="en-US"/>
        </w:rPr>
      </w:pPr>
      <w:r>
        <w:rPr>
          <w:lang w:val="en-US"/>
        </w:rPr>
        <w:t>Indo-Pacific</w:t>
      </w:r>
    </w:p>
    <w:p w14:paraId="6A02C117" w14:textId="77777777" w:rsidR="00775733" w:rsidRPr="00E81CD9" w:rsidRDefault="00775733" w:rsidP="00775733">
      <w:pPr>
        <w:pStyle w:val="ListParagraph"/>
        <w:numPr>
          <w:ilvl w:val="0"/>
          <w:numId w:val="1"/>
        </w:numPr>
        <w:rPr>
          <w:b/>
          <w:bCs/>
          <w:lang w:val="en-US"/>
        </w:rPr>
      </w:pPr>
      <w:r w:rsidRPr="00E81CD9">
        <w:rPr>
          <w:b/>
          <w:bCs/>
          <w:lang w:val="en-US"/>
        </w:rPr>
        <w:t xml:space="preserve">Members (including states and non-states): </w:t>
      </w:r>
    </w:p>
    <w:p w14:paraId="06B68CDD" w14:textId="77777777" w:rsidR="00775733" w:rsidRDefault="00775733" w:rsidP="00775733">
      <w:pPr>
        <w:rPr>
          <w:lang w:val="en-US"/>
        </w:rPr>
      </w:pPr>
      <w:r w:rsidRPr="00E76A30">
        <w:rPr>
          <w:lang w:val="en-US"/>
        </w:rPr>
        <w:t>10 ASEAN member states (Brunei, Cambodia, Indonesia, Laos, Malaysia, Myanmar, Philippines, Singapore, Thailand and Vietnam); the 10 ASEAN dialogue partners (Australia, Canada, China, the European Union, India, Japan, New Zealand, the Republic of Korea (ROK), Russia and the United States); Bangladesh, the Democratic People's Republic of Korea, Mongolia, Pakistan, Sri Lanka, and Timor-Leste; and one ASEAN observer (Papua New Guinea).</w:t>
      </w:r>
    </w:p>
    <w:p w14:paraId="2446B747" w14:textId="77777777" w:rsidR="00775733" w:rsidRPr="00E76A30" w:rsidRDefault="00775733" w:rsidP="00775733">
      <w:pPr>
        <w:pStyle w:val="ListParagraph"/>
        <w:numPr>
          <w:ilvl w:val="0"/>
          <w:numId w:val="1"/>
        </w:numPr>
        <w:rPr>
          <w:b/>
          <w:bCs/>
          <w:lang w:val="en-US"/>
        </w:rPr>
      </w:pPr>
      <w:r w:rsidRPr="00E76A30">
        <w:rPr>
          <w:b/>
          <w:bCs/>
          <w:lang w:val="en-US"/>
        </w:rPr>
        <w:t xml:space="preserve">Includes non-state actors? </w:t>
      </w:r>
    </w:p>
    <w:p w14:paraId="47F1F316" w14:textId="12F42D7D" w:rsidR="00775733" w:rsidRPr="00F55AB6" w:rsidRDefault="005A2839" w:rsidP="00775733">
      <w:pPr>
        <w:rPr>
          <w:lang w:val="en-US"/>
        </w:rPr>
      </w:pPr>
      <w:r>
        <w:rPr>
          <w:lang w:val="en-US"/>
        </w:rPr>
        <w:t>No</w:t>
      </w:r>
    </w:p>
    <w:p w14:paraId="28077A18" w14:textId="77777777" w:rsidR="00775733" w:rsidRPr="00F55AB6" w:rsidRDefault="00775733" w:rsidP="00775733">
      <w:pPr>
        <w:pStyle w:val="ListParagraph"/>
        <w:numPr>
          <w:ilvl w:val="0"/>
          <w:numId w:val="1"/>
        </w:numPr>
        <w:rPr>
          <w:b/>
          <w:bCs/>
          <w:lang w:val="en-US"/>
        </w:rPr>
      </w:pPr>
      <w:r w:rsidRPr="00F55AB6">
        <w:rPr>
          <w:b/>
          <w:bCs/>
          <w:lang w:val="en-US"/>
        </w:rPr>
        <w:t xml:space="preserve">Date created: </w:t>
      </w:r>
    </w:p>
    <w:p w14:paraId="41E3C229" w14:textId="30877683" w:rsidR="00775733" w:rsidRPr="00F55AB6" w:rsidRDefault="00775733" w:rsidP="00775733">
      <w:pPr>
        <w:rPr>
          <w:lang w:val="en-US"/>
        </w:rPr>
      </w:pPr>
      <w:r w:rsidRPr="00F55AB6">
        <w:rPr>
          <w:lang w:val="en-US"/>
        </w:rPr>
        <w:t>20</w:t>
      </w:r>
      <w:r w:rsidR="005A2839">
        <w:rPr>
          <w:lang w:val="en-US"/>
        </w:rPr>
        <w:t>19</w:t>
      </w:r>
    </w:p>
    <w:p w14:paraId="599C77C2" w14:textId="77777777" w:rsidR="00775733" w:rsidRPr="00BA7692" w:rsidRDefault="00775733" w:rsidP="00775733">
      <w:pPr>
        <w:pStyle w:val="ListParagraph"/>
        <w:numPr>
          <w:ilvl w:val="0"/>
          <w:numId w:val="1"/>
        </w:numPr>
        <w:rPr>
          <w:b/>
          <w:bCs/>
          <w:lang w:val="en-US"/>
        </w:rPr>
      </w:pPr>
      <w:r w:rsidRPr="00BA7692">
        <w:rPr>
          <w:b/>
          <w:bCs/>
          <w:lang w:val="en-US"/>
        </w:rPr>
        <w:t>Date visibly started to engage with maritime security (e.g. first document that refers to it):</w:t>
      </w:r>
    </w:p>
    <w:p w14:paraId="62AB37A6" w14:textId="314C6A7C" w:rsidR="00775733" w:rsidRPr="00BA7692" w:rsidRDefault="005A2839" w:rsidP="00775733">
      <w:pPr>
        <w:rPr>
          <w:lang w:val="en-US"/>
        </w:rPr>
      </w:pPr>
      <w:r>
        <w:rPr>
          <w:lang w:val="en-US"/>
        </w:rPr>
        <w:t>2019</w:t>
      </w:r>
    </w:p>
    <w:p w14:paraId="5D82C3E7" w14:textId="77777777" w:rsidR="00775733" w:rsidRPr="00BA7692" w:rsidRDefault="00775733" w:rsidP="00775733">
      <w:pPr>
        <w:pStyle w:val="ListParagraph"/>
        <w:numPr>
          <w:ilvl w:val="0"/>
          <w:numId w:val="1"/>
        </w:numPr>
        <w:rPr>
          <w:b/>
          <w:bCs/>
          <w:lang w:val="en-US"/>
        </w:rPr>
      </w:pPr>
      <w:r w:rsidRPr="00BA7692">
        <w:rPr>
          <w:b/>
          <w:bCs/>
          <w:lang w:val="en-US"/>
        </w:rPr>
        <w:t xml:space="preserve">Brief History and Description: </w:t>
      </w:r>
    </w:p>
    <w:p w14:paraId="0952A510" w14:textId="5787F49A" w:rsidR="005A2839" w:rsidRDefault="005A2839" w:rsidP="005A2839">
      <w:r>
        <w:t xml:space="preserve">Presentations from officials are made on such topics as the utilization of MDA capabilities, interagency mechanisms and international cooperation. The workshop is focused on the sharing of </w:t>
      </w:r>
      <w:r w:rsidRPr="005A2839">
        <w:t>best practices from countries and regional frameworks on MDA</w:t>
      </w:r>
      <w:r>
        <w:t>, as well as improving cooperation.</w:t>
      </w:r>
    </w:p>
    <w:p w14:paraId="7CFB9462" w14:textId="11F6C4B8" w:rsidR="00775733" w:rsidRPr="005A2839" w:rsidRDefault="00775733" w:rsidP="005A2839">
      <w:pPr>
        <w:pStyle w:val="ListParagraph"/>
        <w:numPr>
          <w:ilvl w:val="0"/>
          <w:numId w:val="1"/>
        </w:numPr>
        <w:rPr>
          <w:b/>
          <w:bCs/>
          <w:lang w:val="en-US"/>
        </w:rPr>
      </w:pPr>
      <w:r w:rsidRPr="005A2839">
        <w:rPr>
          <w:b/>
          <w:bCs/>
          <w:lang w:val="en-US"/>
        </w:rPr>
        <w:t xml:space="preserve">Maritime Security Issues Covered: </w:t>
      </w:r>
    </w:p>
    <w:p w14:paraId="5A78656B" w14:textId="2E4C4607" w:rsidR="00775733" w:rsidRDefault="005A2839" w:rsidP="00775733">
      <w:pPr>
        <w:rPr>
          <w:lang w:val="en-US"/>
        </w:rPr>
      </w:pPr>
      <w:r>
        <w:rPr>
          <w:lang w:val="en-US"/>
        </w:rPr>
        <w:t>Piracy, IUU Fishing</w:t>
      </w:r>
    </w:p>
    <w:p w14:paraId="57D7906A" w14:textId="3F273463" w:rsidR="00775733" w:rsidRDefault="00775733" w:rsidP="00775733">
      <w:pPr>
        <w:pStyle w:val="ListParagraph"/>
        <w:numPr>
          <w:ilvl w:val="0"/>
          <w:numId w:val="1"/>
        </w:numPr>
        <w:rPr>
          <w:b/>
          <w:bCs/>
          <w:lang w:val="en-US"/>
        </w:rPr>
      </w:pPr>
      <w:r w:rsidRPr="00E075CA">
        <w:rPr>
          <w:b/>
          <w:bCs/>
          <w:lang w:val="en-US"/>
        </w:rPr>
        <w:t xml:space="preserve">Noteworthy documents and strategies: </w:t>
      </w:r>
    </w:p>
    <w:p w14:paraId="5E119C7E" w14:textId="77777777" w:rsidR="005A2839" w:rsidRPr="00E075CA" w:rsidRDefault="005A2839" w:rsidP="005A2839">
      <w:pPr>
        <w:pStyle w:val="ListParagraph"/>
        <w:ind w:left="360"/>
        <w:rPr>
          <w:b/>
          <w:bCs/>
          <w:lang w:val="en-US"/>
        </w:rPr>
      </w:pPr>
    </w:p>
    <w:p w14:paraId="2A89DC9D" w14:textId="77777777" w:rsidR="00775733" w:rsidRPr="00E075CA" w:rsidRDefault="00775733" w:rsidP="00775733">
      <w:pPr>
        <w:pStyle w:val="ListParagraph"/>
        <w:numPr>
          <w:ilvl w:val="0"/>
          <w:numId w:val="1"/>
        </w:numPr>
        <w:rPr>
          <w:b/>
          <w:bCs/>
          <w:lang w:val="en-US"/>
        </w:rPr>
      </w:pPr>
      <w:r w:rsidRPr="00E075CA">
        <w:rPr>
          <w:b/>
          <w:bCs/>
          <w:lang w:val="en-US"/>
        </w:rPr>
        <w:t xml:space="preserve">Intensity: </w:t>
      </w:r>
    </w:p>
    <w:p w14:paraId="05E14E3A" w14:textId="5F335F95" w:rsidR="00775733" w:rsidRPr="00E075CA" w:rsidRDefault="00775733" w:rsidP="00775733">
      <w:pPr>
        <w:rPr>
          <w:lang w:val="en-US"/>
        </w:rPr>
      </w:pPr>
      <w:r w:rsidRPr="00E075CA">
        <w:rPr>
          <w:lang w:val="en-US"/>
        </w:rPr>
        <w:t>1 meeting per year</w:t>
      </w:r>
    </w:p>
    <w:p w14:paraId="2F82BCB8" w14:textId="77777777" w:rsidR="00775733" w:rsidRDefault="00775733" w:rsidP="00775733">
      <w:pPr>
        <w:pStyle w:val="ListParagraph"/>
        <w:numPr>
          <w:ilvl w:val="0"/>
          <w:numId w:val="1"/>
        </w:numPr>
        <w:rPr>
          <w:b/>
          <w:bCs/>
          <w:lang w:val="en-US"/>
        </w:rPr>
      </w:pPr>
      <w:r w:rsidRPr="004F5AEB">
        <w:rPr>
          <w:b/>
          <w:bCs/>
          <w:lang w:val="en-US"/>
        </w:rPr>
        <w:t xml:space="preserve">Ongoing projects and activities: </w:t>
      </w:r>
    </w:p>
    <w:p w14:paraId="458EBAC8" w14:textId="77777777" w:rsidR="00775733" w:rsidRPr="000038FC" w:rsidRDefault="00775733" w:rsidP="00775733">
      <w:pPr>
        <w:rPr>
          <w:lang w:val="en-US"/>
        </w:rPr>
      </w:pPr>
      <w:r w:rsidRPr="0062373C">
        <w:rPr>
          <w:lang w:val="en-US"/>
        </w:rPr>
        <w:t>Unclear</w:t>
      </w:r>
    </w:p>
    <w:p w14:paraId="0FA05FA1" w14:textId="77777777" w:rsidR="00775733" w:rsidRPr="00852B08" w:rsidRDefault="00775733" w:rsidP="00775733">
      <w:pPr>
        <w:pStyle w:val="ListParagraph"/>
        <w:numPr>
          <w:ilvl w:val="0"/>
          <w:numId w:val="1"/>
        </w:numPr>
        <w:rPr>
          <w:b/>
          <w:bCs/>
          <w:lang w:val="en-US"/>
        </w:rPr>
      </w:pPr>
      <w:r w:rsidRPr="00852B08">
        <w:rPr>
          <w:b/>
          <w:bCs/>
          <w:lang w:val="en-US"/>
        </w:rPr>
        <w:t xml:space="preserve">Funding structure: </w:t>
      </w:r>
    </w:p>
    <w:p w14:paraId="16815638" w14:textId="0BFB9DEA" w:rsidR="00775733" w:rsidRPr="00852B08" w:rsidRDefault="0062373C" w:rsidP="00775733">
      <w:pPr>
        <w:rPr>
          <w:lang w:val="en-US"/>
        </w:rPr>
      </w:pPr>
      <w:r>
        <w:rPr>
          <w:lang w:val="en-US"/>
        </w:rPr>
        <w:lastRenderedPageBreak/>
        <w:t>Unclear</w:t>
      </w:r>
    </w:p>
    <w:p w14:paraId="7AD554B1" w14:textId="77777777" w:rsidR="00775733" w:rsidRPr="00AC599E" w:rsidRDefault="00775733" w:rsidP="00775733">
      <w:pPr>
        <w:pStyle w:val="ListParagraph"/>
        <w:numPr>
          <w:ilvl w:val="0"/>
          <w:numId w:val="1"/>
        </w:numPr>
        <w:rPr>
          <w:b/>
          <w:bCs/>
          <w:lang w:val="en-US"/>
        </w:rPr>
      </w:pPr>
      <w:r w:rsidRPr="00AC599E">
        <w:rPr>
          <w:b/>
          <w:bCs/>
          <w:lang w:val="en-US"/>
        </w:rPr>
        <w:t>Challenges</w:t>
      </w:r>
      <w:r>
        <w:rPr>
          <w:b/>
          <w:bCs/>
          <w:lang w:val="en-US"/>
        </w:rPr>
        <w:t>:</w:t>
      </w:r>
    </w:p>
    <w:p w14:paraId="651F0CE6" w14:textId="77777777" w:rsidR="00775733" w:rsidRPr="00852B08" w:rsidRDefault="00775733" w:rsidP="00775733">
      <w:pPr>
        <w:rPr>
          <w:lang w:val="en-US"/>
        </w:rPr>
      </w:pPr>
      <w:r>
        <w:rPr>
          <w:lang w:val="en-US"/>
        </w:rPr>
        <w:t xml:space="preserve">As it takes place within the ASEAN structure, an ongoing challenge is its perception as a talking shop, tied into broader regional limits </w:t>
      </w:r>
      <w:r w:rsidRPr="00852B08">
        <w:rPr>
          <w:lang w:val="en-US"/>
        </w:rPr>
        <w:t xml:space="preserve">to cooperation. </w:t>
      </w:r>
    </w:p>
    <w:p w14:paraId="733EC478" w14:textId="66183A75" w:rsidR="00775733" w:rsidRDefault="00775733" w:rsidP="00775733">
      <w:pPr>
        <w:pStyle w:val="ListParagraph"/>
        <w:numPr>
          <w:ilvl w:val="0"/>
          <w:numId w:val="1"/>
        </w:numPr>
        <w:rPr>
          <w:b/>
          <w:bCs/>
          <w:lang w:val="en-US"/>
        </w:rPr>
      </w:pPr>
      <w:r w:rsidRPr="00AD48DF">
        <w:rPr>
          <w:b/>
          <w:bCs/>
          <w:lang w:val="en-US"/>
        </w:rPr>
        <w:t xml:space="preserve">Cooperation or link with other arrangements: </w:t>
      </w:r>
    </w:p>
    <w:p w14:paraId="4A878966" w14:textId="77777777" w:rsidR="00865B0E" w:rsidRDefault="00865B0E" w:rsidP="00865B0E">
      <w:pPr>
        <w:pStyle w:val="ListParagraph"/>
        <w:ind w:left="360"/>
        <w:rPr>
          <w:b/>
          <w:bCs/>
          <w:lang w:val="en-US"/>
        </w:rPr>
      </w:pPr>
    </w:p>
    <w:p w14:paraId="36FFC719" w14:textId="77777777" w:rsidR="00775733" w:rsidRPr="0035608A" w:rsidRDefault="00775733" w:rsidP="00775733">
      <w:pPr>
        <w:pStyle w:val="ListParagraph"/>
        <w:numPr>
          <w:ilvl w:val="0"/>
          <w:numId w:val="1"/>
        </w:numPr>
        <w:rPr>
          <w:b/>
          <w:bCs/>
          <w:lang w:val="en-US"/>
        </w:rPr>
      </w:pPr>
      <w:r w:rsidRPr="0035608A">
        <w:rPr>
          <w:b/>
          <w:bCs/>
          <w:lang w:val="en-US"/>
        </w:rPr>
        <w:t xml:space="preserve">Institutional contacts: </w:t>
      </w:r>
    </w:p>
    <w:p w14:paraId="0D85E56C" w14:textId="77777777" w:rsidR="00775733" w:rsidRPr="0035608A" w:rsidRDefault="00775733" w:rsidP="00775733">
      <w:pPr>
        <w:rPr>
          <w:lang w:val="en-US"/>
        </w:rPr>
      </w:pPr>
      <w:r w:rsidRPr="0035608A">
        <w:rPr>
          <w:lang w:val="en-US"/>
        </w:rPr>
        <w:t>N/A</w:t>
      </w:r>
    </w:p>
    <w:p w14:paraId="64BF23D1" w14:textId="77777777" w:rsidR="00775733" w:rsidRDefault="00775733" w:rsidP="00775733">
      <w:pPr>
        <w:pStyle w:val="ListParagraph"/>
        <w:numPr>
          <w:ilvl w:val="0"/>
          <w:numId w:val="1"/>
        </w:numPr>
        <w:rPr>
          <w:lang w:val="en-US"/>
        </w:rPr>
      </w:pPr>
      <w:r w:rsidRPr="009528A9">
        <w:rPr>
          <w:b/>
          <w:bCs/>
          <w:lang w:val="en-US"/>
        </w:rPr>
        <w:t>Noteworthy literature</w:t>
      </w:r>
      <w:r>
        <w:rPr>
          <w:lang w:val="en-US"/>
        </w:rPr>
        <w:t xml:space="preserve">: </w:t>
      </w:r>
    </w:p>
    <w:p w14:paraId="13CE02FD" w14:textId="77777777" w:rsidR="00775733" w:rsidRPr="0022372E" w:rsidRDefault="00775733" w:rsidP="00775733">
      <w:pPr>
        <w:pStyle w:val="ListParagraph"/>
        <w:numPr>
          <w:ilvl w:val="0"/>
          <w:numId w:val="1"/>
        </w:numPr>
      </w:pPr>
      <w:r w:rsidRPr="001E79DE">
        <w:rPr>
          <w:b/>
          <w:bCs/>
          <w:lang w:val="en-US"/>
        </w:rPr>
        <w:t xml:space="preserve">Knowledge gaps to follow up on: </w:t>
      </w:r>
      <w:bookmarkEnd w:id="0"/>
    </w:p>
    <w:p w14:paraId="61555343" w14:textId="65B5190B" w:rsidR="00775733" w:rsidRPr="007B77CB" w:rsidRDefault="00775733" w:rsidP="00775733">
      <w:r>
        <w:t xml:space="preserve">They have explicitly discussed their overlap with the ARF ISM on MS, and in 2012 called for greater coordination to ‘prevent redundancy’. It is, currently, unclear how this coordination operates beyond ‘Co-Chairs will send their statement of this meeting to the ISM on MS to inform discussions at that Meeting’. </w:t>
      </w:r>
      <w:r w:rsidR="00160EEB">
        <w:t xml:space="preserve"> </w:t>
      </w:r>
    </w:p>
    <w:p w14:paraId="766C306F" w14:textId="77777777" w:rsidR="00445F40" w:rsidRDefault="00445F40"/>
    <w:sectPr w:rsidR="00445F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5538"/>
    <w:multiLevelType w:val="hybridMultilevel"/>
    <w:tmpl w:val="60CCD9E4"/>
    <w:lvl w:ilvl="0" w:tplc="2000000F">
      <w:start w:val="1"/>
      <w:numFmt w:val="decimal"/>
      <w:lvlText w:val="%1."/>
      <w:lvlJc w:val="left"/>
      <w:pPr>
        <w:ind w:left="36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932324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733"/>
    <w:rsid w:val="00160EEB"/>
    <w:rsid w:val="00445F40"/>
    <w:rsid w:val="005A2839"/>
    <w:rsid w:val="0062373C"/>
    <w:rsid w:val="006F38E4"/>
    <w:rsid w:val="00775733"/>
    <w:rsid w:val="00865B0E"/>
    <w:rsid w:val="00FA5F51"/>
    <w:rsid w:val="00FC32DB"/>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06F5E"/>
  <w15:chartTrackingRefBased/>
  <w15:docId w15:val="{0C1FBF9F-E9F5-41BF-9629-E6D992BD3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75733"/>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75733"/>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775733"/>
    <w:pPr>
      <w:spacing w:line="256" w:lineRule="auto"/>
      <w:ind w:left="720"/>
      <w:contextualSpacing/>
    </w:pPr>
    <w:rPr>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66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7</cp:revision>
  <dcterms:created xsi:type="dcterms:W3CDTF">2022-07-10T18:29:00Z</dcterms:created>
  <dcterms:modified xsi:type="dcterms:W3CDTF">2024-01-26T10:34:00Z</dcterms:modified>
</cp:coreProperties>
</file>