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DC6E9" w14:textId="77777777" w:rsidR="00021CD8" w:rsidRDefault="00021CD8" w:rsidP="00021CD8">
      <w:pPr>
        <w:pStyle w:val="ListParagraph"/>
        <w:numPr>
          <w:ilvl w:val="0"/>
          <w:numId w:val="1"/>
        </w:numPr>
        <w:rPr>
          <w:rFonts w:cstheme="minorHAnsi"/>
          <w:b/>
          <w:bCs/>
          <w:lang w:val="en-US"/>
        </w:rPr>
      </w:pPr>
      <w:bookmarkStart w:id="0" w:name="_Hlk40006575"/>
      <w:r>
        <w:rPr>
          <w:rFonts w:cstheme="minorHAnsi"/>
          <w:b/>
          <w:bCs/>
          <w:lang w:val="en-US"/>
        </w:rPr>
        <w:t xml:space="preserve">Name: </w:t>
      </w:r>
    </w:p>
    <w:p w14:paraId="38601B9F" w14:textId="5A71FEDC" w:rsidR="00021CD8" w:rsidRDefault="00021CD8" w:rsidP="00021CD8">
      <w:pPr>
        <w:rPr>
          <w:rFonts w:cstheme="minorHAnsi"/>
          <w:lang w:val="en-US"/>
        </w:rPr>
      </w:pPr>
      <w:r w:rsidRPr="00021CD8">
        <w:rPr>
          <w:rFonts w:cstheme="minorHAnsi"/>
          <w:lang w:val="en-US"/>
        </w:rPr>
        <w:t>Experts’ Group Meeting on the ASEAN Coast Guard Forum</w:t>
      </w:r>
      <w:r w:rsidR="00CC5DBD">
        <w:rPr>
          <w:rFonts w:cstheme="minorHAnsi"/>
          <w:lang w:val="en-US"/>
        </w:rPr>
        <w:t xml:space="preserve"> / ASEAN Coast Guard Forum</w:t>
      </w:r>
    </w:p>
    <w:p w14:paraId="63E2C514" w14:textId="3141672E" w:rsidR="00021CD8" w:rsidRPr="00021CD8" w:rsidRDefault="00021CD8" w:rsidP="00021CD8">
      <w:pPr>
        <w:pStyle w:val="ListParagraph"/>
        <w:numPr>
          <w:ilvl w:val="0"/>
          <w:numId w:val="1"/>
        </w:numPr>
        <w:rPr>
          <w:rFonts w:cstheme="minorHAnsi"/>
          <w:b/>
          <w:bCs/>
          <w:lang w:val="en-US"/>
        </w:rPr>
      </w:pPr>
      <w:r w:rsidRPr="00021CD8">
        <w:rPr>
          <w:rFonts w:cstheme="minorHAnsi"/>
          <w:lang w:val="en-US"/>
        </w:rPr>
        <w:t>S</w:t>
      </w:r>
      <w:r w:rsidRPr="00021CD8">
        <w:rPr>
          <w:rFonts w:cstheme="minorHAnsi"/>
          <w:b/>
          <w:bCs/>
          <w:lang w:val="en-US"/>
        </w:rPr>
        <w:t xml:space="preserve">hort description: </w:t>
      </w:r>
    </w:p>
    <w:p w14:paraId="0DAF7665" w14:textId="772F8584" w:rsidR="00021CD8" w:rsidRDefault="00B466DE" w:rsidP="00021CD8">
      <w:pPr>
        <w:rPr>
          <w:rFonts w:cstheme="minorHAnsi"/>
          <w:szCs w:val="22"/>
          <w:lang w:val="en-US"/>
        </w:rPr>
      </w:pPr>
      <w:r>
        <w:rPr>
          <w:rFonts w:cstheme="minorHAnsi"/>
          <w:szCs w:val="22"/>
          <w:lang w:val="en-US"/>
        </w:rPr>
        <w:t xml:space="preserve">The ACGF is a fledgling mechanism to encourage Coast Guard interaction in the region. It is currently in the process of being formed. </w:t>
      </w:r>
    </w:p>
    <w:p w14:paraId="1F5DCA46" w14:textId="77777777" w:rsidR="00021CD8" w:rsidRDefault="00021CD8" w:rsidP="00021CD8">
      <w:pPr>
        <w:pStyle w:val="ListParagraph"/>
        <w:numPr>
          <w:ilvl w:val="0"/>
          <w:numId w:val="1"/>
        </w:numPr>
        <w:rPr>
          <w:rFonts w:cstheme="minorHAnsi"/>
          <w:b/>
          <w:bCs/>
          <w:lang w:val="en-US"/>
        </w:rPr>
      </w:pPr>
      <w:r>
        <w:rPr>
          <w:rFonts w:cstheme="minorHAnsi"/>
          <w:lang w:val="en-US" w:bidi="th-TH"/>
        </w:rPr>
        <w:t xml:space="preserve"> </w:t>
      </w:r>
      <w:r>
        <w:rPr>
          <w:rFonts w:cstheme="minorHAnsi"/>
          <w:b/>
          <w:bCs/>
          <w:lang w:val="en-US"/>
        </w:rPr>
        <w:t xml:space="preserve">Formality: </w:t>
      </w:r>
    </w:p>
    <w:p w14:paraId="6C25A124" w14:textId="673354C1" w:rsidR="00021CD8" w:rsidRDefault="00C40076" w:rsidP="00021CD8">
      <w:pPr>
        <w:rPr>
          <w:rFonts w:cstheme="minorHAnsi"/>
          <w:szCs w:val="22"/>
          <w:lang w:val="en-US"/>
        </w:rPr>
      </w:pPr>
      <w:r>
        <w:rPr>
          <w:rFonts w:cstheme="minorHAnsi"/>
          <w:szCs w:val="22"/>
          <w:lang w:val="en-US"/>
        </w:rPr>
        <w:t>Informal</w:t>
      </w:r>
    </w:p>
    <w:p w14:paraId="7AA3C761" w14:textId="77777777" w:rsidR="00021CD8" w:rsidRDefault="00021CD8" w:rsidP="00021CD8">
      <w:pPr>
        <w:pStyle w:val="ListParagraph"/>
        <w:numPr>
          <w:ilvl w:val="0"/>
          <w:numId w:val="1"/>
        </w:numPr>
        <w:rPr>
          <w:rFonts w:cstheme="minorHAnsi"/>
          <w:b/>
          <w:bCs/>
          <w:lang w:val="en-US"/>
        </w:rPr>
      </w:pPr>
      <w:r>
        <w:rPr>
          <w:rFonts w:cstheme="minorHAnsi"/>
          <w:b/>
          <w:bCs/>
          <w:lang w:val="en-US"/>
        </w:rPr>
        <w:t xml:space="preserve">Regional coverage: </w:t>
      </w:r>
    </w:p>
    <w:p w14:paraId="7824C441" w14:textId="77777777" w:rsidR="00021CD8" w:rsidRDefault="00021CD8" w:rsidP="00021CD8">
      <w:pPr>
        <w:rPr>
          <w:rFonts w:cstheme="minorHAnsi"/>
          <w:szCs w:val="22"/>
          <w:lang w:val="en-US"/>
        </w:rPr>
      </w:pPr>
      <w:r>
        <w:rPr>
          <w:rFonts w:cstheme="minorHAnsi"/>
          <w:szCs w:val="22"/>
          <w:lang w:val="en-US"/>
        </w:rPr>
        <w:t>Southeast Asia</w:t>
      </w:r>
    </w:p>
    <w:p w14:paraId="3589E0BC" w14:textId="77777777" w:rsidR="00021CD8" w:rsidRDefault="00021CD8" w:rsidP="00021CD8">
      <w:pPr>
        <w:pStyle w:val="ListParagraph"/>
        <w:numPr>
          <w:ilvl w:val="0"/>
          <w:numId w:val="1"/>
        </w:numPr>
        <w:rPr>
          <w:rFonts w:cstheme="minorHAnsi"/>
          <w:b/>
          <w:bCs/>
          <w:lang w:val="en-US"/>
        </w:rPr>
      </w:pPr>
      <w:r>
        <w:rPr>
          <w:rFonts w:cstheme="minorHAnsi"/>
          <w:b/>
          <w:bCs/>
          <w:lang w:val="en-US"/>
        </w:rPr>
        <w:t xml:space="preserve">Members (including states and non-states): </w:t>
      </w:r>
    </w:p>
    <w:p w14:paraId="057F4E2A" w14:textId="77777777" w:rsidR="00021CD8" w:rsidRDefault="00021CD8" w:rsidP="00021CD8">
      <w:pPr>
        <w:rPr>
          <w:rFonts w:cstheme="minorHAnsi"/>
          <w:szCs w:val="22"/>
          <w:lang w:val="en-US"/>
        </w:rPr>
      </w:pPr>
      <w:r>
        <w:rPr>
          <w:rFonts w:cstheme="minorHAnsi"/>
          <w:szCs w:val="22"/>
          <w:lang w:val="en-US"/>
        </w:rPr>
        <w:t>ASEAN member states</w:t>
      </w:r>
    </w:p>
    <w:p w14:paraId="7FE647C4" w14:textId="77777777" w:rsidR="00021CD8" w:rsidRDefault="00021CD8" w:rsidP="00021CD8">
      <w:pPr>
        <w:pStyle w:val="ListParagraph"/>
        <w:numPr>
          <w:ilvl w:val="0"/>
          <w:numId w:val="1"/>
        </w:numPr>
        <w:autoSpaceDE w:val="0"/>
        <w:autoSpaceDN w:val="0"/>
        <w:adjustRightInd w:val="0"/>
        <w:spacing w:after="0" w:line="240" w:lineRule="auto"/>
        <w:rPr>
          <w:rFonts w:cstheme="minorHAnsi"/>
        </w:rPr>
      </w:pPr>
      <w:r>
        <w:rPr>
          <w:rFonts w:cstheme="minorHAnsi"/>
          <w:b/>
          <w:bCs/>
          <w:lang w:val="en-US"/>
        </w:rPr>
        <w:t xml:space="preserve">Includes non-state </w:t>
      </w:r>
      <w:proofErr w:type="gramStart"/>
      <w:r>
        <w:rPr>
          <w:rFonts w:cstheme="minorHAnsi"/>
          <w:b/>
          <w:bCs/>
          <w:lang w:val="en-US"/>
        </w:rPr>
        <w:t>actors?</w:t>
      </w:r>
      <w:proofErr w:type="gramEnd"/>
      <w:r>
        <w:rPr>
          <w:rFonts w:cstheme="minorHAnsi"/>
          <w:b/>
          <w:bCs/>
          <w:lang w:val="en-US"/>
        </w:rPr>
        <w:t xml:space="preserve"> </w:t>
      </w:r>
    </w:p>
    <w:p w14:paraId="405C3858" w14:textId="77777777" w:rsidR="00021CD8" w:rsidRDefault="00021CD8" w:rsidP="00021CD8">
      <w:pPr>
        <w:autoSpaceDE w:val="0"/>
        <w:autoSpaceDN w:val="0"/>
        <w:adjustRightInd w:val="0"/>
        <w:spacing w:after="0" w:line="240" w:lineRule="auto"/>
        <w:rPr>
          <w:rFonts w:cstheme="minorHAnsi"/>
          <w:szCs w:val="22"/>
        </w:rPr>
      </w:pPr>
    </w:p>
    <w:p w14:paraId="2CEA517A" w14:textId="77777777" w:rsidR="00021CD8" w:rsidRDefault="00021CD8" w:rsidP="00021CD8">
      <w:pPr>
        <w:autoSpaceDE w:val="0"/>
        <w:autoSpaceDN w:val="0"/>
        <w:adjustRightInd w:val="0"/>
        <w:spacing w:after="0" w:line="240" w:lineRule="auto"/>
        <w:rPr>
          <w:rFonts w:cstheme="minorHAnsi"/>
          <w:szCs w:val="22"/>
        </w:rPr>
      </w:pPr>
      <w:r>
        <w:rPr>
          <w:rFonts w:cstheme="minorHAnsi"/>
          <w:szCs w:val="22"/>
        </w:rPr>
        <w:t>No</w:t>
      </w:r>
    </w:p>
    <w:p w14:paraId="34447011" w14:textId="77777777" w:rsidR="00021CD8" w:rsidRDefault="00021CD8" w:rsidP="00021CD8">
      <w:pPr>
        <w:pStyle w:val="ListParagraph"/>
        <w:numPr>
          <w:ilvl w:val="0"/>
          <w:numId w:val="1"/>
        </w:numPr>
        <w:rPr>
          <w:rFonts w:cstheme="minorHAnsi"/>
          <w:b/>
          <w:bCs/>
          <w:lang w:val="en-US"/>
        </w:rPr>
      </w:pPr>
      <w:r>
        <w:rPr>
          <w:rFonts w:cstheme="minorHAnsi"/>
          <w:b/>
          <w:bCs/>
          <w:lang w:val="en-US"/>
        </w:rPr>
        <w:t xml:space="preserve">Date created: </w:t>
      </w:r>
    </w:p>
    <w:p w14:paraId="408BFF3D" w14:textId="3DD6E32C" w:rsidR="00021CD8" w:rsidRDefault="00021CD8" w:rsidP="00021CD8">
      <w:pPr>
        <w:rPr>
          <w:rFonts w:cstheme="minorHAnsi"/>
          <w:szCs w:val="22"/>
          <w:lang w:val="en-US"/>
        </w:rPr>
      </w:pPr>
      <w:r>
        <w:rPr>
          <w:rFonts w:cstheme="minorHAnsi"/>
          <w:szCs w:val="22"/>
          <w:lang w:val="en-US"/>
        </w:rPr>
        <w:t>20</w:t>
      </w:r>
      <w:r w:rsidR="00C40076">
        <w:rPr>
          <w:rFonts w:cstheme="minorHAnsi"/>
          <w:szCs w:val="22"/>
          <w:lang w:val="en-US"/>
        </w:rPr>
        <w:t>15</w:t>
      </w:r>
    </w:p>
    <w:p w14:paraId="55CB9070" w14:textId="77777777" w:rsidR="00021CD8" w:rsidRDefault="00021CD8" w:rsidP="00021CD8">
      <w:pPr>
        <w:pStyle w:val="ListParagraph"/>
        <w:numPr>
          <w:ilvl w:val="0"/>
          <w:numId w:val="1"/>
        </w:numPr>
        <w:rPr>
          <w:rFonts w:cstheme="minorHAnsi"/>
          <w:b/>
          <w:bCs/>
          <w:lang w:val="en-US"/>
        </w:rPr>
      </w:pPr>
      <w:r>
        <w:rPr>
          <w:rFonts w:cstheme="minorHAnsi"/>
          <w:b/>
          <w:bCs/>
          <w:lang w:val="en-US"/>
        </w:rPr>
        <w:t>Date visibly started to engage with maritime security (</w:t>
      </w:r>
      <w:proofErr w:type="gramStart"/>
      <w:r>
        <w:rPr>
          <w:rFonts w:cstheme="minorHAnsi"/>
          <w:b/>
          <w:bCs/>
          <w:lang w:val="en-US"/>
        </w:rPr>
        <w:t>e.g.</w:t>
      </w:r>
      <w:proofErr w:type="gramEnd"/>
      <w:r>
        <w:rPr>
          <w:rFonts w:cstheme="minorHAnsi"/>
          <w:b/>
          <w:bCs/>
          <w:lang w:val="en-US"/>
        </w:rPr>
        <w:t xml:space="preserve"> first document that refers to it):</w:t>
      </w:r>
    </w:p>
    <w:p w14:paraId="7D710B40" w14:textId="024A70E6" w:rsidR="00021CD8" w:rsidRDefault="00C40076" w:rsidP="00021CD8">
      <w:pPr>
        <w:rPr>
          <w:rFonts w:cstheme="minorHAnsi"/>
          <w:szCs w:val="22"/>
          <w:lang w:val="en-US"/>
        </w:rPr>
      </w:pPr>
      <w:r>
        <w:rPr>
          <w:rFonts w:cstheme="minorHAnsi"/>
          <w:szCs w:val="22"/>
          <w:lang w:val="en-US"/>
        </w:rPr>
        <w:t>2015</w:t>
      </w:r>
    </w:p>
    <w:p w14:paraId="74C98C09" w14:textId="6668277D" w:rsidR="00021CD8" w:rsidRDefault="00021CD8" w:rsidP="00021CD8">
      <w:pPr>
        <w:pStyle w:val="ListParagraph"/>
        <w:numPr>
          <w:ilvl w:val="0"/>
          <w:numId w:val="1"/>
        </w:numPr>
        <w:rPr>
          <w:rFonts w:cstheme="minorHAnsi"/>
          <w:b/>
          <w:bCs/>
          <w:lang w:val="en-US"/>
        </w:rPr>
      </w:pPr>
      <w:r>
        <w:rPr>
          <w:rFonts w:cstheme="minorHAnsi"/>
          <w:b/>
          <w:bCs/>
          <w:lang w:val="en-US"/>
        </w:rPr>
        <w:t xml:space="preserve">Brief History and Description: </w:t>
      </w:r>
    </w:p>
    <w:p w14:paraId="09D6B700" w14:textId="42B1D7E9" w:rsidR="00804FFF" w:rsidRDefault="001D4452" w:rsidP="00C40076">
      <w:r w:rsidRPr="001D4452">
        <w:t>Vietnam discussed the proposal for the establishment of an ASEAN Coast Guard Forum (ACGF) as a platform for cooperation and coordination among the ASEAN Coast Guards and maritime law enforcement agencies.</w:t>
      </w:r>
      <w:r w:rsidR="00B466DE">
        <w:t xml:space="preserve"> Feasibility studies were undertaken on the n</w:t>
      </w:r>
      <w:r w:rsidR="00C40076">
        <w:t xml:space="preserve">ature, mandates, and functions of different maritime law enforcement and administration agencies in ASEAN. </w:t>
      </w:r>
      <w:r w:rsidR="003333B5">
        <w:t xml:space="preserve">Held under auspices of AMF. </w:t>
      </w:r>
      <w:r w:rsidR="00CC5DBD">
        <w:t xml:space="preserve">3 iterations have been held. </w:t>
      </w:r>
      <w:r w:rsidR="00804FFF" w:rsidRPr="00804FFF">
        <w:t xml:space="preserve">After the third expert group meeting (EGM) produced a concept paper and a </w:t>
      </w:r>
      <w:proofErr w:type="gramStart"/>
      <w:r w:rsidR="00804FFF" w:rsidRPr="00804FFF">
        <w:t>terms of reference</w:t>
      </w:r>
      <w:proofErr w:type="gramEnd"/>
      <w:r w:rsidR="00804FFF" w:rsidRPr="00804FFF">
        <w:t xml:space="preserve"> in 2019, the pandemic hampered further deliberation of the official establishment of the ACGF. The most recent meeting between the members of the proposed ACGF was held virtually in October 2021. The meeting was hosted by the Indonesian Maritime Security Agency (</w:t>
      </w:r>
      <w:proofErr w:type="spellStart"/>
      <w:r w:rsidR="00804FFF" w:rsidRPr="00804FFF">
        <w:t>Bakamla</w:t>
      </w:r>
      <w:proofErr w:type="spellEnd"/>
      <w:r w:rsidR="00804FFF" w:rsidRPr="00804FFF">
        <w:t>), and discussed information exchange, capacity-building, and technical meetings.</w:t>
      </w:r>
    </w:p>
    <w:p w14:paraId="007FD33B" w14:textId="7648669E" w:rsidR="00021CD8" w:rsidRPr="00C40076" w:rsidRDefault="00021CD8" w:rsidP="00C40076">
      <w:pPr>
        <w:pStyle w:val="ListParagraph"/>
        <w:numPr>
          <w:ilvl w:val="0"/>
          <w:numId w:val="1"/>
        </w:numPr>
        <w:rPr>
          <w:rFonts w:cstheme="minorHAnsi"/>
          <w:b/>
          <w:bCs/>
          <w:lang w:val="en-US"/>
        </w:rPr>
      </w:pPr>
      <w:r w:rsidRPr="00C40076">
        <w:rPr>
          <w:rFonts w:cstheme="minorHAnsi"/>
          <w:b/>
          <w:bCs/>
          <w:lang w:val="en-US"/>
        </w:rPr>
        <w:t xml:space="preserve">Maritime Security Issues Covered: </w:t>
      </w:r>
    </w:p>
    <w:p w14:paraId="42D71FA1" w14:textId="79FEA8FC" w:rsidR="00021CD8" w:rsidRDefault="001D4452" w:rsidP="00021CD8">
      <w:pPr>
        <w:rPr>
          <w:rFonts w:cstheme="minorHAnsi"/>
          <w:szCs w:val="22"/>
          <w:lang w:val="en-US"/>
        </w:rPr>
      </w:pPr>
      <w:r>
        <w:rPr>
          <w:rFonts w:cstheme="minorHAnsi"/>
          <w:szCs w:val="22"/>
          <w:lang w:val="en-US"/>
        </w:rPr>
        <w:t>Broad remit</w:t>
      </w:r>
    </w:p>
    <w:p w14:paraId="51E528DF" w14:textId="77777777" w:rsidR="00021CD8" w:rsidRDefault="00021CD8" w:rsidP="00021CD8">
      <w:pPr>
        <w:pStyle w:val="ListParagraph"/>
        <w:numPr>
          <w:ilvl w:val="0"/>
          <w:numId w:val="1"/>
        </w:numPr>
        <w:rPr>
          <w:rFonts w:cstheme="minorHAnsi"/>
          <w:b/>
          <w:bCs/>
          <w:lang w:val="en-US"/>
        </w:rPr>
      </w:pPr>
      <w:r>
        <w:rPr>
          <w:rFonts w:cstheme="minorHAnsi"/>
          <w:b/>
          <w:bCs/>
          <w:lang w:val="en-US"/>
        </w:rPr>
        <w:t xml:space="preserve">Noteworthy documents and strategies: </w:t>
      </w:r>
    </w:p>
    <w:p w14:paraId="5F5DDFF5" w14:textId="77777777" w:rsidR="00021CD8" w:rsidRDefault="00021CD8" w:rsidP="00021CD8">
      <w:pPr>
        <w:pStyle w:val="ListParagraph"/>
        <w:rPr>
          <w:rFonts w:cstheme="minorHAnsi"/>
          <w:color w:val="000000"/>
        </w:rPr>
      </w:pPr>
    </w:p>
    <w:p w14:paraId="2F6597E4" w14:textId="77777777" w:rsidR="00021CD8" w:rsidRDefault="00021CD8" w:rsidP="00021CD8">
      <w:pPr>
        <w:pStyle w:val="ListParagraph"/>
        <w:numPr>
          <w:ilvl w:val="0"/>
          <w:numId w:val="1"/>
        </w:numPr>
        <w:rPr>
          <w:rFonts w:cstheme="minorHAnsi"/>
          <w:b/>
          <w:bCs/>
          <w:lang w:val="en-US"/>
        </w:rPr>
      </w:pPr>
      <w:r>
        <w:rPr>
          <w:rFonts w:cstheme="minorHAnsi"/>
          <w:b/>
          <w:bCs/>
          <w:color w:val="000000"/>
          <w:lang w:bidi="th-TH"/>
        </w:rPr>
        <w:t xml:space="preserve">Meeting </w:t>
      </w:r>
      <w:r>
        <w:rPr>
          <w:rFonts w:cstheme="minorHAnsi"/>
          <w:b/>
          <w:bCs/>
          <w:lang w:val="en-US"/>
        </w:rPr>
        <w:t xml:space="preserve">Intensity: </w:t>
      </w:r>
    </w:p>
    <w:p w14:paraId="6780D028" w14:textId="277AEC5D" w:rsidR="00021CD8" w:rsidRDefault="00B466DE" w:rsidP="00021CD8">
      <w:pPr>
        <w:rPr>
          <w:rFonts w:cstheme="minorHAnsi"/>
          <w:szCs w:val="22"/>
        </w:rPr>
      </w:pPr>
      <w:r>
        <w:rPr>
          <w:rFonts w:cstheme="minorHAnsi"/>
          <w:szCs w:val="22"/>
          <w:lang w:val="en-US"/>
        </w:rPr>
        <w:t>4</w:t>
      </w:r>
      <w:r w:rsidR="001D4452">
        <w:rPr>
          <w:rFonts w:cstheme="minorHAnsi"/>
          <w:szCs w:val="22"/>
          <w:lang w:val="en-US"/>
        </w:rPr>
        <w:t xml:space="preserve"> meetings in 6 years</w:t>
      </w:r>
    </w:p>
    <w:p w14:paraId="53BE6F90" w14:textId="77777777" w:rsidR="00021CD8" w:rsidRDefault="00021CD8" w:rsidP="00021CD8">
      <w:pPr>
        <w:pStyle w:val="ListParagraph"/>
        <w:numPr>
          <w:ilvl w:val="0"/>
          <w:numId w:val="1"/>
        </w:numPr>
        <w:rPr>
          <w:rFonts w:cstheme="minorHAnsi"/>
          <w:b/>
          <w:bCs/>
          <w:lang w:val="en-US"/>
        </w:rPr>
      </w:pPr>
      <w:r>
        <w:rPr>
          <w:rFonts w:cstheme="minorHAnsi"/>
          <w:b/>
          <w:bCs/>
          <w:lang w:val="en-US"/>
        </w:rPr>
        <w:t xml:space="preserve">Ongoing projects and activities: </w:t>
      </w:r>
    </w:p>
    <w:p w14:paraId="3374D3C0" w14:textId="4EB4C633" w:rsidR="001D4452" w:rsidRDefault="00804FFF" w:rsidP="00021CD8">
      <w:pPr>
        <w:autoSpaceDE w:val="0"/>
        <w:autoSpaceDN w:val="0"/>
        <w:adjustRightInd w:val="0"/>
        <w:spacing w:after="0" w:line="240" w:lineRule="auto"/>
        <w:rPr>
          <w:rFonts w:cstheme="minorHAnsi"/>
          <w:color w:val="000000"/>
        </w:rPr>
      </w:pPr>
      <w:r>
        <w:rPr>
          <w:rFonts w:cstheme="minorHAnsi"/>
          <w:color w:val="000000"/>
        </w:rPr>
        <w:t xml:space="preserve">Most of the activities involve establishing a concept paper and Terms of Reference to solidify the ACGF. </w:t>
      </w:r>
    </w:p>
    <w:p w14:paraId="3DAB57F8" w14:textId="08246986" w:rsidR="00021CD8" w:rsidRDefault="00021CD8" w:rsidP="00021CD8">
      <w:pPr>
        <w:pStyle w:val="ListParagraph"/>
        <w:numPr>
          <w:ilvl w:val="0"/>
          <w:numId w:val="1"/>
        </w:numPr>
        <w:rPr>
          <w:rFonts w:cstheme="minorHAnsi"/>
          <w:b/>
          <w:bCs/>
          <w:lang w:val="en-US"/>
        </w:rPr>
      </w:pPr>
      <w:r>
        <w:rPr>
          <w:rFonts w:cstheme="minorHAnsi"/>
          <w:b/>
          <w:bCs/>
          <w:lang w:val="en-US"/>
        </w:rPr>
        <w:lastRenderedPageBreak/>
        <w:t xml:space="preserve">Funding structure: </w:t>
      </w:r>
    </w:p>
    <w:p w14:paraId="77F0E8BB" w14:textId="77777777" w:rsidR="00804FFF" w:rsidRDefault="00804FFF" w:rsidP="00804FFF">
      <w:pPr>
        <w:pStyle w:val="ListParagraph"/>
        <w:rPr>
          <w:rFonts w:cstheme="minorHAnsi"/>
          <w:b/>
          <w:bCs/>
          <w:lang w:val="en-US"/>
        </w:rPr>
      </w:pPr>
    </w:p>
    <w:p w14:paraId="3A7680AE" w14:textId="77777777" w:rsidR="00021CD8" w:rsidRDefault="00021CD8" w:rsidP="00021CD8">
      <w:pPr>
        <w:pStyle w:val="ListParagraph"/>
        <w:numPr>
          <w:ilvl w:val="0"/>
          <w:numId w:val="1"/>
        </w:numPr>
        <w:rPr>
          <w:rFonts w:cstheme="minorHAnsi"/>
          <w:b/>
          <w:bCs/>
          <w:lang w:val="en-US"/>
        </w:rPr>
      </w:pPr>
      <w:r>
        <w:rPr>
          <w:rFonts w:cstheme="minorHAnsi"/>
          <w:b/>
          <w:bCs/>
          <w:lang w:val="en-US"/>
        </w:rPr>
        <w:t>Challenges:</w:t>
      </w:r>
    </w:p>
    <w:p w14:paraId="6F33700B" w14:textId="2F8833B3" w:rsidR="00021CD8" w:rsidRDefault="00804FFF" w:rsidP="00021CD8">
      <w:pPr>
        <w:pStyle w:val="Default"/>
        <w:rPr>
          <w:rFonts w:asciiTheme="minorHAnsi" w:hAnsiTheme="minorHAnsi" w:cstheme="minorHAnsi"/>
          <w:sz w:val="22"/>
          <w:szCs w:val="22"/>
        </w:rPr>
      </w:pPr>
      <w:r>
        <w:rPr>
          <w:rFonts w:asciiTheme="minorHAnsi" w:hAnsiTheme="minorHAnsi" w:cstheme="minorHAnsi"/>
          <w:sz w:val="22"/>
          <w:szCs w:val="22"/>
        </w:rPr>
        <w:t>Multiple challenges have arisen.</w:t>
      </w:r>
    </w:p>
    <w:p w14:paraId="1734173F" w14:textId="446C8EB9" w:rsidR="00804FFF" w:rsidRDefault="00804FFF" w:rsidP="00021CD8">
      <w:pPr>
        <w:pStyle w:val="Default"/>
        <w:rPr>
          <w:rFonts w:asciiTheme="minorHAnsi" w:hAnsiTheme="minorHAnsi" w:cstheme="minorHAnsi"/>
          <w:sz w:val="22"/>
          <w:szCs w:val="22"/>
        </w:rPr>
      </w:pPr>
    </w:p>
    <w:p w14:paraId="13AC29F3" w14:textId="31E87D65" w:rsidR="00804FFF" w:rsidRDefault="00804FFF" w:rsidP="00021CD8">
      <w:pPr>
        <w:pStyle w:val="Default"/>
        <w:rPr>
          <w:rFonts w:asciiTheme="minorHAnsi" w:hAnsiTheme="minorHAnsi" w:cstheme="minorHAnsi"/>
          <w:sz w:val="22"/>
          <w:szCs w:val="22"/>
        </w:rPr>
      </w:pPr>
      <w:r>
        <w:rPr>
          <w:rFonts w:asciiTheme="minorHAnsi" w:hAnsiTheme="minorHAnsi" w:cstheme="minorHAnsi"/>
          <w:sz w:val="22"/>
          <w:szCs w:val="22"/>
        </w:rPr>
        <w:t xml:space="preserve">Different CGs have different functions, so there is no real common expectation of what a Coast Guard Forum would </w:t>
      </w:r>
      <w:r w:rsidR="0022500F">
        <w:rPr>
          <w:rFonts w:asciiTheme="minorHAnsi" w:hAnsiTheme="minorHAnsi" w:cstheme="minorHAnsi"/>
          <w:sz w:val="22"/>
          <w:szCs w:val="22"/>
        </w:rPr>
        <w:t xml:space="preserve">cover. </w:t>
      </w:r>
    </w:p>
    <w:p w14:paraId="3F1F6981" w14:textId="331F3D3A" w:rsidR="0022500F" w:rsidRDefault="0022500F" w:rsidP="00021CD8">
      <w:pPr>
        <w:pStyle w:val="Default"/>
        <w:rPr>
          <w:rFonts w:asciiTheme="minorHAnsi" w:hAnsiTheme="minorHAnsi" w:cstheme="minorHAnsi"/>
          <w:sz w:val="22"/>
          <w:szCs w:val="22"/>
        </w:rPr>
      </w:pPr>
    </w:p>
    <w:p w14:paraId="507C98DC" w14:textId="19844290" w:rsidR="0022500F" w:rsidRDefault="0022500F" w:rsidP="00021CD8">
      <w:pPr>
        <w:pStyle w:val="Default"/>
        <w:rPr>
          <w:rFonts w:asciiTheme="minorHAnsi" w:hAnsiTheme="minorHAnsi" w:cstheme="minorHAnsi"/>
          <w:sz w:val="22"/>
          <w:szCs w:val="22"/>
        </w:rPr>
      </w:pPr>
      <w:r>
        <w:rPr>
          <w:rFonts w:asciiTheme="minorHAnsi" w:hAnsiTheme="minorHAnsi" w:cstheme="minorHAnsi"/>
          <w:sz w:val="22"/>
          <w:szCs w:val="22"/>
        </w:rPr>
        <w:t xml:space="preserve">The need for consensus has made it difficult to establish the forum, as well as the procedural aspects of ASEAN’s diplomacy. Meetings were delayed during COVID as the expectation was that in-person discussions would have a better chance of overcoming obstacles. </w:t>
      </w:r>
    </w:p>
    <w:p w14:paraId="235E5839" w14:textId="77777777" w:rsidR="00021CD8" w:rsidRDefault="00021CD8" w:rsidP="00021CD8">
      <w:pPr>
        <w:pStyle w:val="Default"/>
        <w:rPr>
          <w:rStyle w:val="A7"/>
          <w:rFonts w:asciiTheme="minorHAnsi" w:hAnsiTheme="minorHAnsi" w:cstheme="minorHAnsi"/>
          <w:color w:val="000000"/>
        </w:rPr>
      </w:pPr>
    </w:p>
    <w:p w14:paraId="756B50DB" w14:textId="77777777" w:rsidR="00021CD8" w:rsidRDefault="00021CD8" w:rsidP="00021CD8">
      <w:pPr>
        <w:rPr>
          <w:b/>
          <w:bCs/>
          <w:lang w:val="en-US"/>
        </w:rPr>
      </w:pPr>
      <w:r>
        <w:rPr>
          <w:rStyle w:val="A7"/>
          <w:rFonts w:cstheme="minorHAnsi"/>
        </w:rPr>
        <w:t xml:space="preserve">      </w:t>
      </w:r>
      <w:r>
        <w:rPr>
          <w:rStyle w:val="A7"/>
          <w:rFonts w:cstheme="minorHAnsi"/>
          <w:b/>
          <w:bCs/>
        </w:rPr>
        <w:t>16.</w:t>
      </w:r>
      <w:r>
        <w:rPr>
          <w:rStyle w:val="A7"/>
          <w:rFonts w:cstheme="minorHAnsi"/>
        </w:rPr>
        <w:t xml:space="preserve"> </w:t>
      </w:r>
      <w:r>
        <w:rPr>
          <w:rFonts w:cstheme="minorHAnsi"/>
          <w:b/>
          <w:bCs/>
          <w:szCs w:val="22"/>
          <w:lang w:val="en-US"/>
        </w:rPr>
        <w:t xml:space="preserve">Cooperation or link with other arrangements: </w:t>
      </w:r>
    </w:p>
    <w:p w14:paraId="3109CCB5" w14:textId="7915642F" w:rsidR="00021CD8" w:rsidRDefault="003333B5" w:rsidP="00021CD8">
      <w:pPr>
        <w:tabs>
          <w:tab w:val="left" w:pos="2016"/>
        </w:tabs>
        <w:rPr>
          <w:rFonts w:cstheme="minorHAnsi"/>
          <w:szCs w:val="22"/>
          <w:lang w:val="en-US"/>
        </w:rPr>
      </w:pPr>
      <w:r>
        <w:rPr>
          <w:rFonts w:cstheme="minorHAnsi"/>
          <w:szCs w:val="22"/>
          <w:lang w:val="en-US"/>
        </w:rPr>
        <w:t>AMF</w:t>
      </w:r>
    </w:p>
    <w:p w14:paraId="5FFF0C00" w14:textId="71355757" w:rsidR="00021CD8" w:rsidRDefault="00021CD8" w:rsidP="00021CD8">
      <w:pPr>
        <w:pStyle w:val="ListParagraph"/>
        <w:numPr>
          <w:ilvl w:val="0"/>
          <w:numId w:val="2"/>
        </w:numPr>
        <w:tabs>
          <w:tab w:val="left" w:pos="2016"/>
        </w:tabs>
        <w:rPr>
          <w:rFonts w:cstheme="minorHAnsi"/>
          <w:b/>
          <w:bCs/>
          <w:lang w:val="en-US"/>
        </w:rPr>
      </w:pPr>
      <w:r>
        <w:rPr>
          <w:rFonts w:cstheme="minorHAnsi"/>
          <w:b/>
          <w:bCs/>
          <w:lang w:val="en-US"/>
        </w:rPr>
        <w:t xml:space="preserve">Institutional contacts: </w:t>
      </w:r>
    </w:p>
    <w:p w14:paraId="3412DD03" w14:textId="49E9E805" w:rsidR="003333B5" w:rsidRPr="003333B5" w:rsidRDefault="003333B5" w:rsidP="003333B5">
      <w:pPr>
        <w:rPr>
          <w:rFonts w:cstheme="minorHAnsi"/>
          <w:lang w:val="en-US"/>
        </w:rPr>
      </w:pPr>
      <w:r>
        <w:rPr>
          <w:rFonts w:cstheme="minorHAnsi"/>
          <w:lang w:val="en-US"/>
        </w:rPr>
        <w:t>JT / SP</w:t>
      </w:r>
    </w:p>
    <w:p w14:paraId="7940C736" w14:textId="77777777" w:rsidR="00021CD8" w:rsidRDefault="00021CD8" w:rsidP="00021CD8">
      <w:pPr>
        <w:pStyle w:val="ListParagraph"/>
        <w:numPr>
          <w:ilvl w:val="0"/>
          <w:numId w:val="2"/>
        </w:numPr>
        <w:rPr>
          <w:rFonts w:cstheme="minorHAnsi"/>
          <w:lang w:val="en-US"/>
        </w:rPr>
      </w:pPr>
      <w:r>
        <w:rPr>
          <w:rFonts w:cstheme="minorHAnsi"/>
          <w:b/>
          <w:bCs/>
          <w:lang w:val="en-US"/>
        </w:rPr>
        <w:t>Noteworthy literature</w:t>
      </w:r>
      <w:r>
        <w:rPr>
          <w:rFonts w:cstheme="minorHAnsi"/>
          <w:lang w:val="en-US"/>
        </w:rPr>
        <w:t xml:space="preserve">: </w:t>
      </w:r>
    </w:p>
    <w:p w14:paraId="45274D9D" w14:textId="77777777" w:rsidR="00021CD8" w:rsidRDefault="00021CD8" w:rsidP="00021CD8">
      <w:pPr>
        <w:pStyle w:val="ListParagraph"/>
        <w:rPr>
          <w:rFonts w:cstheme="minorHAnsi"/>
          <w:lang w:val="en-US"/>
        </w:rPr>
      </w:pPr>
    </w:p>
    <w:p w14:paraId="0FD96890" w14:textId="17EF311A" w:rsidR="00021CD8" w:rsidRDefault="00021CD8" w:rsidP="00021CD8">
      <w:pPr>
        <w:pStyle w:val="ListParagraph"/>
        <w:numPr>
          <w:ilvl w:val="0"/>
          <w:numId w:val="2"/>
        </w:numPr>
        <w:rPr>
          <w:rFonts w:cstheme="minorHAnsi"/>
          <w:b/>
          <w:bCs/>
          <w:lang w:val="en-US"/>
        </w:rPr>
      </w:pPr>
      <w:r>
        <w:rPr>
          <w:rFonts w:cstheme="minorHAnsi"/>
          <w:b/>
          <w:bCs/>
          <w:lang w:val="en-US"/>
        </w:rPr>
        <w:t>Knowledge gaps to follow up on:</w:t>
      </w:r>
      <w:r w:rsidR="00790FA6">
        <w:rPr>
          <w:rFonts w:cstheme="minorHAnsi"/>
          <w:b/>
          <w:bCs/>
          <w:lang w:val="en-US"/>
        </w:rPr>
        <w:t xml:space="preserve"> </w:t>
      </w:r>
    </w:p>
    <w:bookmarkEnd w:id="0"/>
    <w:p w14:paraId="228D1EB3" w14:textId="77777777" w:rsidR="00021CD8" w:rsidRDefault="00021CD8" w:rsidP="00021CD8"/>
    <w:p w14:paraId="1ADF9052" w14:textId="77777777" w:rsidR="00021CD8" w:rsidRDefault="00021CD8" w:rsidP="00021CD8">
      <w:pPr>
        <w:rPr>
          <w:lang w:val="en-US"/>
        </w:rPr>
      </w:pPr>
    </w:p>
    <w:p w14:paraId="0DB064B9" w14:textId="77777777" w:rsidR="00021CD8" w:rsidRDefault="00021CD8" w:rsidP="00021CD8"/>
    <w:p w14:paraId="529D57D1" w14:textId="77777777" w:rsidR="00021CD8" w:rsidRPr="00021CD8" w:rsidRDefault="00021CD8">
      <w:pPr>
        <w:rPr>
          <w:lang w:val="en-US"/>
        </w:rPr>
      </w:pPr>
    </w:p>
    <w:sectPr w:rsidR="00021CD8" w:rsidRPr="00021C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35DA267D"/>
    <w:multiLevelType w:val="hybridMultilevel"/>
    <w:tmpl w:val="3B0C8D70"/>
    <w:lvl w:ilvl="0" w:tplc="90EE8C1A">
      <w:start w:val="17"/>
      <w:numFmt w:val="decimal"/>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951402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1476409">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CD8"/>
    <w:rsid w:val="00021CD8"/>
    <w:rsid w:val="001D4452"/>
    <w:rsid w:val="0022500F"/>
    <w:rsid w:val="003333B5"/>
    <w:rsid w:val="00445F40"/>
    <w:rsid w:val="00790FA6"/>
    <w:rsid w:val="00804FFF"/>
    <w:rsid w:val="00B466DE"/>
    <w:rsid w:val="00C40076"/>
    <w:rsid w:val="00CC5DB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9CA9"/>
  <w15:chartTrackingRefBased/>
  <w15:docId w15:val="{344E8F70-D30F-42A5-BB6E-8A52A3BB2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CD8"/>
    <w:pPr>
      <w:spacing w:line="254" w:lineRule="auto"/>
      <w:ind w:left="720"/>
      <w:contextualSpacing/>
    </w:pPr>
    <w:rPr>
      <w:szCs w:val="22"/>
      <w:lang w:bidi="ar-SA"/>
    </w:rPr>
  </w:style>
  <w:style w:type="paragraph" w:customStyle="1" w:styleId="Default">
    <w:name w:val="Default"/>
    <w:rsid w:val="00021CD8"/>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021CD8"/>
    <w:rPr>
      <w:rFonts w:ascii="Calibri Light" w:hAnsi="Calibri Light" w:cs="Calibri Light" w:hint="default"/>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58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Scott Edwards</cp:lastModifiedBy>
  <cp:revision>6</cp:revision>
  <dcterms:created xsi:type="dcterms:W3CDTF">2022-07-11T07:05:00Z</dcterms:created>
  <dcterms:modified xsi:type="dcterms:W3CDTF">2022-07-12T08:10:00Z</dcterms:modified>
</cp:coreProperties>
</file>