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94B22" w14:textId="77777777" w:rsidR="00EB2AFE" w:rsidRPr="00E81CD9" w:rsidRDefault="00EB2AFE" w:rsidP="00EB2AFE">
      <w:pPr>
        <w:pStyle w:val="ListParagraph"/>
        <w:numPr>
          <w:ilvl w:val="0"/>
          <w:numId w:val="1"/>
        </w:numPr>
        <w:rPr>
          <w:b/>
          <w:bCs/>
          <w:lang w:val="en-US"/>
        </w:rPr>
      </w:pPr>
      <w:bookmarkStart w:id="0" w:name="_Hlk40006575"/>
      <w:r w:rsidRPr="00E81CD9">
        <w:rPr>
          <w:b/>
          <w:bCs/>
          <w:lang w:val="en-US"/>
        </w:rPr>
        <w:t xml:space="preserve">Name: </w:t>
      </w:r>
    </w:p>
    <w:p w14:paraId="0444595B" w14:textId="6B5442D2" w:rsidR="00EB2AFE" w:rsidRPr="00700E6F" w:rsidRDefault="00EB2AFE" w:rsidP="00EB2AFE">
      <w:pPr>
        <w:rPr>
          <w:b/>
          <w:bCs/>
          <w:szCs w:val="22"/>
          <w:lang w:val="en-US" w:bidi="ar-SA"/>
        </w:rPr>
      </w:pPr>
      <w:r w:rsidRPr="00700E6F">
        <w:rPr>
          <w:lang w:val="en-US"/>
        </w:rPr>
        <w:t xml:space="preserve">ARF </w:t>
      </w:r>
      <w:r>
        <w:rPr>
          <w:lang w:val="en-US"/>
        </w:rPr>
        <w:t>Defence Officials Dialogue</w:t>
      </w:r>
      <w:r>
        <w:rPr>
          <w:lang w:val="en-US"/>
        </w:rPr>
        <w:tab/>
      </w:r>
    </w:p>
    <w:p w14:paraId="4D24B13A" w14:textId="77777777" w:rsidR="00EB2AFE" w:rsidRPr="00E81CD9" w:rsidRDefault="00EB2AFE" w:rsidP="00EB2AFE">
      <w:pPr>
        <w:pStyle w:val="ListParagraph"/>
        <w:numPr>
          <w:ilvl w:val="0"/>
          <w:numId w:val="1"/>
        </w:numPr>
        <w:rPr>
          <w:b/>
          <w:bCs/>
          <w:lang w:val="en-US"/>
        </w:rPr>
      </w:pPr>
      <w:r w:rsidRPr="00E81CD9">
        <w:rPr>
          <w:b/>
          <w:bCs/>
          <w:lang w:val="en-US"/>
        </w:rPr>
        <w:t xml:space="preserve">Short description: </w:t>
      </w:r>
    </w:p>
    <w:p w14:paraId="13AFEE9E" w14:textId="77777777" w:rsidR="00EB2AFE" w:rsidRDefault="00EB2AFE" w:rsidP="00EB2AFE">
      <w:pPr>
        <w:rPr>
          <w:lang w:val="en-US"/>
        </w:rPr>
      </w:pPr>
      <w:r>
        <w:rPr>
          <w:lang w:val="en-US"/>
        </w:rPr>
        <w:t xml:space="preserve">The inter-sessional meeting is the primary forum for the discussion of transnational crime in the ASEAN Regional Forum (ARF). </w:t>
      </w:r>
      <w:r w:rsidRPr="007B77CB">
        <w:rPr>
          <w:lang w:val="en-US"/>
        </w:rPr>
        <w:t>Its purpose is to promote dialogue regarding challenges and threats that ARF members face and concrete cooperation</w:t>
      </w:r>
      <w:r>
        <w:rPr>
          <w:lang w:val="en-US"/>
        </w:rPr>
        <w:t xml:space="preserve">. </w:t>
      </w:r>
    </w:p>
    <w:p w14:paraId="5F61D021" w14:textId="77777777" w:rsidR="00EB2AFE" w:rsidRPr="007B77CB" w:rsidRDefault="00EB2AFE" w:rsidP="00EB2AFE">
      <w:pPr>
        <w:pStyle w:val="ListParagraph"/>
        <w:numPr>
          <w:ilvl w:val="0"/>
          <w:numId w:val="1"/>
        </w:numPr>
        <w:rPr>
          <w:b/>
          <w:bCs/>
          <w:lang w:val="en-US"/>
        </w:rPr>
      </w:pPr>
      <w:r w:rsidRPr="007B77CB">
        <w:rPr>
          <w:b/>
          <w:bCs/>
          <w:lang w:val="en-US"/>
        </w:rPr>
        <w:t xml:space="preserve">Formality: </w:t>
      </w:r>
    </w:p>
    <w:p w14:paraId="467A6CB0" w14:textId="77777777" w:rsidR="00EB2AFE" w:rsidRPr="00E81CD9" w:rsidRDefault="00EB2AFE" w:rsidP="00EB2AFE">
      <w:pPr>
        <w:rPr>
          <w:lang w:val="en-US"/>
        </w:rPr>
      </w:pPr>
      <w:r>
        <w:rPr>
          <w:lang w:val="en-US"/>
        </w:rPr>
        <w:t xml:space="preserve">Mixed. It has a small unit within the ASEAN secretariat but no dedicated secretariat of its own. </w:t>
      </w:r>
    </w:p>
    <w:p w14:paraId="61A86896" w14:textId="77777777" w:rsidR="00EB2AFE" w:rsidRPr="00E81CD9" w:rsidRDefault="00EB2AFE" w:rsidP="00EB2AFE">
      <w:pPr>
        <w:pStyle w:val="ListParagraph"/>
        <w:numPr>
          <w:ilvl w:val="0"/>
          <w:numId w:val="1"/>
        </w:numPr>
        <w:rPr>
          <w:b/>
          <w:bCs/>
          <w:lang w:val="en-US"/>
        </w:rPr>
      </w:pPr>
      <w:r w:rsidRPr="00E81CD9">
        <w:rPr>
          <w:b/>
          <w:bCs/>
          <w:lang w:val="en-US"/>
        </w:rPr>
        <w:t xml:space="preserve">Regional coverage: </w:t>
      </w:r>
    </w:p>
    <w:p w14:paraId="14C13BBB" w14:textId="77777777" w:rsidR="00EB2AFE" w:rsidRPr="00E81CD9" w:rsidRDefault="00EB2AFE" w:rsidP="00EB2AFE">
      <w:pPr>
        <w:rPr>
          <w:lang w:val="en-US"/>
        </w:rPr>
      </w:pPr>
      <w:r>
        <w:rPr>
          <w:lang w:val="en-US"/>
        </w:rPr>
        <w:t>Indo-Pacific</w:t>
      </w:r>
    </w:p>
    <w:p w14:paraId="541D245D" w14:textId="77777777" w:rsidR="00EB2AFE" w:rsidRPr="00E81CD9" w:rsidRDefault="00EB2AFE" w:rsidP="00EB2AFE">
      <w:pPr>
        <w:pStyle w:val="ListParagraph"/>
        <w:numPr>
          <w:ilvl w:val="0"/>
          <w:numId w:val="1"/>
        </w:numPr>
        <w:rPr>
          <w:b/>
          <w:bCs/>
          <w:lang w:val="en-US"/>
        </w:rPr>
      </w:pPr>
      <w:r w:rsidRPr="00E81CD9">
        <w:rPr>
          <w:b/>
          <w:bCs/>
          <w:lang w:val="en-US"/>
        </w:rPr>
        <w:t xml:space="preserve">Members (including states and non-states): </w:t>
      </w:r>
    </w:p>
    <w:p w14:paraId="7D08DCCC" w14:textId="77777777" w:rsidR="00EB2AFE" w:rsidRDefault="00EB2AFE" w:rsidP="00EB2AFE">
      <w:pPr>
        <w:rPr>
          <w:lang w:val="en-US"/>
        </w:rPr>
      </w:pPr>
      <w:r w:rsidRPr="00E76A30">
        <w:rPr>
          <w:lang w:val="en-US"/>
        </w:rPr>
        <w:t>10 ASEAN member states (Brunei, Cambodia, Indonesia, Laos, Malaysia, Myanmar, Philippines, Singapore, Thailand and Vietnam); the 10 ASEAN dialogue partners (Australia, Canada, China, the European Union, India, Japan, New Zealand, the Republic of Korea (ROK), Russia and the United States); Bangladesh, the Democratic People's Republic of Korea, Mongolia, Pakistan, Sri Lanka, and Timor-Leste; and one ASEAN observer (Papua New Guinea).</w:t>
      </w:r>
    </w:p>
    <w:p w14:paraId="580B7638" w14:textId="77777777" w:rsidR="00EB2AFE" w:rsidRPr="00E76A30" w:rsidRDefault="00EB2AFE" w:rsidP="00EB2AFE">
      <w:pPr>
        <w:pStyle w:val="ListParagraph"/>
        <w:numPr>
          <w:ilvl w:val="0"/>
          <w:numId w:val="1"/>
        </w:numPr>
        <w:rPr>
          <w:b/>
          <w:bCs/>
          <w:lang w:val="en-US"/>
        </w:rPr>
      </w:pPr>
      <w:r w:rsidRPr="00E76A30">
        <w:rPr>
          <w:b/>
          <w:bCs/>
          <w:lang w:val="en-US"/>
        </w:rPr>
        <w:t xml:space="preserve">Includes non-state actors? </w:t>
      </w:r>
    </w:p>
    <w:p w14:paraId="4AC322C7" w14:textId="77777777" w:rsidR="00EB2AFE" w:rsidRPr="00F55AB6" w:rsidRDefault="00EB2AFE" w:rsidP="00EB2AFE">
      <w:pPr>
        <w:rPr>
          <w:lang w:val="en-US"/>
        </w:rPr>
      </w:pPr>
      <w:r>
        <w:rPr>
          <w:lang w:val="en-US"/>
        </w:rPr>
        <w:t xml:space="preserve">Yes, but there is a degree of separation. </w:t>
      </w:r>
      <w:r w:rsidRPr="00E76A30">
        <w:rPr>
          <w:lang w:val="en-US"/>
        </w:rPr>
        <w:t>The ARF has a 1.5 track body called the ARF Experts and Eminent Persons group (the EEPs), which meets annually to provide advice and recommendations to ARF officials</w:t>
      </w:r>
      <w:r>
        <w:rPr>
          <w:lang w:val="en-US"/>
        </w:rPr>
        <w:t xml:space="preserve">. </w:t>
      </w:r>
      <w:r w:rsidRPr="00E76A30">
        <w:rPr>
          <w:lang w:val="en-US"/>
        </w:rPr>
        <w:t>Second-track (i.e. non-official) institutions, such as the Council for Security Cooperation in the Asia Pacific (CSCAP), ASEAN Institutes of Strategic and International Studies (ASEAN ISIS) and ASEAN Institute for Peace and Reconciliation (ASEAN-IPR) also generate ideas and input for the ARF's consideration. The second-track institutions and networks conduct a number of seminars and working groups on regional security issues, involving academics, security specialists and officials participating in a personal capacity.</w:t>
      </w:r>
    </w:p>
    <w:p w14:paraId="3B19FD5E" w14:textId="77777777" w:rsidR="00EB2AFE" w:rsidRPr="00F55AB6" w:rsidRDefault="00EB2AFE" w:rsidP="00EB2AFE">
      <w:pPr>
        <w:pStyle w:val="ListParagraph"/>
        <w:numPr>
          <w:ilvl w:val="0"/>
          <w:numId w:val="1"/>
        </w:numPr>
        <w:rPr>
          <w:b/>
          <w:bCs/>
          <w:lang w:val="en-US"/>
        </w:rPr>
      </w:pPr>
      <w:r w:rsidRPr="00F55AB6">
        <w:rPr>
          <w:b/>
          <w:bCs/>
          <w:lang w:val="en-US"/>
        </w:rPr>
        <w:t xml:space="preserve">Date created: </w:t>
      </w:r>
    </w:p>
    <w:p w14:paraId="6F19C727" w14:textId="46553C9F" w:rsidR="00EB2AFE" w:rsidRPr="00F55AB6" w:rsidRDefault="00EB2AFE" w:rsidP="00EB2AFE">
      <w:pPr>
        <w:rPr>
          <w:lang w:val="en-US"/>
        </w:rPr>
      </w:pPr>
      <w:r w:rsidRPr="00F55AB6">
        <w:rPr>
          <w:lang w:val="en-US"/>
        </w:rPr>
        <w:t>20</w:t>
      </w:r>
      <w:r w:rsidR="00566FA6">
        <w:rPr>
          <w:lang w:val="en-US"/>
        </w:rPr>
        <w:t>01</w:t>
      </w:r>
    </w:p>
    <w:p w14:paraId="4AFA125C" w14:textId="77777777" w:rsidR="00EB2AFE" w:rsidRPr="00BA7692" w:rsidRDefault="00EB2AFE" w:rsidP="00EB2AFE">
      <w:pPr>
        <w:pStyle w:val="ListParagraph"/>
        <w:numPr>
          <w:ilvl w:val="0"/>
          <w:numId w:val="1"/>
        </w:numPr>
        <w:rPr>
          <w:b/>
          <w:bCs/>
          <w:lang w:val="en-US"/>
        </w:rPr>
      </w:pPr>
      <w:r w:rsidRPr="00BA7692">
        <w:rPr>
          <w:b/>
          <w:bCs/>
          <w:lang w:val="en-US"/>
        </w:rPr>
        <w:t>Date visibly started to engage with maritime security (e.g. first document that refers to it):</w:t>
      </w:r>
    </w:p>
    <w:p w14:paraId="769F428A" w14:textId="7A7E6F9C" w:rsidR="00EB2AFE" w:rsidRPr="00BA7692" w:rsidRDefault="00EB2AFE" w:rsidP="00EB2AFE">
      <w:pPr>
        <w:rPr>
          <w:lang w:val="en-US"/>
        </w:rPr>
      </w:pPr>
      <w:r>
        <w:rPr>
          <w:lang w:val="en-US"/>
        </w:rPr>
        <w:t>Explicitly focused on maritime security as a theme in 201</w:t>
      </w:r>
      <w:r w:rsidR="00393A64">
        <w:rPr>
          <w:lang w:val="en-US"/>
        </w:rPr>
        <w:t xml:space="preserve">9. ‘discussing </w:t>
      </w:r>
      <w:r w:rsidR="00393A64" w:rsidRPr="00393A64">
        <w:rPr>
          <w:lang w:val="en-US"/>
        </w:rPr>
        <w:t>measures to strengthen maritime security capabilities in a coordinated manner and to build trust among them</w:t>
      </w:r>
      <w:r w:rsidR="00393A64">
        <w:rPr>
          <w:lang w:val="en-US"/>
        </w:rPr>
        <w:t xml:space="preserve">’. </w:t>
      </w:r>
    </w:p>
    <w:p w14:paraId="56C89048" w14:textId="77777777" w:rsidR="00EB2AFE" w:rsidRPr="00BA7692" w:rsidRDefault="00EB2AFE" w:rsidP="00EB2AFE">
      <w:pPr>
        <w:pStyle w:val="ListParagraph"/>
        <w:numPr>
          <w:ilvl w:val="0"/>
          <w:numId w:val="1"/>
        </w:numPr>
        <w:rPr>
          <w:b/>
          <w:bCs/>
          <w:lang w:val="en-US"/>
        </w:rPr>
      </w:pPr>
      <w:r w:rsidRPr="00BA7692">
        <w:rPr>
          <w:b/>
          <w:bCs/>
          <w:lang w:val="en-US"/>
        </w:rPr>
        <w:t xml:space="preserve">Brief History and Description: </w:t>
      </w:r>
    </w:p>
    <w:p w14:paraId="67540693" w14:textId="27228F68" w:rsidR="00EB2AFE" w:rsidRDefault="00EB2AFE" w:rsidP="00EB2AFE">
      <w:pPr>
        <w:rPr>
          <w:lang w:val="en-US"/>
        </w:rPr>
      </w:pPr>
      <w:r w:rsidRPr="00A37E5E">
        <w:rPr>
          <w:lang w:val="en-US"/>
        </w:rPr>
        <w:t xml:space="preserve">The establishment of the ARF </w:t>
      </w:r>
      <w:r w:rsidR="0079188C">
        <w:rPr>
          <w:lang w:val="en-US"/>
        </w:rPr>
        <w:t>Defence Officials’ Dialogue</w:t>
      </w:r>
      <w:r>
        <w:rPr>
          <w:lang w:val="en-US"/>
        </w:rPr>
        <w:t xml:space="preserve"> was in </w:t>
      </w:r>
      <w:r w:rsidR="0079188C">
        <w:rPr>
          <w:lang w:val="en-US"/>
        </w:rPr>
        <w:t>2012, though engagement between defence officials began prior.</w:t>
      </w:r>
      <w:r w:rsidR="00566FA6">
        <w:rPr>
          <w:lang w:val="en-US"/>
        </w:rPr>
        <w:t xml:space="preserve"> In 1997 it took the form of a luncheon for defence officials.</w:t>
      </w:r>
      <w:r>
        <w:rPr>
          <w:lang w:val="en-US"/>
        </w:rPr>
        <w:t xml:space="preserve"> </w:t>
      </w:r>
      <w:r w:rsidR="00566FA6">
        <w:rPr>
          <w:lang w:val="en-US"/>
        </w:rPr>
        <w:t>In 1999 at the Senior Officials’ Meeting (SOM) it was agreed that defence officials should participate, and another luncheon was held in 2001. In 2002 the first formal meeting took place. It allows the exchange of views on regional security issues and proposes measures to increase effectiveness of regional cooperation.</w:t>
      </w:r>
    </w:p>
    <w:p w14:paraId="1D8D2F3D" w14:textId="77777777" w:rsidR="00EB2AFE" w:rsidRPr="00FD6E2D" w:rsidRDefault="00EB2AFE" w:rsidP="00EB2AFE">
      <w:pPr>
        <w:pStyle w:val="ListParagraph"/>
        <w:numPr>
          <w:ilvl w:val="0"/>
          <w:numId w:val="1"/>
        </w:numPr>
        <w:rPr>
          <w:b/>
          <w:bCs/>
          <w:lang w:val="en-US"/>
        </w:rPr>
      </w:pPr>
      <w:r w:rsidRPr="00FD6E2D">
        <w:rPr>
          <w:b/>
          <w:bCs/>
          <w:lang w:val="en-US"/>
        </w:rPr>
        <w:t xml:space="preserve">Maritime Security Issues Covered: </w:t>
      </w:r>
    </w:p>
    <w:p w14:paraId="4C59F7F9" w14:textId="600A3A42" w:rsidR="00EB2AFE" w:rsidRDefault="00393A64" w:rsidP="00EB2AFE">
      <w:pPr>
        <w:rPr>
          <w:lang w:val="en-US"/>
        </w:rPr>
      </w:pPr>
      <w:r w:rsidRPr="00393A64">
        <w:rPr>
          <w:highlight w:val="yellow"/>
          <w:lang w:val="en-US"/>
        </w:rPr>
        <w:lastRenderedPageBreak/>
        <w:t>GAP</w:t>
      </w:r>
    </w:p>
    <w:p w14:paraId="328AE9DE" w14:textId="3C643735" w:rsidR="00EB2AFE" w:rsidRDefault="00EB2AFE" w:rsidP="00EB2AFE">
      <w:pPr>
        <w:pStyle w:val="ListParagraph"/>
        <w:numPr>
          <w:ilvl w:val="0"/>
          <w:numId w:val="1"/>
        </w:numPr>
        <w:rPr>
          <w:b/>
          <w:bCs/>
          <w:lang w:val="en-US"/>
        </w:rPr>
      </w:pPr>
      <w:r w:rsidRPr="00E075CA">
        <w:rPr>
          <w:b/>
          <w:bCs/>
          <w:lang w:val="en-US"/>
        </w:rPr>
        <w:t xml:space="preserve">Noteworthy documents and strategies: </w:t>
      </w:r>
    </w:p>
    <w:p w14:paraId="6BA6D24E" w14:textId="4F63C655" w:rsidR="00393A64" w:rsidRPr="00393A64" w:rsidRDefault="00393A64" w:rsidP="00393A64">
      <w:pPr>
        <w:rPr>
          <w:lang w:val="en-US"/>
        </w:rPr>
      </w:pPr>
      <w:r w:rsidRPr="00393A64">
        <w:rPr>
          <w:highlight w:val="yellow"/>
          <w:lang w:val="en-US"/>
        </w:rPr>
        <w:t>GAP</w:t>
      </w:r>
    </w:p>
    <w:p w14:paraId="0E5BFDA9" w14:textId="77777777" w:rsidR="00EB2AFE" w:rsidRPr="00E075CA" w:rsidRDefault="00EB2AFE" w:rsidP="00EB2AFE">
      <w:pPr>
        <w:pStyle w:val="ListParagraph"/>
        <w:numPr>
          <w:ilvl w:val="0"/>
          <w:numId w:val="1"/>
        </w:numPr>
        <w:rPr>
          <w:b/>
          <w:bCs/>
          <w:lang w:val="en-US"/>
        </w:rPr>
      </w:pPr>
      <w:r w:rsidRPr="00E075CA">
        <w:rPr>
          <w:b/>
          <w:bCs/>
          <w:lang w:val="en-US"/>
        </w:rPr>
        <w:t xml:space="preserve">Intensity: </w:t>
      </w:r>
    </w:p>
    <w:p w14:paraId="7A1EF616" w14:textId="6ADCDA7B" w:rsidR="00EB2AFE" w:rsidRPr="00E075CA" w:rsidRDefault="00566FA6" w:rsidP="00EB2AFE">
      <w:pPr>
        <w:rPr>
          <w:lang w:val="en-US"/>
        </w:rPr>
      </w:pPr>
      <w:r>
        <w:rPr>
          <w:lang w:val="en-US"/>
        </w:rPr>
        <w:t>Around 3 meetings per year</w:t>
      </w:r>
    </w:p>
    <w:p w14:paraId="10D3A4F4" w14:textId="77777777" w:rsidR="00EB2AFE" w:rsidRDefault="00EB2AFE" w:rsidP="00EB2AFE">
      <w:pPr>
        <w:pStyle w:val="ListParagraph"/>
        <w:numPr>
          <w:ilvl w:val="0"/>
          <w:numId w:val="1"/>
        </w:numPr>
        <w:rPr>
          <w:b/>
          <w:bCs/>
          <w:lang w:val="en-US"/>
        </w:rPr>
      </w:pPr>
      <w:r w:rsidRPr="004F5AEB">
        <w:rPr>
          <w:b/>
          <w:bCs/>
          <w:lang w:val="en-US"/>
        </w:rPr>
        <w:t xml:space="preserve">Ongoing projects and activities: </w:t>
      </w:r>
    </w:p>
    <w:p w14:paraId="226BDAF7" w14:textId="77777777" w:rsidR="00EB2AFE" w:rsidRPr="000038FC" w:rsidRDefault="00EB2AFE" w:rsidP="00EB2AFE">
      <w:pPr>
        <w:rPr>
          <w:lang w:val="en-US"/>
        </w:rPr>
      </w:pPr>
      <w:r w:rsidRPr="000038FC">
        <w:rPr>
          <w:highlight w:val="yellow"/>
          <w:lang w:val="en-US"/>
        </w:rPr>
        <w:t>Unclear</w:t>
      </w:r>
    </w:p>
    <w:p w14:paraId="1EBC03A9" w14:textId="77777777" w:rsidR="00EB2AFE" w:rsidRPr="00852B08" w:rsidRDefault="00EB2AFE" w:rsidP="00EB2AFE">
      <w:pPr>
        <w:pStyle w:val="ListParagraph"/>
        <w:numPr>
          <w:ilvl w:val="0"/>
          <w:numId w:val="1"/>
        </w:numPr>
        <w:rPr>
          <w:b/>
          <w:bCs/>
          <w:lang w:val="en-US"/>
        </w:rPr>
      </w:pPr>
      <w:r w:rsidRPr="00852B08">
        <w:rPr>
          <w:b/>
          <w:bCs/>
          <w:lang w:val="en-US"/>
        </w:rPr>
        <w:t xml:space="preserve">Funding structure: </w:t>
      </w:r>
    </w:p>
    <w:p w14:paraId="2DE51A46" w14:textId="77777777" w:rsidR="00EB2AFE" w:rsidRPr="00852B08" w:rsidRDefault="00EB2AFE" w:rsidP="00EB2AFE">
      <w:pPr>
        <w:rPr>
          <w:lang w:val="en-US"/>
        </w:rPr>
      </w:pPr>
      <w:r w:rsidRPr="0012108F">
        <w:rPr>
          <w:highlight w:val="yellow"/>
          <w:lang w:val="en-US"/>
        </w:rPr>
        <w:t>Unclear</w:t>
      </w:r>
    </w:p>
    <w:p w14:paraId="492DCBE4" w14:textId="77777777" w:rsidR="00EB2AFE" w:rsidRPr="00AC599E" w:rsidRDefault="00EB2AFE" w:rsidP="00EB2AFE">
      <w:pPr>
        <w:pStyle w:val="ListParagraph"/>
        <w:numPr>
          <w:ilvl w:val="0"/>
          <w:numId w:val="1"/>
        </w:numPr>
        <w:rPr>
          <w:b/>
          <w:bCs/>
          <w:lang w:val="en-US"/>
        </w:rPr>
      </w:pPr>
      <w:r w:rsidRPr="00AC599E">
        <w:rPr>
          <w:b/>
          <w:bCs/>
          <w:lang w:val="en-US"/>
        </w:rPr>
        <w:t>Challenges</w:t>
      </w:r>
      <w:r>
        <w:rPr>
          <w:b/>
          <w:bCs/>
          <w:lang w:val="en-US"/>
        </w:rPr>
        <w:t>:</w:t>
      </w:r>
    </w:p>
    <w:p w14:paraId="7CF3C935" w14:textId="77777777" w:rsidR="00EB2AFE" w:rsidRPr="00852B08" w:rsidRDefault="00EB2AFE" w:rsidP="00EB2AFE">
      <w:pPr>
        <w:rPr>
          <w:lang w:val="en-US"/>
        </w:rPr>
      </w:pPr>
      <w:r>
        <w:rPr>
          <w:lang w:val="en-US"/>
        </w:rPr>
        <w:t xml:space="preserve">As it takes place within the ASEAN structure, an ongoing challenge is its perception as a talking shop, tied into broader regional limits </w:t>
      </w:r>
      <w:r w:rsidRPr="00852B08">
        <w:rPr>
          <w:lang w:val="en-US"/>
        </w:rPr>
        <w:t xml:space="preserve">to cooperation. </w:t>
      </w:r>
    </w:p>
    <w:p w14:paraId="2F7AFF39" w14:textId="77777777" w:rsidR="00EB2AFE" w:rsidRDefault="00EB2AFE" w:rsidP="00EB2AFE">
      <w:pPr>
        <w:pStyle w:val="ListParagraph"/>
        <w:numPr>
          <w:ilvl w:val="0"/>
          <w:numId w:val="1"/>
        </w:numPr>
        <w:rPr>
          <w:b/>
          <w:bCs/>
          <w:lang w:val="en-US"/>
        </w:rPr>
      </w:pPr>
      <w:r w:rsidRPr="00AD48DF">
        <w:rPr>
          <w:b/>
          <w:bCs/>
          <w:lang w:val="en-US"/>
        </w:rPr>
        <w:t xml:space="preserve">Cooperation or link with other arrangements: </w:t>
      </w:r>
    </w:p>
    <w:p w14:paraId="1C9E090C" w14:textId="77777777" w:rsidR="00EB2AFE" w:rsidRDefault="00EB2AFE" w:rsidP="00EB2AFE">
      <w:pPr>
        <w:rPr>
          <w:lang w:val="en-US"/>
        </w:rPr>
      </w:pPr>
      <w:r>
        <w:rPr>
          <w:lang w:val="en-US"/>
        </w:rPr>
        <w:t>ARF ISM on Maritime Security</w:t>
      </w:r>
    </w:p>
    <w:p w14:paraId="75CDD4F1" w14:textId="77777777" w:rsidR="00EB2AFE" w:rsidRDefault="00EB2AFE" w:rsidP="00EB2AFE">
      <w:pPr>
        <w:rPr>
          <w:lang w:val="en-US"/>
        </w:rPr>
      </w:pPr>
      <w:r>
        <w:rPr>
          <w:lang w:val="en-US"/>
        </w:rPr>
        <w:t>ADMM+</w:t>
      </w:r>
    </w:p>
    <w:p w14:paraId="6E757F51" w14:textId="77777777" w:rsidR="00EB2AFE" w:rsidRPr="0035608A" w:rsidRDefault="00EB2AFE" w:rsidP="00EB2AFE">
      <w:pPr>
        <w:pStyle w:val="ListParagraph"/>
        <w:numPr>
          <w:ilvl w:val="0"/>
          <w:numId w:val="1"/>
        </w:numPr>
        <w:rPr>
          <w:b/>
          <w:bCs/>
          <w:lang w:val="en-US"/>
        </w:rPr>
      </w:pPr>
      <w:r w:rsidRPr="0035608A">
        <w:rPr>
          <w:b/>
          <w:bCs/>
          <w:lang w:val="en-US"/>
        </w:rPr>
        <w:t xml:space="preserve">Institutional contacts: </w:t>
      </w:r>
    </w:p>
    <w:p w14:paraId="2CA24581" w14:textId="77777777" w:rsidR="00EB2AFE" w:rsidRPr="0035608A" w:rsidRDefault="00EB2AFE" w:rsidP="00EB2AFE">
      <w:pPr>
        <w:rPr>
          <w:lang w:val="en-US"/>
        </w:rPr>
      </w:pPr>
      <w:r w:rsidRPr="0035608A">
        <w:rPr>
          <w:lang w:val="en-US"/>
        </w:rPr>
        <w:t>N/A</w:t>
      </w:r>
    </w:p>
    <w:p w14:paraId="173312C7" w14:textId="5C27A008" w:rsidR="00566FA6" w:rsidRDefault="00EB2AFE" w:rsidP="00566FA6">
      <w:pPr>
        <w:pStyle w:val="ListParagraph"/>
        <w:numPr>
          <w:ilvl w:val="0"/>
          <w:numId w:val="1"/>
        </w:numPr>
        <w:rPr>
          <w:lang w:val="en-US"/>
        </w:rPr>
      </w:pPr>
      <w:r w:rsidRPr="009528A9">
        <w:rPr>
          <w:b/>
          <w:bCs/>
          <w:lang w:val="en-US"/>
        </w:rPr>
        <w:t>Noteworthy literature</w:t>
      </w:r>
      <w:r>
        <w:rPr>
          <w:lang w:val="en-US"/>
        </w:rPr>
        <w:t xml:space="preserve">: </w:t>
      </w:r>
    </w:p>
    <w:p w14:paraId="7733476B" w14:textId="0C723320" w:rsidR="00566FA6" w:rsidRPr="00566FA6" w:rsidRDefault="00566FA6" w:rsidP="00566FA6">
      <w:pPr>
        <w:rPr>
          <w:lang w:val="en-US"/>
        </w:rPr>
      </w:pPr>
      <w:r>
        <w:rPr>
          <w:lang w:val="en-US"/>
        </w:rPr>
        <w:t>Tan, S. S. Defence and Security Cooperation in East Asia: Whither ASEAN Centrality?</w:t>
      </w:r>
    </w:p>
    <w:p w14:paraId="1061A9ED" w14:textId="70E651D8" w:rsidR="00EB2AFE" w:rsidRPr="0022372E" w:rsidRDefault="00EB2AFE" w:rsidP="00EB2AFE">
      <w:pPr>
        <w:pStyle w:val="ListParagraph"/>
        <w:numPr>
          <w:ilvl w:val="0"/>
          <w:numId w:val="1"/>
        </w:numPr>
      </w:pPr>
      <w:r w:rsidRPr="001E79DE">
        <w:rPr>
          <w:b/>
          <w:bCs/>
          <w:lang w:val="en-US"/>
        </w:rPr>
        <w:t>Knowledge gaps to follow up on:</w:t>
      </w:r>
      <w:r w:rsidR="000E68BE">
        <w:rPr>
          <w:b/>
          <w:bCs/>
          <w:lang w:val="en-US"/>
        </w:rPr>
        <w:t xml:space="preserve"> </w:t>
      </w:r>
      <w:r w:rsidRPr="001E79DE">
        <w:rPr>
          <w:b/>
          <w:bCs/>
          <w:lang w:val="en-US"/>
        </w:rPr>
        <w:t xml:space="preserve"> </w:t>
      </w:r>
      <w:bookmarkEnd w:id="0"/>
    </w:p>
    <w:p w14:paraId="0E1D1157" w14:textId="77777777" w:rsidR="00445F40" w:rsidRDefault="00445F40"/>
    <w:sectPr w:rsidR="00445F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25538"/>
    <w:multiLevelType w:val="hybridMultilevel"/>
    <w:tmpl w:val="60CCD9E4"/>
    <w:lvl w:ilvl="0" w:tplc="2000000F">
      <w:start w:val="1"/>
      <w:numFmt w:val="decimal"/>
      <w:lvlText w:val="%1."/>
      <w:lvlJc w:val="left"/>
      <w:pPr>
        <w:ind w:left="36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16cid:durableId="9323249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AFE"/>
    <w:rsid w:val="000E68BE"/>
    <w:rsid w:val="00393A64"/>
    <w:rsid w:val="003E23B5"/>
    <w:rsid w:val="00445F40"/>
    <w:rsid w:val="005512F0"/>
    <w:rsid w:val="00566FA6"/>
    <w:rsid w:val="0079188C"/>
    <w:rsid w:val="00AC3851"/>
    <w:rsid w:val="00C21FEA"/>
    <w:rsid w:val="00EB2AFE"/>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AF74B"/>
  <w15:chartTrackingRefBased/>
  <w15:docId w15:val="{9436DAA7-F831-4729-BD57-664DC8398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AF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AFE"/>
    <w:pPr>
      <w:ind w:left="720"/>
      <w:contextualSpacing/>
    </w:pPr>
    <w:rPr>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911</TotalTime>
  <Pages>2</Pages>
  <Words>468</Words>
  <Characters>2668</Characters>
  <Application>Microsoft Office Word</Application>
  <DocSecurity>0</DocSecurity>
  <Lines>22</Lines>
  <Paragraphs>6</Paragraphs>
  <ScaleCrop>false</ScaleCrop>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Timothy Edmunds</cp:lastModifiedBy>
  <cp:revision>9</cp:revision>
  <dcterms:created xsi:type="dcterms:W3CDTF">2022-07-08T18:48:00Z</dcterms:created>
  <dcterms:modified xsi:type="dcterms:W3CDTF">2024-01-26T10:34:00Z</dcterms:modified>
</cp:coreProperties>
</file>