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586CC" w14:textId="1AB84E4B" w:rsidR="00E62774" w:rsidRPr="0023078D" w:rsidRDefault="00E62774" w:rsidP="003648A1">
      <w:pPr>
        <w:rPr>
          <w:rFonts w:eastAsia="Times New Roman"/>
          <w:b/>
          <w:bCs/>
          <w:color w:val="000000"/>
          <w:u w:val="single"/>
        </w:rPr>
      </w:pPr>
      <w:r w:rsidRPr="0023078D">
        <w:rPr>
          <w:rFonts w:eastAsia="Times New Roman"/>
          <w:b/>
          <w:bCs/>
          <w:color w:val="000000"/>
          <w:u w:val="single"/>
        </w:rPr>
        <w:t>Read me</w:t>
      </w:r>
    </w:p>
    <w:p w14:paraId="398137EC" w14:textId="77777777" w:rsidR="00E62774" w:rsidRPr="0023078D" w:rsidRDefault="00E62774" w:rsidP="00E62774">
      <w:pPr>
        <w:jc w:val="both"/>
        <w:rPr>
          <w:rFonts w:eastAsia="Times New Roman"/>
          <w:color w:val="000000"/>
        </w:rPr>
      </w:pPr>
    </w:p>
    <w:p w14:paraId="2D4B1D4C" w14:textId="77777777" w:rsidR="00E62774" w:rsidRPr="0023078D" w:rsidRDefault="00E62774" w:rsidP="00E62774">
      <w:pPr>
        <w:jc w:val="both"/>
        <w:rPr>
          <w:rFonts w:eastAsia="Times New Roman"/>
          <w:color w:val="000000"/>
        </w:rPr>
      </w:pPr>
      <w:r w:rsidRPr="0023078D">
        <w:rPr>
          <w:rFonts w:eastAsia="Times New Roman"/>
          <w:color w:val="000000"/>
        </w:rPr>
        <w:t>We appreciate your interest in our data set. Please read this file to navigate more easily through the contents of this data set.</w:t>
      </w:r>
    </w:p>
    <w:p w14:paraId="54504CC7" w14:textId="77777777" w:rsidR="008A75C2" w:rsidRPr="0023078D" w:rsidRDefault="008A75C2" w:rsidP="00801D8E">
      <w:pPr>
        <w:jc w:val="both"/>
        <w:rPr>
          <w:rFonts w:eastAsia="Times New Roman"/>
          <w:color w:val="000000"/>
        </w:rPr>
      </w:pPr>
    </w:p>
    <w:p w14:paraId="49CB6113" w14:textId="1305C2CF" w:rsidR="00077F96" w:rsidRDefault="008A75C2" w:rsidP="00801D8E">
      <w:pPr>
        <w:jc w:val="both"/>
        <w:rPr>
          <w:rFonts w:eastAsia="Times New Roman"/>
          <w:color w:val="000000"/>
          <w:u w:val="single"/>
        </w:rPr>
      </w:pPr>
      <w:r w:rsidRPr="0023078D">
        <w:rPr>
          <w:rFonts w:eastAsia="Times New Roman"/>
          <w:color w:val="000000"/>
          <w:u w:val="single"/>
        </w:rPr>
        <w:t>Folder Content and Description:</w:t>
      </w:r>
    </w:p>
    <w:p w14:paraId="1E57DF6C" w14:textId="77777777" w:rsidR="00A503DC" w:rsidRDefault="00A503DC" w:rsidP="00801D8E">
      <w:pPr>
        <w:jc w:val="both"/>
        <w:rPr>
          <w:rFonts w:eastAsia="Times New Roman"/>
          <w:color w:val="000000"/>
          <w:u w:val="single"/>
        </w:rPr>
      </w:pPr>
    </w:p>
    <w:tbl>
      <w:tblPr>
        <w:tblStyle w:val="TableGrid"/>
        <w:tblW w:w="9214" w:type="dxa"/>
        <w:tblInd w:w="-5" w:type="dxa"/>
        <w:tblLook w:val="04A0" w:firstRow="1" w:lastRow="0" w:firstColumn="1" w:lastColumn="0" w:noHBand="0" w:noVBand="1"/>
      </w:tblPr>
      <w:tblGrid>
        <w:gridCol w:w="1786"/>
        <w:gridCol w:w="1830"/>
        <w:gridCol w:w="5598"/>
      </w:tblGrid>
      <w:tr w:rsidR="009F37B5" w:rsidRPr="00B208FD" w14:paraId="211D4C12" w14:textId="77777777" w:rsidTr="003648A1">
        <w:tc>
          <w:tcPr>
            <w:tcW w:w="1786" w:type="dxa"/>
          </w:tcPr>
          <w:p w14:paraId="6220A5B1" w14:textId="7E694A88" w:rsidR="00B208FD" w:rsidRPr="00B208FD" w:rsidRDefault="00B208FD" w:rsidP="00A503DC">
            <w:pPr>
              <w:jc w:val="both"/>
              <w:rPr>
                <w:rFonts w:eastAsia="Times New Roman"/>
                <w:color w:val="000000"/>
                <w:sz w:val="20"/>
                <w:szCs w:val="20"/>
              </w:rPr>
            </w:pPr>
            <w:r w:rsidRPr="00B208FD">
              <w:rPr>
                <w:rFonts w:eastAsia="Times New Roman"/>
                <w:color w:val="000000"/>
                <w:sz w:val="20"/>
                <w:szCs w:val="20"/>
              </w:rPr>
              <w:t>Folder name</w:t>
            </w:r>
          </w:p>
        </w:tc>
        <w:tc>
          <w:tcPr>
            <w:tcW w:w="1830" w:type="dxa"/>
          </w:tcPr>
          <w:p w14:paraId="128E12AF" w14:textId="06DDD92B" w:rsidR="00B208FD" w:rsidRPr="00B208FD" w:rsidRDefault="00B208FD" w:rsidP="00A503DC">
            <w:pPr>
              <w:jc w:val="both"/>
              <w:rPr>
                <w:rFonts w:eastAsia="Times New Roman"/>
                <w:color w:val="000000"/>
                <w:sz w:val="20"/>
                <w:szCs w:val="20"/>
              </w:rPr>
            </w:pPr>
            <w:r w:rsidRPr="00B208FD">
              <w:rPr>
                <w:rFonts w:eastAsia="Times New Roman"/>
                <w:color w:val="000000"/>
                <w:sz w:val="20"/>
                <w:szCs w:val="20"/>
              </w:rPr>
              <w:t>Sub-folder name</w:t>
            </w:r>
          </w:p>
        </w:tc>
        <w:tc>
          <w:tcPr>
            <w:tcW w:w="5598" w:type="dxa"/>
          </w:tcPr>
          <w:p w14:paraId="30EECB5A" w14:textId="084DA9F8" w:rsidR="00B208FD" w:rsidRPr="00B208FD" w:rsidRDefault="00B208FD" w:rsidP="00A503DC">
            <w:pPr>
              <w:jc w:val="both"/>
              <w:rPr>
                <w:rFonts w:eastAsia="Times New Roman"/>
                <w:color w:val="000000"/>
                <w:sz w:val="20"/>
                <w:szCs w:val="20"/>
              </w:rPr>
            </w:pPr>
            <w:r w:rsidRPr="00B208FD">
              <w:rPr>
                <w:rFonts w:eastAsia="Times New Roman"/>
                <w:color w:val="000000"/>
                <w:sz w:val="20"/>
                <w:szCs w:val="20"/>
              </w:rPr>
              <w:t>File Name and Description</w:t>
            </w:r>
          </w:p>
        </w:tc>
      </w:tr>
      <w:tr w:rsidR="009F37B5" w:rsidRPr="00B208FD" w14:paraId="363FA961" w14:textId="77777777" w:rsidTr="003648A1">
        <w:trPr>
          <w:trHeight w:val="1158"/>
        </w:trPr>
        <w:tc>
          <w:tcPr>
            <w:tcW w:w="1786" w:type="dxa"/>
          </w:tcPr>
          <w:p w14:paraId="7BFC15CB" w14:textId="467F74B3" w:rsidR="00B208FD" w:rsidRPr="00B208FD" w:rsidRDefault="00B208FD" w:rsidP="00C80590">
            <w:pPr>
              <w:jc w:val="both"/>
              <w:rPr>
                <w:rFonts w:eastAsia="Times New Roman"/>
                <w:color w:val="000000"/>
                <w:sz w:val="20"/>
                <w:szCs w:val="20"/>
              </w:rPr>
            </w:pPr>
            <w:r w:rsidRPr="00B208FD">
              <w:rPr>
                <w:rFonts w:eastAsia="Times New Roman"/>
                <w:color w:val="000000"/>
                <w:sz w:val="20"/>
                <w:szCs w:val="20"/>
              </w:rPr>
              <w:t>None</w:t>
            </w:r>
          </w:p>
        </w:tc>
        <w:tc>
          <w:tcPr>
            <w:tcW w:w="1830" w:type="dxa"/>
          </w:tcPr>
          <w:p w14:paraId="09C84927" w14:textId="5A6B4B1B" w:rsidR="00B208FD" w:rsidRPr="00B208FD" w:rsidRDefault="00B208FD" w:rsidP="00C80590">
            <w:pPr>
              <w:jc w:val="both"/>
              <w:rPr>
                <w:rFonts w:eastAsia="Times New Roman"/>
                <w:color w:val="000000"/>
                <w:sz w:val="20"/>
                <w:szCs w:val="20"/>
              </w:rPr>
            </w:pPr>
            <w:r w:rsidRPr="00B208FD">
              <w:rPr>
                <w:rFonts w:eastAsia="Times New Roman"/>
                <w:color w:val="000000"/>
                <w:sz w:val="20"/>
                <w:szCs w:val="20"/>
              </w:rPr>
              <w:t>None</w:t>
            </w:r>
          </w:p>
        </w:tc>
        <w:tc>
          <w:tcPr>
            <w:tcW w:w="5598" w:type="dxa"/>
          </w:tcPr>
          <w:p w14:paraId="7C0A2C35" w14:textId="77777777" w:rsidR="00B208FD" w:rsidRPr="005D49A8" w:rsidRDefault="00B208FD" w:rsidP="00C80590">
            <w:pPr>
              <w:jc w:val="both"/>
              <w:rPr>
                <w:rFonts w:eastAsia="Times New Roman"/>
                <w:i/>
                <w:iCs/>
                <w:color w:val="000000"/>
                <w:sz w:val="20"/>
                <w:szCs w:val="20"/>
              </w:rPr>
            </w:pPr>
            <w:r w:rsidRPr="005D49A8">
              <w:rPr>
                <w:rFonts w:eastAsia="Times New Roman"/>
                <w:i/>
                <w:iCs/>
                <w:color w:val="000000"/>
                <w:sz w:val="20"/>
                <w:szCs w:val="20"/>
              </w:rPr>
              <w:t>‘_Read me_.docx’</w:t>
            </w:r>
          </w:p>
          <w:p w14:paraId="47155D64" w14:textId="77777777" w:rsidR="00B208FD" w:rsidRPr="00B208FD" w:rsidRDefault="00B208FD" w:rsidP="00C80590">
            <w:pPr>
              <w:jc w:val="both"/>
              <w:rPr>
                <w:rFonts w:eastAsia="Times New Roman"/>
                <w:color w:val="000000"/>
                <w:sz w:val="20"/>
                <w:szCs w:val="20"/>
              </w:rPr>
            </w:pPr>
          </w:p>
          <w:p w14:paraId="077A09F7" w14:textId="3B07615A" w:rsidR="00B208FD" w:rsidRPr="00B208FD" w:rsidRDefault="00B208FD" w:rsidP="00C80590">
            <w:pPr>
              <w:jc w:val="both"/>
              <w:rPr>
                <w:rFonts w:eastAsia="Times New Roman"/>
                <w:color w:val="000000"/>
                <w:sz w:val="20"/>
                <w:szCs w:val="20"/>
              </w:rPr>
            </w:pPr>
            <w:r w:rsidRPr="00B208FD">
              <w:rPr>
                <w:rFonts w:eastAsia="Times New Roman"/>
                <w:color w:val="000000"/>
                <w:sz w:val="20"/>
                <w:szCs w:val="20"/>
              </w:rPr>
              <w:t>The present document includes instructions on how to navigate through the data</w:t>
            </w:r>
            <w:r w:rsidR="00A07C57">
              <w:rPr>
                <w:rFonts w:eastAsia="Times New Roman"/>
                <w:color w:val="000000"/>
                <w:sz w:val="20"/>
                <w:szCs w:val="20"/>
              </w:rPr>
              <w:t xml:space="preserve"> set</w:t>
            </w:r>
            <w:r w:rsidRPr="00B208FD">
              <w:rPr>
                <w:rFonts w:eastAsia="Times New Roman"/>
                <w:color w:val="000000"/>
                <w:sz w:val="20"/>
                <w:szCs w:val="20"/>
              </w:rPr>
              <w:t>.</w:t>
            </w:r>
          </w:p>
        </w:tc>
      </w:tr>
      <w:tr w:rsidR="009F37B5" w:rsidRPr="00B208FD" w14:paraId="51348E23" w14:textId="77777777" w:rsidTr="00A07C57">
        <w:trPr>
          <w:trHeight w:val="849"/>
        </w:trPr>
        <w:tc>
          <w:tcPr>
            <w:tcW w:w="1786" w:type="dxa"/>
            <w:vMerge w:val="restart"/>
          </w:tcPr>
          <w:p w14:paraId="4351C202" w14:textId="4B39333A" w:rsidR="00B208FD" w:rsidRPr="00B208FD" w:rsidRDefault="00B208FD" w:rsidP="00C80590">
            <w:pPr>
              <w:jc w:val="both"/>
              <w:rPr>
                <w:rFonts w:eastAsia="Times New Roman"/>
                <w:color w:val="000000"/>
                <w:sz w:val="20"/>
                <w:szCs w:val="20"/>
              </w:rPr>
            </w:pPr>
            <w:r w:rsidRPr="00B208FD">
              <w:rPr>
                <w:rFonts w:eastAsia="Times New Roman"/>
                <w:color w:val="000000"/>
                <w:sz w:val="20"/>
                <w:szCs w:val="20"/>
              </w:rPr>
              <w:t>‘1_Documentation’</w:t>
            </w:r>
          </w:p>
        </w:tc>
        <w:tc>
          <w:tcPr>
            <w:tcW w:w="1830" w:type="dxa"/>
          </w:tcPr>
          <w:p w14:paraId="5865E76F" w14:textId="1990AB8B" w:rsidR="00B208FD" w:rsidRPr="00B208FD" w:rsidRDefault="00B208FD" w:rsidP="00C80590">
            <w:pPr>
              <w:jc w:val="both"/>
              <w:rPr>
                <w:rFonts w:eastAsia="Times New Roman"/>
                <w:color w:val="000000"/>
                <w:sz w:val="20"/>
                <w:szCs w:val="20"/>
              </w:rPr>
            </w:pPr>
            <w:r w:rsidRPr="00B208FD">
              <w:rPr>
                <w:rFonts w:eastAsia="Times New Roman"/>
                <w:color w:val="000000"/>
                <w:sz w:val="20"/>
                <w:szCs w:val="20"/>
              </w:rPr>
              <w:t>‘1.1_Survey’</w:t>
            </w:r>
          </w:p>
        </w:tc>
        <w:tc>
          <w:tcPr>
            <w:tcW w:w="5598" w:type="dxa"/>
          </w:tcPr>
          <w:p w14:paraId="65084756" w14:textId="14DA748D" w:rsidR="00B208FD" w:rsidRPr="005D49A8" w:rsidRDefault="00B208FD" w:rsidP="00C80590">
            <w:pPr>
              <w:jc w:val="both"/>
              <w:rPr>
                <w:rFonts w:eastAsia="Times New Roman"/>
                <w:i/>
                <w:iCs/>
                <w:color w:val="000000"/>
                <w:sz w:val="20"/>
                <w:szCs w:val="20"/>
              </w:rPr>
            </w:pPr>
            <w:r w:rsidRPr="005D49A8">
              <w:rPr>
                <w:rFonts w:eastAsia="Times New Roman"/>
                <w:i/>
                <w:iCs/>
                <w:color w:val="000000"/>
                <w:sz w:val="20"/>
                <w:szCs w:val="20"/>
              </w:rPr>
              <w:t>‘Survey_</w:t>
            </w:r>
            <w:r w:rsidR="00D050BA">
              <w:rPr>
                <w:rFonts w:eastAsia="Times New Roman"/>
                <w:i/>
                <w:iCs/>
                <w:color w:val="000000"/>
                <w:sz w:val="20"/>
                <w:szCs w:val="20"/>
              </w:rPr>
              <w:t>Q</w:t>
            </w:r>
            <w:r w:rsidRPr="005D49A8">
              <w:rPr>
                <w:rFonts w:eastAsia="Times New Roman"/>
                <w:i/>
                <w:iCs/>
                <w:color w:val="000000"/>
                <w:sz w:val="20"/>
                <w:szCs w:val="20"/>
              </w:rPr>
              <w:t>uestionnaire.pdf’</w:t>
            </w:r>
          </w:p>
          <w:p w14:paraId="33CBE0F7" w14:textId="77777777" w:rsidR="00B208FD" w:rsidRPr="00B208FD" w:rsidRDefault="00B208FD" w:rsidP="00C80590">
            <w:pPr>
              <w:jc w:val="both"/>
              <w:rPr>
                <w:rFonts w:eastAsia="Times New Roman"/>
                <w:color w:val="000000"/>
                <w:sz w:val="20"/>
                <w:szCs w:val="20"/>
              </w:rPr>
            </w:pPr>
          </w:p>
          <w:p w14:paraId="6EF8C1F9" w14:textId="77777777" w:rsidR="00B208FD" w:rsidRDefault="00B208FD" w:rsidP="00A07C57">
            <w:pPr>
              <w:jc w:val="both"/>
              <w:rPr>
                <w:rFonts w:eastAsia="Times New Roman"/>
                <w:color w:val="000000"/>
                <w:sz w:val="20"/>
                <w:szCs w:val="20"/>
              </w:rPr>
            </w:pPr>
            <w:r w:rsidRPr="00B208FD">
              <w:rPr>
                <w:rFonts w:eastAsia="Times New Roman"/>
                <w:color w:val="000000"/>
                <w:sz w:val="20"/>
                <w:szCs w:val="20"/>
              </w:rPr>
              <w:t xml:space="preserve">A copy of the questionnaire we used for the survey. </w:t>
            </w:r>
          </w:p>
          <w:p w14:paraId="0B1216F3" w14:textId="6A0BA3F1" w:rsidR="00A07C57" w:rsidRPr="00B208FD" w:rsidRDefault="00A07C57" w:rsidP="00A07C57">
            <w:pPr>
              <w:jc w:val="both"/>
              <w:rPr>
                <w:rFonts w:eastAsia="Times New Roman"/>
                <w:color w:val="000000"/>
                <w:sz w:val="20"/>
                <w:szCs w:val="20"/>
              </w:rPr>
            </w:pPr>
          </w:p>
        </w:tc>
      </w:tr>
      <w:tr w:rsidR="00EA5A6E" w:rsidRPr="00B208FD" w14:paraId="1A03FB32" w14:textId="77777777" w:rsidTr="003648A1">
        <w:trPr>
          <w:trHeight w:val="912"/>
        </w:trPr>
        <w:tc>
          <w:tcPr>
            <w:tcW w:w="1786" w:type="dxa"/>
            <w:vMerge/>
          </w:tcPr>
          <w:p w14:paraId="4ABA2D8B" w14:textId="77777777" w:rsidR="00B208FD" w:rsidRPr="00B208FD" w:rsidRDefault="00B208FD" w:rsidP="00C80590">
            <w:pPr>
              <w:jc w:val="both"/>
              <w:rPr>
                <w:rFonts w:eastAsia="Times New Roman"/>
                <w:color w:val="000000"/>
                <w:sz w:val="20"/>
                <w:szCs w:val="20"/>
              </w:rPr>
            </w:pPr>
          </w:p>
        </w:tc>
        <w:tc>
          <w:tcPr>
            <w:tcW w:w="1830" w:type="dxa"/>
            <w:vMerge w:val="restart"/>
          </w:tcPr>
          <w:p w14:paraId="27654D5E" w14:textId="2EC24052" w:rsidR="00B208FD" w:rsidRPr="00B208FD" w:rsidRDefault="00B208FD" w:rsidP="00C80590">
            <w:pPr>
              <w:rPr>
                <w:rFonts w:eastAsia="Times New Roman"/>
                <w:color w:val="000000"/>
                <w:sz w:val="20"/>
                <w:szCs w:val="20"/>
              </w:rPr>
            </w:pPr>
            <w:r w:rsidRPr="00B208FD">
              <w:rPr>
                <w:rFonts w:eastAsia="Times New Roman"/>
                <w:color w:val="000000"/>
                <w:sz w:val="20"/>
                <w:szCs w:val="20"/>
              </w:rPr>
              <w:t>‘1.2_Focus_</w:t>
            </w:r>
            <w:r w:rsidR="00D050BA">
              <w:rPr>
                <w:rFonts w:eastAsia="Times New Roman"/>
                <w:color w:val="000000"/>
                <w:sz w:val="20"/>
                <w:szCs w:val="20"/>
              </w:rPr>
              <w:t>G</w:t>
            </w:r>
            <w:r w:rsidRPr="00B208FD">
              <w:rPr>
                <w:rFonts w:eastAsia="Times New Roman"/>
                <w:color w:val="000000"/>
                <w:sz w:val="20"/>
                <w:szCs w:val="20"/>
              </w:rPr>
              <w:t>roups’</w:t>
            </w:r>
          </w:p>
        </w:tc>
        <w:tc>
          <w:tcPr>
            <w:tcW w:w="5598" w:type="dxa"/>
          </w:tcPr>
          <w:p w14:paraId="3482A5F8" w14:textId="5ADF44E3" w:rsidR="00B208FD" w:rsidRPr="005D49A8" w:rsidRDefault="00B208FD" w:rsidP="00C80590">
            <w:pPr>
              <w:jc w:val="both"/>
              <w:rPr>
                <w:rFonts w:eastAsia="Times New Roman"/>
                <w:i/>
                <w:iCs/>
                <w:color w:val="000000"/>
                <w:sz w:val="20"/>
                <w:szCs w:val="20"/>
              </w:rPr>
            </w:pPr>
            <w:r w:rsidRPr="005D49A8">
              <w:rPr>
                <w:rFonts w:eastAsia="Times New Roman"/>
                <w:i/>
                <w:iCs/>
                <w:color w:val="000000"/>
                <w:sz w:val="20"/>
                <w:szCs w:val="20"/>
              </w:rPr>
              <w:t>‘</w:t>
            </w:r>
            <w:r w:rsidR="00D050BA">
              <w:rPr>
                <w:rFonts w:eastAsia="Times New Roman"/>
                <w:i/>
                <w:iCs/>
                <w:color w:val="000000"/>
                <w:sz w:val="20"/>
                <w:szCs w:val="20"/>
              </w:rPr>
              <w:t>_</w:t>
            </w:r>
            <w:r w:rsidRPr="005D49A8">
              <w:rPr>
                <w:rFonts w:eastAsia="Times New Roman"/>
                <w:i/>
                <w:iCs/>
                <w:color w:val="000000"/>
                <w:sz w:val="20"/>
                <w:szCs w:val="20"/>
              </w:rPr>
              <w:t>Consent_</w:t>
            </w:r>
            <w:r w:rsidR="00D050BA">
              <w:rPr>
                <w:rFonts w:eastAsia="Times New Roman"/>
                <w:i/>
                <w:iCs/>
                <w:color w:val="000000"/>
                <w:sz w:val="20"/>
                <w:szCs w:val="20"/>
              </w:rPr>
              <w:t>F</w:t>
            </w:r>
            <w:r w:rsidRPr="005D49A8">
              <w:rPr>
                <w:rFonts w:eastAsia="Times New Roman"/>
                <w:i/>
                <w:iCs/>
                <w:color w:val="000000"/>
                <w:sz w:val="20"/>
                <w:szCs w:val="20"/>
              </w:rPr>
              <w:t>orm_</w:t>
            </w:r>
            <w:r w:rsidR="00D050BA">
              <w:rPr>
                <w:rFonts w:eastAsia="Times New Roman"/>
                <w:i/>
                <w:iCs/>
                <w:color w:val="000000"/>
                <w:sz w:val="20"/>
                <w:szCs w:val="20"/>
              </w:rPr>
              <w:t>F</w:t>
            </w:r>
            <w:r w:rsidRPr="005D49A8">
              <w:rPr>
                <w:rFonts w:eastAsia="Times New Roman"/>
                <w:i/>
                <w:iCs/>
                <w:color w:val="000000"/>
                <w:sz w:val="20"/>
                <w:szCs w:val="20"/>
              </w:rPr>
              <w:t>ocus_</w:t>
            </w:r>
            <w:r w:rsidR="00D050BA">
              <w:rPr>
                <w:rFonts w:eastAsia="Times New Roman"/>
                <w:i/>
                <w:iCs/>
                <w:color w:val="000000"/>
                <w:sz w:val="20"/>
                <w:szCs w:val="20"/>
              </w:rPr>
              <w:t>G</w:t>
            </w:r>
            <w:r w:rsidRPr="005D49A8">
              <w:rPr>
                <w:rFonts w:eastAsia="Times New Roman"/>
                <w:i/>
                <w:iCs/>
                <w:color w:val="000000"/>
                <w:sz w:val="20"/>
                <w:szCs w:val="20"/>
              </w:rPr>
              <w:t>roups.pdf’</w:t>
            </w:r>
          </w:p>
          <w:p w14:paraId="31662FAE" w14:textId="77777777" w:rsidR="00B208FD" w:rsidRPr="00B208FD" w:rsidRDefault="00B208FD" w:rsidP="00C80590">
            <w:pPr>
              <w:jc w:val="both"/>
              <w:rPr>
                <w:rFonts w:eastAsia="Times New Roman"/>
                <w:color w:val="000000"/>
                <w:sz w:val="20"/>
                <w:szCs w:val="20"/>
              </w:rPr>
            </w:pPr>
          </w:p>
          <w:p w14:paraId="52678FFC" w14:textId="3AD614D5" w:rsidR="00B208FD" w:rsidRDefault="00B208FD" w:rsidP="00C80590">
            <w:pPr>
              <w:jc w:val="both"/>
              <w:rPr>
                <w:rFonts w:eastAsia="Times New Roman"/>
                <w:color w:val="000000"/>
                <w:sz w:val="20"/>
                <w:szCs w:val="20"/>
              </w:rPr>
            </w:pPr>
            <w:r w:rsidRPr="00B208FD">
              <w:rPr>
                <w:rFonts w:eastAsia="Times New Roman"/>
                <w:color w:val="000000"/>
                <w:sz w:val="20"/>
                <w:szCs w:val="20"/>
              </w:rPr>
              <w:t>An empty consent form</w:t>
            </w:r>
            <w:r w:rsidR="00A07C57">
              <w:rPr>
                <w:rFonts w:eastAsia="Times New Roman"/>
                <w:color w:val="000000"/>
                <w:sz w:val="20"/>
                <w:szCs w:val="20"/>
              </w:rPr>
              <w:t xml:space="preserve"> used for the focus group participants. It was signed by participants before the focus groups.</w:t>
            </w:r>
          </w:p>
          <w:p w14:paraId="0E6A29E0" w14:textId="1EF8285F" w:rsidR="00A07C57" w:rsidRPr="00B208FD" w:rsidRDefault="00A07C57" w:rsidP="00C80590">
            <w:pPr>
              <w:jc w:val="both"/>
              <w:rPr>
                <w:rFonts w:eastAsia="Times New Roman"/>
                <w:color w:val="000000"/>
                <w:sz w:val="20"/>
                <w:szCs w:val="20"/>
              </w:rPr>
            </w:pPr>
          </w:p>
        </w:tc>
      </w:tr>
      <w:tr w:rsidR="009F37B5" w:rsidRPr="00B208FD" w14:paraId="401A9689" w14:textId="77777777" w:rsidTr="003648A1">
        <w:trPr>
          <w:trHeight w:val="565"/>
        </w:trPr>
        <w:tc>
          <w:tcPr>
            <w:tcW w:w="1786" w:type="dxa"/>
            <w:vMerge/>
          </w:tcPr>
          <w:p w14:paraId="25C86789" w14:textId="77777777" w:rsidR="00B208FD" w:rsidRPr="00B208FD" w:rsidRDefault="00B208FD" w:rsidP="00C80590">
            <w:pPr>
              <w:jc w:val="both"/>
              <w:rPr>
                <w:rFonts w:eastAsia="Times New Roman"/>
                <w:color w:val="000000"/>
                <w:sz w:val="20"/>
                <w:szCs w:val="20"/>
              </w:rPr>
            </w:pPr>
          </w:p>
        </w:tc>
        <w:tc>
          <w:tcPr>
            <w:tcW w:w="1830" w:type="dxa"/>
            <w:vMerge/>
          </w:tcPr>
          <w:p w14:paraId="5F2B8F94" w14:textId="77777777" w:rsidR="00B208FD" w:rsidRPr="00B208FD" w:rsidRDefault="00B208FD" w:rsidP="00C80590">
            <w:pPr>
              <w:jc w:val="both"/>
              <w:rPr>
                <w:rFonts w:eastAsia="Times New Roman"/>
                <w:color w:val="000000"/>
                <w:sz w:val="20"/>
                <w:szCs w:val="20"/>
              </w:rPr>
            </w:pPr>
          </w:p>
        </w:tc>
        <w:tc>
          <w:tcPr>
            <w:tcW w:w="5598" w:type="dxa"/>
          </w:tcPr>
          <w:p w14:paraId="14A45852" w14:textId="42629BE5" w:rsidR="00B208FD" w:rsidRPr="005D49A8" w:rsidRDefault="00B208FD" w:rsidP="00C80590">
            <w:pPr>
              <w:jc w:val="both"/>
              <w:rPr>
                <w:rFonts w:eastAsia="Times New Roman"/>
                <w:i/>
                <w:iCs/>
                <w:color w:val="000000"/>
                <w:sz w:val="20"/>
                <w:szCs w:val="20"/>
              </w:rPr>
            </w:pPr>
            <w:r w:rsidRPr="005D49A8">
              <w:rPr>
                <w:rFonts w:eastAsia="Times New Roman"/>
                <w:i/>
                <w:iCs/>
                <w:color w:val="000000"/>
                <w:sz w:val="20"/>
                <w:szCs w:val="20"/>
              </w:rPr>
              <w:t>‘</w:t>
            </w:r>
            <w:r w:rsidR="00D050BA">
              <w:rPr>
                <w:rFonts w:eastAsia="Times New Roman"/>
                <w:i/>
                <w:iCs/>
                <w:color w:val="000000"/>
                <w:sz w:val="20"/>
                <w:szCs w:val="20"/>
              </w:rPr>
              <w:t>_</w:t>
            </w:r>
            <w:r w:rsidRPr="005D49A8">
              <w:rPr>
                <w:rFonts w:eastAsia="Times New Roman"/>
                <w:i/>
                <w:iCs/>
                <w:color w:val="000000"/>
                <w:sz w:val="20"/>
                <w:szCs w:val="20"/>
              </w:rPr>
              <w:t>Participant_</w:t>
            </w:r>
            <w:r w:rsidR="00D050BA">
              <w:rPr>
                <w:rFonts w:eastAsia="Times New Roman"/>
                <w:i/>
                <w:iCs/>
                <w:color w:val="000000"/>
                <w:sz w:val="20"/>
                <w:szCs w:val="20"/>
              </w:rPr>
              <w:t>I</w:t>
            </w:r>
            <w:r w:rsidRPr="005D49A8">
              <w:rPr>
                <w:rFonts w:eastAsia="Times New Roman"/>
                <w:i/>
                <w:iCs/>
                <w:color w:val="000000"/>
                <w:sz w:val="20"/>
                <w:szCs w:val="20"/>
              </w:rPr>
              <w:t>nformation_</w:t>
            </w:r>
            <w:r w:rsidR="00D050BA">
              <w:rPr>
                <w:rFonts w:eastAsia="Times New Roman"/>
                <w:i/>
                <w:iCs/>
                <w:color w:val="000000"/>
                <w:sz w:val="20"/>
                <w:szCs w:val="20"/>
              </w:rPr>
              <w:t>S</w:t>
            </w:r>
            <w:r w:rsidRPr="005D49A8">
              <w:rPr>
                <w:rFonts w:eastAsia="Times New Roman"/>
                <w:i/>
                <w:iCs/>
                <w:color w:val="000000"/>
                <w:sz w:val="20"/>
                <w:szCs w:val="20"/>
              </w:rPr>
              <w:t>heet_</w:t>
            </w:r>
            <w:r w:rsidR="00D050BA">
              <w:rPr>
                <w:rFonts w:eastAsia="Times New Roman"/>
                <w:i/>
                <w:iCs/>
                <w:color w:val="000000"/>
                <w:sz w:val="20"/>
                <w:szCs w:val="20"/>
              </w:rPr>
              <w:t>F</w:t>
            </w:r>
            <w:r w:rsidRPr="005D49A8">
              <w:rPr>
                <w:rFonts w:eastAsia="Times New Roman"/>
                <w:i/>
                <w:iCs/>
                <w:color w:val="000000"/>
                <w:sz w:val="20"/>
                <w:szCs w:val="20"/>
              </w:rPr>
              <w:t>ocus_</w:t>
            </w:r>
            <w:r w:rsidR="00D050BA">
              <w:rPr>
                <w:rFonts w:eastAsia="Times New Roman"/>
                <w:i/>
                <w:iCs/>
                <w:color w:val="000000"/>
                <w:sz w:val="20"/>
                <w:szCs w:val="20"/>
              </w:rPr>
              <w:t>G</w:t>
            </w:r>
            <w:r w:rsidRPr="005D49A8">
              <w:rPr>
                <w:rFonts w:eastAsia="Times New Roman"/>
                <w:i/>
                <w:iCs/>
                <w:color w:val="000000"/>
                <w:sz w:val="20"/>
                <w:szCs w:val="20"/>
              </w:rPr>
              <w:t>roups.pdf’</w:t>
            </w:r>
          </w:p>
          <w:p w14:paraId="5DC50053" w14:textId="77777777" w:rsidR="00B208FD" w:rsidRPr="00B208FD" w:rsidRDefault="00B208FD" w:rsidP="00C80590">
            <w:pPr>
              <w:jc w:val="both"/>
              <w:rPr>
                <w:rFonts w:eastAsia="Times New Roman"/>
                <w:color w:val="000000"/>
                <w:sz w:val="20"/>
                <w:szCs w:val="20"/>
              </w:rPr>
            </w:pPr>
          </w:p>
          <w:p w14:paraId="69AA6BB5" w14:textId="04517C81" w:rsidR="00B208FD" w:rsidRPr="00B208FD" w:rsidRDefault="00A07C57" w:rsidP="00B208FD">
            <w:pPr>
              <w:jc w:val="both"/>
              <w:rPr>
                <w:rFonts w:eastAsia="Times New Roman"/>
                <w:color w:val="000000"/>
                <w:sz w:val="20"/>
                <w:szCs w:val="20"/>
              </w:rPr>
            </w:pPr>
            <w:r>
              <w:rPr>
                <w:rFonts w:eastAsia="Times New Roman"/>
                <w:color w:val="000000"/>
                <w:sz w:val="20"/>
                <w:szCs w:val="20"/>
              </w:rPr>
              <w:t>A copy of the p</w:t>
            </w:r>
            <w:r w:rsidR="00B208FD" w:rsidRPr="00B208FD">
              <w:rPr>
                <w:rFonts w:eastAsia="Times New Roman"/>
                <w:color w:val="000000"/>
                <w:sz w:val="20"/>
                <w:szCs w:val="20"/>
              </w:rPr>
              <w:t>articipant information sheet</w:t>
            </w:r>
            <w:r>
              <w:rPr>
                <w:rFonts w:eastAsia="Times New Roman"/>
                <w:color w:val="000000"/>
                <w:sz w:val="20"/>
                <w:szCs w:val="20"/>
              </w:rPr>
              <w:t xml:space="preserve"> that was given to each participant before the focus groups.</w:t>
            </w:r>
          </w:p>
          <w:p w14:paraId="22995786" w14:textId="7AFE568F" w:rsidR="00B208FD" w:rsidRPr="00B208FD" w:rsidRDefault="00B208FD" w:rsidP="00C80590">
            <w:pPr>
              <w:jc w:val="both"/>
              <w:rPr>
                <w:rFonts w:eastAsia="Times New Roman"/>
                <w:color w:val="000000"/>
                <w:sz w:val="20"/>
                <w:szCs w:val="20"/>
              </w:rPr>
            </w:pPr>
          </w:p>
        </w:tc>
      </w:tr>
      <w:tr w:rsidR="009F37B5" w:rsidRPr="00B208FD" w14:paraId="3705C31E" w14:textId="77777777" w:rsidTr="003648A1">
        <w:tc>
          <w:tcPr>
            <w:tcW w:w="1786" w:type="dxa"/>
            <w:vMerge/>
          </w:tcPr>
          <w:p w14:paraId="5AD90BC0" w14:textId="77777777" w:rsidR="00B208FD" w:rsidRPr="00B208FD" w:rsidRDefault="00B208FD" w:rsidP="00C80590">
            <w:pPr>
              <w:jc w:val="both"/>
              <w:rPr>
                <w:rFonts w:eastAsia="Times New Roman"/>
                <w:color w:val="000000"/>
                <w:sz w:val="20"/>
                <w:szCs w:val="20"/>
              </w:rPr>
            </w:pPr>
          </w:p>
        </w:tc>
        <w:tc>
          <w:tcPr>
            <w:tcW w:w="1830" w:type="dxa"/>
            <w:vMerge/>
          </w:tcPr>
          <w:p w14:paraId="70C61199" w14:textId="77777777" w:rsidR="00B208FD" w:rsidRPr="00B208FD" w:rsidRDefault="00B208FD" w:rsidP="00C80590">
            <w:pPr>
              <w:jc w:val="both"/>
              <w:rPr>
                <w:rFonts w:eastAsia="Times New Roman"/>
                <w:color w:val="000000"/>
                <w:sz w:val="20"/>
                <w:szCs w:val="20"/>
              </w:rPr>
            </w:pPr>
          </w:p>
        </w:tc>
        <w:tc>
          <w:tcPr>
            <w:tcW w:w="5598" w:type="dxa"/>
          </w:tcPr>
          <w:p w14:paraId="304B98A4" w14:textId="0CA3F420" w:rsidR="00B208FD" w:rsidRPr="005D49A8" w:rsidRDefault="00B208FD" w:rsidP="00C80590">
            <w:pPr>
              <w:jc w:val="both"/>
              <w:rPr>
                <w:rFonts w:eastAsia="Times New Roman"/>
                <w:i/>
                <w:iCs/>
                <w:color w:val="000000"/>
                <w:sz w:val="20"/>
                <w:szCs w:val="20"/>
              </w:rPr>
            </w:pPr>
            <w:r w:rsidRPr="005D49A8">
              <w:rPr>
                <w:rFonts w:eastAsia="Times New Roman"/>
                <w:i/>
                <w:iCs/>
                <w:color w:val="000000"/>
                <w:sz w:val="20"/>
                <w:szCs w:val="20"/>
              </w:rPr>
              <w:t>‘MCM_Ranking_and_Weighting_</w:t>
            </w:r>
            <w:r w:rsidR="00D050BA">
              <w:rPr>
                <w:rFonts w:eastAsia="Times New Roman"/>
                <w:i/>
                <w:iCs/>
                <w:color w:val="000000"/>
                <w:sz w:val="20"/>
                <w:szCs w:val="20"/>
              </w:rPr>
              <w:t>H</w:t>
            </w:r>
            <w:r w:rsidRPr="005D49A8">
              <w:rPr>
                <w:rFonts w:eastAsia="Times New Roman"/>
                <w:i/>
                <w:iCs/>
                <w:color w:val="000000"/>
                <w:sz w:val="20"/>
                <w:szCs w:val="20"/>
              </w:rPr>
              <w:t>andout.pdf’</w:t>
            </w:r>
          </w:p>
          <w:p w14:paraId="24FAB3A3" w14:textId="77777777" w:rsidR="00B208FD" w:rsidRPr="00B208FD" w:rsidRDefault="00B208FD" w:rsidP="00C80590">
            <w:pPr>
              <w:jc w:val="both"/>
              <w:rPr>
                <w:rFonts w:eastAsia="Times New Roman"/>
                <w:color w:val="000000"/>
                <w:sz w:val="20"/>
                <w:szCs w:val="20"/>
              </w:rPr>
            </w:pPr>
          </w:p>
          <w:p w14:paraId="40CA32C8" w14:textId="19D24593" w:rsidR="00B208FD" w:rsidRPr="00B208FD" w:rsidRDefault="00B208FD" w:rsidP="00B208FD">
            <w:pPr>
              <w:jc w:val="both"/>
              <w:rPr>
                <w:rFonts w:eastAsia="Times New Roman"/>
                <w:color w:val="000000"/>
                <w:sz w:val="20"/>
                <w:szCs w:val="20"/>
              </w:rPr>
            </w:pPr>
            <w:r w:rsidRPr="00B208FD">
              <w:rPr>
                <w:rFonts w:eastAsia="Times New Roman"/>
                <w:color w:val="000000"/>
                <w:sz w:val="20"/>
                <w:szCs w:val="20"/>
              </w:rPr>
              <w:t xml:space="preserve">A copy of the </w:t>
            </w:r>
            <w:r w:rsidR="00A07C57">
              <w:rPr>
                <w:rFonts w:eastAsia="Times New Roman"/>
                <w:color w:val="000000"/>
                <w:sz w:val="20"/>
                <w:szCs w:val="20"/>
              </w:rPr>
              <w:t xml:space="preserve">handout </w:t>
            </w:r>
            <w:r w:rsidRPr="00B208FD">
              <w:rPr>
                <w:rFonts w:eastAsia="Times New Roman"/>
                <w:color w:val="000000"/>
                <w:sz w:val="20"/>
                <w:szCs w:val="20"/>
              </w:rPr>
              <w:t xml:space="preserve">used for the </w:t>
            </w:r>
            <w:r w:rsidR="00A07C57">
              <w:rPr>
                <w:rFonts w:eastAsia="Times New Roman"/>
                <w:color w:val="000000"/>
                <w:sz w:val="20"/>
                <w:szCs w:val="20"/>
              </w:rPr>
              <w:t xml:space="preserve">Multi-Criteria </w:t>
            </w:r>
            <w:r w:rsidRPr="00B208FD">
              <w:rPr>
                <w:rFonts w:eastAsia="Times New Roman"/>
                <w:color w:val="000000"/>
                <w:sz w:val="20"/>
                <w:szCs w:val="20"/>
              </w:rPr>
              <w:t>M</w:t>
            </w:r>
            <w:r w:rsidR="00A07C57">
              <w:rPr>
                <w:rFonts w:eastAsia="Times New Roman"/>
                <w:color w:val="000000"/>
                <w:sz w:val="20"/>
                <w:szCs w:val="20"/>
              </w:rPr>
              <w:t>apping</w:t>
            </w:r>
            <w:r w:rsidRPr="00B208FD">
              <w:rPr>
                <w:rFonts w:eastAsia="Times New Roman"/>
                <w:color w:val="000000"/>
                <w:sz w:val="20"/>
                <w:szCs w:val="20"/>
              </w:rPr>
              <w:t xml:space="preserve"> workshops.</w:t>
            </w:r>
          </w:p>
          <w:p w14:paraId="799E0D85" w14:textId="461EA1E4" w:rsidR="00B208FD" w:rsidRPr="00B208FD" w:rsidRDefault="00B208FD" w:rsidP="00C80590">
            <w:pPr>
              <w:jc w:val="both"/>
              <w:rPr>
                <w:rFonts w:eastAsia="Times New Roman"/>
                <w:color w:val="000000"/>
                <w:sz w:val="20"/>
                <w:szCs w:val="20"/>
              </w:rPr>
            </w:pPr>
          </w:p>
        </w:tc>
      </w:tr>
      <w:tr w:rsidR="009F37B5" w:rsidRPr="00B208FD" w14:paraId="76E14FD5" w14:textId="77777777" w:rsidTr="003648A1">
        <w:tc>
          <w:tcPr>
            <w:tcW w:w="1786" w:type="dxa"/>
            <w:vMerge w:val="restart"/>
          </w:tcPr>
          <w:p w14:paraId="328F4840" w14:textId="295A60AD" w:rsidR="009F37B5" w:rsidRPr="00B208FD" w:rsidRDefault="009F37B5" w:rsidP="00C80590">
            <w:pPr>
              <w:jc w:val="both"/>
              <w:rPr>
                <w:rFonts w:eastAsia="Times New Roman"/>
                <w:color w:val="000000"/>
                <w:sz w:val="20"/>
                <w:szCs w:val="20"/>
              </w:rPr>
            </w:pPr>
            <w:r w:rsidRPr="00B208FD">
              <w:rPr>
                <w:rFonts w:eastAsia="Times New Roman"/>
                <w:color w:val="000000"/>
                <w:sz w:val="20"/>
                <w:szCs w:val="20"/>
              </w:rPr>
              <w:t>‘2_Data’</w:t>
            </w:r>
          </w:p>
        </w:tc>
        <w:tc>
          <w:tcPr>
            <w:tcW w:w="1830" w:type="dxa"/>
            <w:vMerge w:val="restart"/>
          </w:tcPr>
          <w:p w14:paraId="3DD380F6" w14:textId="7524E626" w:rsidR="009F37B5" w:rsidRPr="00B208FD" w:rsidRDefault="009F37B5" w:rsidP="00C80590">
            <w:pPr>
              <w:jc w:val="both"/>
              <w:rPr>
                <w:rFonts w:eastAsia="Times New Roman"/>
                <w:color w:val="000000"/>
                <w:sz w:val="20"/>
                <w:szCs w:val="20"/>
              </w:rPr>
            </w:pPr>
            <w:r w:rsidRPr="00B208FD">
              <w:rPr>
                <w:rFonts w:eastAsia="Times New Roman"/>
                <w:color w:val="000000"/>
                <w:sz w:val="20"/>
                <w:szCs w:val="20"/>
              </w:rPr>
              <w:t>‘2.1_Survey’</w:t>
            </w:r>
          </w:p>
        </w:tc>
        <w:tc>
          <w:tcPr>
            <w:tcW w:w="5598" w:type="dxa"/>
          </w:tcPr>
          <w:p w14:paraId="47C41ED0" w14:textId="7BC90A43" w:rsidR="009F37B5" w:rsidRPr="009F37B5" w:rsidRDefault="009F37B5" w:rsidP="00D050BA">
            <w:pPr>
              <w:tabs>
                <w:tab w:val="left" w:pos="1329"/>
              </w:tabs>
              <w:jc w:val="both"/>
              <w:rPr>
                <w:rFonts w:eastAsia="Times New Roman"/>
                <w:i/>
                <w:iCs/>
                <w:color w:val="000000"/>
                <w:sz w:val="20"/>
                <w:szCs w:val="20"/>
              </w:rPr>
            </w:pPr>
            <w:r w:rsidRPr="009F37B5">
              <w:rPr>
                <w:rFonts w:eastAsia="Times New Roman"/>
                <w:i/>
                <w:iCs/>
                <w:color w:val="000000"/>
                <w:sz w:val="20"/>
                <w:szCs w:val="20"/>
              </w:rPr>
              <w:t>‘Dictionary_of_data_Survey.docx’</w:t>
            </w:r>
          </w:p>
          <w:p w14:paraId="1CCA6467" w14:textId="77777777" w:rsidR="009F37B5" w:rsidRDefault="009F37B5" w:rsidP="00C80590">
            <w:pPr>
              <w:jc w:val="both"/>
              <w:rPr>
                <w:rFonts w:eastAsia="Times New Roman"/>
                <w:color w:val="000000"/>
                <w:sz w:val="20"/>
                <w:szCs w:val="20"/>
              </w:rPr>
            </w:pPr>
          </w:p>
          <w:p w14:paraId="3A9AEF13" w14:textId="7B3F1D3E" w:rsidR="00A07C57" w:rsidRDefault="00A07C57" w:rsidP="00C80590">
            <w:pPr>
              <w:jc w:val="both"/>
              <w:rPr>
                <w:rFonts w:eastAsia="Times New Roman"/>
                <w:color w:val="000000"/>
                <w:sz w:val="20"/>
                <w:szCs w:val="20"/>
              </w:rPr>
            </w:pPr>
            <w:r>
              <w:rPr>
                <w:rFonts w:eastAsia="Times New Roman"/>
                <w:color w:val="000000"/>
                <w:sz w:val="20"/>
                <w:szCs w:val="20"/>
              </w:rPr>
              <w:t>The document includes the list of variables, its corresponding questions in the survey, and the possible answers with its codes.</w:t>
            </w:r>
          </w:p>
          <w:p w14:paraId="760742AB" w14:textId="02B2CE5D" w:rsidR="00A07C57" w:rsidRPr="00B208FD" w:rsidRDefault="00A07C57" w:rsidP="00C80590">
            <w:pPr>
              <w:jc w:val="both"/>
              <w:rPr>
                <w:rFonts w:eastAsia="Times New Roman"/>
                <w:color w:val="000000"/>
                <w:sz w:val="20"/>
                <w:szCs w:val="20"/>
              </w:rPr>
            </w:pPr>
          </w:p>
        </w:tc>
      </w:tr>
      <w:tr w:rsidR="009F37B5" w:rsidRPr="00B208FD" w14:paraId="5E86DEB0" w14:textId="77777777" w:rsidTr="003648A1">
        <w:tc>
          <w:tcPr>
            <w:tcW w:w="1786" w:type="dxa"/>
            <w:vMerge/>
          </w:tcPr>
          <w:p w14:paraId="30320FC0" w14:textId="77777777" w:rsidR="009F37B5" w:rsidRPr="00B208FD" w:rsidRDefault="009F37B5" w:rsidP="00C80590">
            <w:pPr>
              <w:jc w:val="both"/>
              <w:rPr>
                <w:rFonts w:eastAsia="Times New Roman"/>
                <w:color w:val="000000"/>
                <w:sz w:val="20"/>
                <w:szCs w:val="20"/>
              </w:rPr>
            </w:pPr>
          </w:p>
        </w:tc>
        <w:tc>
          <w:tcPr>
            <w:tcW w:w="1830" w:type="dxa"/>
            <w:vMerge/>
          </w:tcPr>
          <w:p w14:paraId="0B9311BB" w14:textId="77777777" w:rsidR="009F37B5" w:rsidRPr="00B208FD" w:rsidRDefault="009F37B5" w:rsidP="00C80590">
            <w:pPr>
              <w:jc w:val="both"/>
              <w:rPr>
                <w:rFonts w:eastAsia="Times New Roman"/>
                <w:color w:val="000000"/>
                <w:sz w:val="20"/>
                <w:szCs w:val="20"/>
              </w:rPr>
            </w:pPr>
          </w:p>
        </w:tc>
        <w:tc>
          <w:tcPr>
            <w:tcW w:w="5598" w:type="dxa"/>
          </w:tcPr>
          <w:p w14:paraId="594C23A7" w14:textId="77777777" w:rsidR="009F37B5" w:rsidRPr="005D49A8" w:rsidRDefault="009F37B5" w:rsidP="009F37B5">
            <w:pPr>
              <w:jc w:val="both"/>
              <w:rPr>
                <w:rFonts w:eastAsia="Times New Roman"/>
                <w:i/>
                <w:iCs/>
                <w:color w:val="000000"/>
                <w:sz w:val="20"/>
                <w:szCs w:val="20"/>
              </w:rPr>
            </w:pPr>
            <w:r w:rsidRPr="005D49A8">
              <w:rPr>
                <w:rFonts w:eastAsia="Times New Roman"/>
                <w:i/>
                <w:iCs/>
                <w:color w:val="000000"/>
                <w:sz w:val="20"/>
                <w:szCs w:val="20"/>
              </w:rPr>
              <w:t>‘Survey_</w:t>
            </w:r>
            <w:r>
              <w:rPr>
                <w:rFonts w:eastAsia="Times New Roman"/>
                <w:i/>
                <w:iCs/>
                <w:color w:val="000000"/>
                <w:sz w:val="20"/>
                <w:szCs w:val="20"/>
              </w:rPr>
              <w:t>R</w:t>
            </w:r>
            <w:r w:rsidRPr="005D49A8">
              <w:rPr>
                <w:rFonts w:eastAsia="Times New Roman"/>
                <w:i/>
                <w:iCs/>
                <w:color w:val="000000"/>
                <w:sz w:val="20"/>
                <w:szCs w:val="20"/>
              </w:rPr>
              <w:t>esults.xlsx’</w:t>
            </w:r>
          </w:p>
          <w:p w14:paraId="42CC85F4" w14:textId="77777777" w:rsidR="009F37B5" w:rsidRDefault="009F37B5" w:rsidP="00C80590">
            <w:pPr>
              <w:jc w:val="both"/>
              <w:rPr>
                <w:rFonts w:eastAsia="Times New Roman"/>
                <w:i/>
                <w:iCs/>
                <w:color w:val="000000"/>
                <w:sz w:val="20"/>
                <w:szCs w:val="20"/>
              </w:rPr>
            </w:pPr>
          </w:p>
          <w:p w14:paraId="4A5A828A" w14:textId="77777777" w:rsidR="00A07C57" w:rsidRDefault="00A07C57" w:rsidP="00C80590">
            <w:pPr>
              <w:jc w:val="both"/>
              <w:rPr>
                <w:rFonts w:eastAsia="Times New Roman"/>
                <w:color w:val="000000"/>
                <w:sz w:val="20"/>
                <w:szCs w:val="20"/>
              </w:rPr>
            </w:pPr>
            <w:r w:rsidRPr="00A07C57">
              <w:rPr>
                <w:rFonts w:eastAsia="Times New Roman"/>
                <w:color w:val="000000"/>
                <w:sz w:val="20"/>
                <w:szCs w:val="20"/>
              </w:rPr>
              <w:t>The spreadsheet includes two tabs</w:t>
            </w:r>
            <w:r>
              <w:rPr>
                <w:rFonts w:eastAsia="Times New Roman"/>
                <w:color w:val="000000"/>
                <w:sz w:val="20"/>
                <w:szCs w:val="20"/>
              </w:rPr>
              <w:t>: ‘CODES’ and ‘LABELS’. ‘CODES’ includes the answers of each participant transformed into codes. ‘LABELS’ includes the answers of each participant in text format.</w:t>
            </w:r>
          </w:p>
          <w:p w14:paraId="241BEE04" w14:textId="221AD741" w:rsidR="00A07C57" w:rsidRPr="00A07C57" w:rsidRDefault="00A07C57" w:rsidP="00C80590">
            <w:pPr>
              <w:jc w:val="both"/>
              <w:rPr>
                <w:rFonts w:eastAsia="Times New Roman"/>
                <w:color w:val="000000"/>
                <w:sz w:val="20"/>
                <w:szCs w:val="20"/>
              </w:rPr>
            </w:pPr>
          </w:p>
        </w:tc>
      </w:tr>
      <w:tr w:rsidR="00D050BA" w:rsidRPr="00B208FD" w14:paraId="4282DE96" w14:textId="77777777" w:rsidTr="003648A1">
        <w:tc>
          <w:tcPr>
            <w:tcW w:w="1786" w:type="dxa"/>
            <w:vMerge/>
          </w:tcPr>
          <w:p w14:paraId="446E3768" w14:textId="77777777" w:rsidR="00D050BA" w:rsidRPr="00B208FD" w:rsidRDefault="00D050BA" w:rsidP="00C80590">
            <w:pPr>
              <w:jc w:val="both"/>
              <w:rPr>
                <w:rFonts w:eastAsia="Times New Roman"/>
                <w:color w:val="000000"/>
                <w:sz w:val="20"/>
                <w:szCs w:val="20"/>
              </w:rPr>
            </w:pPr>
          </w:p>
        </w:tc>
        <w:tc>
          <w:tcPr>
            <w:tcW w:w="1830" w:type="dxa"/>
          </w:tcPr>
          <w:p w14:paraId="53506539" w14:textId="2A875AFD" w:rsidR="00D050BA" w:rsidRPr="00B208FD" w:rsidRDefault="00D050BA" w:rsidP="00C80590">
            <w:pPr>
              <w:jc w:val="both"/>
              <w:rPr>
                <w:rFonts w:eastAsia="Times New Roman"/>
                <w:color w:val="000000"/>
                <w:sz w:val="20"/>
                <w:szCs w:val="20"/>
              </w:rPr>
            </w:pPr>
            <w:r w:rsidRPr="00B208FD">
              <w:rPr>
                <w:rFonts w:eastAsia="Times New Roman"/>
                <w:color w:val="000000"/>
                <w:sz w:val="20"/>
                <w:szCs w:val="20"/>
              </w:rPr>
              <w:t>‘2.2_Focus_</w:t>
            </w:r>
            <w:r>
              <w:rPr>
                <w:rFonts w:eastAsia="Times New Roman"/>
                <w:color w:val="000000"/>
                <w:sz w:val="20"/>
                <w:szCs w:val="20"/>
              </w:rPr>
              <w:t>G</w:t>
            </w:r>
            <w:r w:rsidRPr="00B208FD">
              <w:rPr>
                <w:rFonts w:eastAsia="Times New Roman"/>
                <w:color w:val="000000"/>
                <w:sz w:val="20"/>
                <w:szCs w:val="20"/>
              </w:rPr>
              <w:t>roups’</w:t>
            </w:r>
          </w:p>
        </w:tc>
        <w:tc>
          <w:tcPr>
            <w:tcW w:w="5598" w:type="dxa"/>
          </w:tcPr>
          <w:p w14:paraId="370C308C" w14:textId="68FEAB43" w:rsidR="00D050BA" w:rsidRDefault="00EE1882" w:rsidP="00C80590">
            <w:pPr>
              <w:jc w:val="both"/>
              <w:rPr>
                <w:rFonts w:eastAsia="Times New Roman"/>
                <w:color w:val="000000"/>
                <w:sz w:val="20"/>
                <w:szCs w:val="20"/>
              </w:rPr>
            </w:pPr>
            <w:r>
              <w:rPr>
                <w:rFonts w:eastAsia="Times New Roman"/>
                <w:color w:val="000000"/>
                <w:sz w:val="20"/>
                <w:szCs w:val="20"/>
              </w:rPr>
              <w:t xml:space="preserve">Folder: </w:t>
            </w:r>
            <w:r w:rsidR="000D61C1" w:rsidRPr="000D61C1">
              <w:rPr>
                <w:rFonts w:eastAsia="Times New Roman"/>
                <w:color w:val="000000"/>
                <w:sz w:val="20"/>
                <w:szCs w:val="20"/>
              </w:rPr>
              <w:t>‘2.2.1_Brighton_and_NoT_Transcriptions_Focus_Groups’</w:t>
            </w:r>
          </w:p>
          <w:p w14:paraId="0DCD841D" w14:textId="77777777" w:rsidR="003F321E" w:rsidRDefault="003F321E" w:rsidP="00C80590">
            <w:pPr>
              <w:jc w:val="both"/>
              <w:rPr>
                <w:rFonts w:eastAsia="Times New Roman"/>
                <w:color w:val="000000"/>
                <w:sz w:val="20"/>
                <w:szCs w:val="20"/>
              </w:rPr>
            </w:pPr>
          </w:p>
          <w:p w14:paraId="6273E6EA" w14:textId="446CF827" w:rsidR="00EE1882" w:rsidRDefault="00EE1882" w:rsidP="003563F9">
            <w:pPr>
              <w:ind w:left="360"/>
              <w:jc w:val="both"/>
              <w:rPr>
                <w:rFonts w:eastAsia="Times New Roman"/>
                <w:color w:val="000000"/>
                <w:sz w:val="20"/>
                <w:szCs w:val="20"/>
              </w:rPr>
            </w:pPr>
            <w:r>
              <w:rPr>
                <w:rFonts w:eastAsia="Times New Roman"/>
                <w:color w:val="000000"/>
                <w:sz w:val="20"/>
                <w:szCs w:val="20"/>
              </w:rPr>
              <w:t>Sub-folders and files:</w:t>
            </w:r>
          </w:p>
          <w:p w14:paraId="0CF19E6C" w14:textId="77777777" w:rsidR="000D61C1" w:rsidRPr="000D61C1" w:rsidRDefault="000D61C1" w:rsidP="003563F9">
            <w:pPr>
              <w:jc w:val="both"/>
              <w:rPr>
                <w:rFonts w:eastAsia="Times New Roman"/>
                <w:color w:val="000000"/>
                <w:sz w:val="20"/>
                <w:szCs w:val="20"/>
              </w:rPr>
            </w:pPr>
          </w:p>
          <w:p w14:paraId="3B3AAB7A" w14:textId="43BCD701" w:rsidR="000D61C1" w:rsidRPr="001836E3" w:rsidRDefault="000D61C1" w:rsidP="003563F9">
            <w:pPr>
              <w:pStyle w:val="ListParagraph"/>
              <w:numPr>
                <w:ilvl w:val="0"/>
                <w:numId w:val="15"/>
              </w:numPr>
              <w:ind w:left="720"/>
              <w:jc w:val="both"/>
              <w:rPr>
                <w:rFonts w:eastAsia="Times New Roman" w:cstheme="minorHAnsi"/>
                <w:color w:val="000000"/>
                <w:sz w:val="20"/>
                <w:szCs w:val="20"/>
              </w:rPr>
            </w:pPr>
            <w:r w:rsidRPr="001836E3">
              <w:rPr>
                <w:rFonts w:eastAsia="Times New Roman" w:cstheme="minorHAnsi"/>
                <w:color w:val="000000"/>
                <w:sz w:val="20"/>
                <w:szCs w:val="20"/>
              </w:rPr>
              <w:t>‘Brighton_Transcriptions’</w:t>
            </w:r>
          </w:p>
          <w:p w14:paraId="2ED49A07" w14:textId="0098EC07" w:rsidR="000D61C1" w:rsidRPr="001836E3" w:rsidRDefault="00343DDE" w:rsidP="003563F9">
            <w:pPr>
              <w:pStyle w:val="ListParagraph"/>
              <w:jc w:val="both"/>
              <w:rPr>
                <w:rFonts w:eastAsia="Times New Roman" w:cstheme="minorHAnsi"/>
                <w:sz w:val="20"/>
                <w:szCs w:val="20"/>
                <w:lang w:eastAsia="en-GB"/>
              </w:rPr>
            </w:pPr>
            <w:r w:rsidRPr="001836E3">
              <w:rPr>
                <w:rFonts w:eastAsia="Times New Roman" w:cstheme="minorHAnsi"/>
                <w:sz w:val="20"/>
                <w:szCs w:val="20"/>
                <w:lang w:eastAsia="en-GB"/>
              </w:rPr>
              <w:t>For each focus group, 25 participants were selected by the market research company, using random stratified sampling to ensure diversity in terms of gender, ethnicity, rural/urban location, employment and political party support. Participants were asked to discuss in groups</w:t>
            </w:r>
            <w:r w:rsidR="001836E3" w:rsidRPr="001836E3">
              <w:rPr>
                <w:rFonts w:eastAsia="Times New Roman" w:cstheme="minorHAnsi"/>
                <w:sz w:val="20"/>
                <w:szCs w:val="20"/>
                <w:lang w:eastAsia="en-GB"/>
              </w:rPr>
              <w:t>.</w:t>
            </w:r>
          </w:p>
          <w:p w14:paraId="041CCE77" w14:textId="77777777" w:rsidR="00343DDE" w:rsidRPr="001836E3" w:rsidRDefault="00343DDE" w:rsidP="003563F9">
            <w:pPr>
              <w:pStyle w:val="ListParagraph"/>
              <w:jc w:val="both"/>
              <w:rPr>
                <w:rFonts w:eastAsia="Times New Roman" w:cstheme="minorHAnsi"/>
                <w:color w:val="000000"/>
                <w:sz w:val="20"/>
                <w:szCs w:val="20"/>
              </w:rPr>
            </w:pPr>
          </w:p>
          <w:p w14:paraId="244E5E48" w14:textId="6D9A9DAD" w:rsidR="00A07C57" w:rsidRPr="001836E3" w:rsidRDefault="001836E3" w:rsidP="003563F9">
            <w:pPr>
              <w:pStyle w:val="ListParagraph"/>
              <w:jc w:val="both"/>
              <w:rPr>
                <w:rFonts w:eastAsia="Times New Roman" w:cstheme="minorHAnsi"/>
                <w:color w:val="000000"/>
                <w:sz w:val="20"/>
                <w:szCs w:val="20"/>
              </w:rPr>
            </w:pPr>
            <w:r w:rsidRPr="001836E3">
              <w:rPr>
                <w:rFonts w:eastAsia="Times New Roman" w:cstheme="minorHAnsi"/>
                <w:sz w:val="20"/>
                <w:szCs w:val="20"/>
                <w:lang w:eastAsia="en-GB"/>
              </w:rPr>
              <w:lastRenderedPageBreak/>
              <w:t xml:space="preserve">The following folder </w:t>
            </w:r>
            <w:r w:rsidRPr="001836E3">
              <w:rPr>
                <w:rFonts w:eastAsia="Times New Roman" w:cstheme="minorHAnsi"/>
                <w:sz w:val="20"/>
                <w:szCs w:val="20"/>
                <w:lang w:eastAsia="en-GB"/>
              </w:rPr>
              <w:t>i</w:t>
            </w:r>
            <w:r w:rsidR="00A07C57" w:rsidRPr="001836E3">
              <w:rPr>
                <w:rFonts w:eastAsia="Times New Roman" w:cstheme="minorHAnsi"/>
                <w:color w:val="000000"/>
                <w:sz w:val="20"/>
                <w:szCs w:val="20"/>
              </w:rPr>
              <w:t xml:space="preserve">ncludes a transcription from the conversation of the facilitator with </w:t>
            </w:r>
            <w:r w:rsidR="00242379" w:rsidRPr="001836E3">
              <w:rPr>
                <w:rFonts w:eastAsia="Times New Roman" w:cstheme="minorHAnsi"/>
                <w:color w:val="000000"/>
                <w:sz w:val="20"/>
                <w:szCs w:val="20"/>
              </w:rPr>
              <w:t xml:space="preserve">Brighton </w:t>
            </w:r>
            <w:r w:rsidR="00A07C57" w:rsidRPr="001836E3">
              <w:rPr>
                <w:rFonts w:eastAsia="Times New Roman" w:cstheme="minorHAnsi"/>
                <w:color w:val="000000"/>
                <w:sz w:val="20"/>
                <w:szCs w:val="20"/>
              </w:rPr>
              <w:t>participants, one for each table. All transcripts are anonymised.</w:t>
            </w:r>
          </w:p>
          <w:p w14:paraId="5FF1CF4C" w14:textId="77777777" w:rsidR="00A07C57" w:rsidRPr="000D61C1" w:rsidRDefault="00A07C57" w:rsidP="003563F9">
            <w:pPr>
              <w:pStyle w:val="ListParagraph"/>
              <w:jc w:val="both"/>
              <w:rPr>
                <w:rFonts w:eastAsia="Times New Roman"/>
                <w:color w:val="000000"/>
                <w:sz w:val="20"/>
                <w:szCs w:val="20"/>
              </w:rPr>
            </w:pPr>
          </w:p>
          <w:p w14:paraId="35E48647" w14:textId="56FA9F98" w:rsidR="000D61C1" w:rsidRDefault="000D61C1" w:rsidP="003563F9">
            <w:pPr>
              <w:pStyle w:val="ListParagraph"/>
              <w:numPr>
                <w:ilvl w:val="1"/>
                <w:numId w:val="15"/>
              </w:numPr>
              <w:ind w:left="1440"/>
              <w:jc w:val="both"/>
              <w:rPr>
                <w:rFonts w:eastAsia="Times New Roman"/>
                <w:i/>
                <w:iCs/>
                <w:color w:val="000000"/>
                <w:sz w:val="20"/>
                <w:szCs w:val="20"/>
              </w:rPr>
            </w:pPr>
            <w:r>
              <w:rPr>
                <w:rFonts w:eastAsia="Times New Roman"/>
                <w:i/>
                <w:iCs/>
                <w:color w:val="000000"/>
                <w:sz w:val="20"/>
                <w:szCs w:val="20"/>
              </w:rPr>
              <w:t>‘</w:t>
            </w:r>
            <w:r w:rsidRPr="000D61C1">
              <w:rPr>
                <w:rFonts w:eastAsia="Times New Roman"/>
                <w:i/>
                <w:iCs/>
                <w:color w:val="000000"/>
                <w:sz w:val="20"/>
                <w:szCs w:val="20"/>
              </w:rPr>
              <w:t>Brighton_Table_1.docx</w:t>
            </w:r>
            <w:r>
              <w:rPr>
                <w:rFonts w:eastAsia="Times New Roman"/>
                <w:i/>
                <w:iCs/>
                <w:color w:val="000000"/>
                <w:sz w:val="20"/>
                <w:szCs w:val="20"/>
              </w:rPr>
              <w:t>’</w:t>
            </w:r>
          </w:p>
          <w:p w14:paraId="5E22ED04" w14:textId="44831A13" w:rsidR="000D61C1" w:rsidRDefault="000D61C1" w:rsidP="003563F9">
            <w:pPr>
              <w:pStyle w:val="ListParagraph"/>
              <w:numPr>
                <w:ilvl w:val="1"/>
                <w:numId w:val="15"/>
              </w:numPr>
              <w:ind w:left="1440"/>
              <w:jc w:val="both"/>
              <w:rPr>
                <w:rFonts w:eastAsia="Times New Roman"/>
                <w:i/>
                <w:iCs/>
                <w:color w:val="000000"/>
                <w:sz w:val="20"/>
                <w:szCs w:val="20"/>
              </w:rPr>
            </w:pPr>
            <w:r>
              <w:rPr>
                <w:rFonts w:eastAsia="Times New Roman"/>
                <w:i/>
                <w:iCs/>
                <w:color w:val="000000"/>
                <w:sz w:val="20"/>
                <w:szCs w:val="20"/>
              </w:rPr>
              <w:t>‘</w:t>
            </w:r>
            <w:r w:rsidRPr="000D61C1">
              <w:rPr>
                <w:rFonts w:eastAsia="Times New Roman"/>
                <w:i/>
                <w:iCs/>
                <w:color w:val="000000"/>
                <w:sz w:val="20"/>
                <w:szCs w:val="20"/>
              </w:rPr>
              <w:t>Brighton_Table_</w:t>
            </w:r>
            <w:r>
              <w:rPr>
                <w:rFonts w:eastAsia="Times New Roman"/>
                <w:i/>
                <w:iCs/>
                <w:color w:val="000000"/>
                <w:sz w:val="20"/>
                <w:szCs w:val="20"/>
              </w:rPr>
              <w:t>2</w:t>
            </w:r>
            <w:r w:rsidRPr="000D61C1">
              <w:rPr>
                <w:rFonts w:eastAsia="Times New Roman"/>
                <w:i/>
                <w:iCs/>
                <w:color w:val="000000"/>
                <w:sz w:val="20"/>
                <w:szCs w:val="20"/>
              </w:rPr>
              <w:t>.docx</w:t>
            </w:r>
            <w:r>
              <w:rPr>
                <w:rFonts w:eastAsia="Times New Roman"/>
                <w:i/>
                <w:iCs/>
                <w:color w:val="000000"/>
                <w:sz w:val="20"/>
                <w:szCs w:val="20"/>
              </w:rPr>
              <w:t>’</w:t>
            </w:r>
          </w:p>
          <w:p w14:paraId="4D58E9FA" w14:textId="22C34C3D" w:rsidR="000D61C1" w:rsidRDefault="000D61C1" w:rsidP="003563F9">
            <w:pPr>
              <w:pStyle w:val="ListParagraph"/>
              <w:numPr>
                <w:ilvl w:val="1"/>
                <w:numId w:val="15"/>
              </w:numPr>
              <w:ind w:left="1440"/>
              <w:jc w:val="both"/>
              <w:rPr>
                <w:rFonts w:eastAsia="Times New Roman"/>
                <w:i/>
                <w:iCs/>
                <w:color w:val="000000"/>
                <w:sz w:val="20"/>
                <w:szCs w:val="20"/>
              </w:rPr>
            </w:pPr>
            <w:r>
              <w:rPr>
                <w:rFonts w:eastAsia="Times New Roman"/>
                <w:i/>
                <w:iCs/>
                <w:color w:val="000000"/>
                <w:sz w:val="20"/>
                <w:szCs w:val="20"/>
              </w:rPr>
              <w:t>‘</w:t>
            </w:r>
            <w:r w:rsidRPr="000D61C1">
              <w:rPr>
                <w:rFonts w:eastAsia="Times New Roman"/>
                <w:i/>
                <w:iCs/>
                <w:color w:val="000000"/>
                <w:sz w:val="20"/>
                <w:szCs w:val="20"/>
              </w:rPr>
              <w:t>Brighton_Table_</w:t>
            </w:r>
            <w:r>
              <w:rPr>
                <w:rFonts w:eastAsia="Times New Roman"/>
                <w:i/>
                <w:iCs/>
                <w:color w:val="000000"/>
                <w:sz w:val="20"/>
                <w:szCs w:val="20"/>
              </w:rPr>
              <w:t>3</w:t>
            </w:r>
            <w:r w:rsidRPr="000D61C1">
              <w:rPr>
                <w:rFonts w:eastAsia="Times New Roman"/>
                <w:i/>
                <w:iCs/>
                <w:color w:val="000000"/>
                <w:sz w:val="20"/>
                <w:szCs w:val="20"/>
              </w:rPr>
              <w:t>.docx</w:t>
            </w:r>
            <w:r>
              <w:rPr>
                <w:rFonts w:eastAsia="Times New Roman"/>
                <w:i/>
                <w:iCs/>
                <w:color w:val="000000"/>
                <w:sz w:val="20"/>
                <w:szCs w:val="20"/>
              </w:rPr>
              <w:t>’</w:t>
            </w:r>
          </w:p>
          <w:p w14:paraId="7D82E863" w14:textId="16F112FC" w:rsidR="000D61C1" w:rsidRDefault="000D61C1" w:rsidP="003563F9">
            <w:pPr>
              <w:pStyle w:val="ListParagraph"/>
              <w:numPr>
                <w:ilvl w:val="1"/>
                <w:numId w:val="15"/>
              </w:numPr>
              <w:ind w:left="1440"/>
              <w:jc w:val="both"/>
              <w:rPr>
                <w:rFonts w:eastAsia="Times New Roman"/>
                <w:i/>
                <w:iCs/>
                <w:color w:val="000000"/>
                <w:sz w:val="20"/>
                <w:szCs w:val="20"/>
              </w:rPr>
            </w:pPr>
            <w:r>
              <w:rPr>
                <w:rFonts w:eastAsia="Times New Roman"/>
                <w:i/>
                <w:iCs/>
                <w:color w:val="000000"/>
                <w:sz w:val="20"/>
                <w:szCs w:val="20"/>
              </w:rPr>
              <w:t>‘</w:t>
            </w:r>
            <w:r w:rsidRPr="000D61C1">
              <w:rPr>
                <w:rFonts w:eastAsia="Times New Roman"/>
                <w:i/>
                <w:iCs/>
                <w:color w:val="000000"/>
                <w:sz w:val="20"/>
                <w:szCs w:val="20"/>
              </w:rPr>
              <w:t>Brighton_Table_</w:t>
            </w:r>
            <w:r>
              <w:rPr>
                <w:rFonts w:eastAsia="Times New Roman"/>
                <w:i/>
                <w:iCs/>
                <w:color w:val="000000"/>
                <w:sz w:val="20"/>
                <w:szCs w:val="20"/>
              </w:rPr>
              <w:t>5</w:t>
            </w:r>
            <w:r w:rsidRPr="000D61C1">
              <w:rPr>
                <w:rFonts w:eastAsia="Times New Roman"/>
                <w:i/>
                <w:iCs/>
                <w:color w:val="000000"/>
                <w:sz w:val="20"/>
                <w:szCs w:val="20"/>
              </w:rPr>
              <w:t>.docx</w:t>
            </w:r>
            <w:r>
              <w:rPr>
                <w:rFonts w:eastAsia="Times New Roman"/>
                <w:i/>
                <w:iCs/>
                <w:color w:val="000000"/>
                <w:sz w:val="20"/>
                <w:szCs w:val="20"/>
              </w:rPr>
              <w:t>’</w:t>
            </w:r>
          </w:p>
          <w:p w14:paraId="1431C739" w14:textId="5F266CBD" w:rsidR="000D61C1" w:rsidRDefault="000D61C1" w:rsidP="003563F9">
            <w:pPr>
              <w:pStyle w:val="ListParagraph"/>
              <w:numPr>
                <w:ilvl w:val="1"/>
                <w:numId w:val="15"/>
              </w:numPr>
              <w:ind w:left="1440"/>
              <w:jc w:val="both"/>
              <w:rPr>
                <w:rFonts w:eastAsia="Times New Roman"/>
                <w:i/>
                <w:iCs/>
                <w:color w:val="000000"/>
                <w:sz w:val="20"/>
                <w:szCs w:val="20"/>
              </w:rPr>
            </w:pPr>
            <w:r>
              <w:rPr>
                <w:rFonts w:eastAsia="Times New Roman"/>
                <w:i/>
                <w:iCs/>
                <w:color w:val="000000"/>
                <w:sz w:val="20"/>
                <w:szCs w:val="20"/>
              </w:rPr>
              <w:t>‘</w:t>
            </w:r>
            <w:r w:rsidRPr="000D61C1">
              <w:rPr>
                <w:rFonts w:eastAsia="Times New Roman"/>
                <w:i/>
                <w:iCs/>
                <w:color w:val="000000"/>
                <w:sz w:val="20"/>
                <w:szCs w:val="20"/>
              </w:rPr>
              <w:t>Brighton_Table_</w:t>
            </w:r>
            <w:r>
              <w:rPr>
                <w:rFonts w:eastAsia="Times New Roman"/>
                <w:i/>
                <w:iCs/>
                <w:color w:val="000000"/>
                <w:sz w:val="20"/>
                <w:szCs w:val="20"/>
              </w:rPr>
              <w:t>6</w:t>
            </w:r>
            <w:r w:rsidRPr="000D61C1">
              <w:rPr>
                <w:rFonts w:eastAsia="Times New Roman"/>
                <w:i/>
                <w:iCs/>
                <w:color w:val="000000"/>
                <w:sz w:val="20"/>
                <w:szCs w:val="20"/>
              </w:rPr>
              <w:t>.docx</w:t>
            </w:r>
            <w:r>
              <w:rPr>
                <w:rFonts w:eastAsia="Times New Roman"/>
                <w:i/>
                <w:iCs/>
                <w:color w:val="000000"/>
                <w:sz w:val="20"/>
                <w:szCs w:val="20"/>
              </w:rPr>
              <w:t>’</w:t>
            </w:r>
          </w:p>
          <w:p w14:paraId="1D9BB0BB" w14:textId="77777777" w:rsidR="000D61C1" w:rsidRDefault="000D61C1" w:rsidP="003563F9">
            <w:pPr>
              <w:pStyle w:val="ListParagraph"/>
              <w:ind w:left="1800"/>
              <w:jc w:val="both"/>
              <w:rPr>
                <w:rFonts w:eastAsia="Times New Roman"/>
                <w:i/>
                <w:iCs/>
                <w:color w:val="000000"/>
                <w:sz w:val="20"/>
                <w:szCs w:val="20"/>
              </w:rPr>
            </w:pPr>
          </w:p>
          <w:p w14:paraId="28CF58A2" w14:textId="67B6BE6E" w:rsidR="000D61C1" w:rsidRDefault="000D61C1" w:rsidP="003563F9">
            <w:pPr>
              <w:pStyle w:val="ListParagraph"/>
              <w:numPr>
                <w:ilvl w:val="0"/>
                <w:numId w:val="15"/>
              </w:numPr>
              <w:ind w:left="720"/>
              <w:jc w:val="both"/>
              <w:rPr>
                <w:rFonts w:eastAsia="Times New Roman"/>
                <w:color w:val="000000"/>
                <w:sz w:val="20"/>
                <w:szCs w:val="20"/>
              </w:rPr>
            </w:pPr>
            <w:r w:rsidRPr="000D61C1">
              <w:rPr>
                <w:rFonts w:eastAsia="Times New Roman"/>
                <w:color w:val="000000"/>
                <w:sz w:val="20"/>
                <w:szCs w:val="20"/>
              </w:rPr>
              <w:t>‘</w:t>
            </w:r>
            <w:proofErr w:type="spellStart"/>
            <w:r w:rsidRPr="000D61C1">
              <w:rPr>
                <w:rFonts w:eastAsia="Times New Roman"/>
                <w:color w:val="000000"/>
                <w:sz w:val="20"/>
                <w:szCs w:val="20"/>
              </w:rPr>
              <w:t>North_of_Tyne_Transcriptions</w:t>
            </w:r>
            <w:proofErr w:type="spellEnd"/>
            <w:r w:rsidRPr="000D61C1">
              <w:rPr>
                <w:rFonts w:eastAsia="Times New Roman"/>
                <w:color w:val="000000"/>
                <w:sz w:val="20"/>
                <w:szCs w:val="20"/>
              </w:rPr>
              <w:t>’</w:t>
            </w:r>
          </w:p>
          <w:p w14:paraId="5AC77C5E" w14:textId="77777777" w:rsidR="00242379" w:rsidRDefault="00242379" w:rsidP="00242379">
            <w:pPr>
              <w:pStyle w:val="ListParagraph"/>
              <w:jc w:val="both"/>
              <w:rPr>
                <w:rFonts w:eastAsia="Times New Roman"/>
                <w:color w:val="000000"/>
                <w:sz w:val="20"/>
                <w:szCs w:val="20"/>
              </w:rPr>
            </w:pPr>
          </w:p>
          <w:p w14:paraId="68037CE4" w14:textId="6863328A" w:rsidR="00242379" w:rsidRPr="001836E3" w:rsidRDefault="001836E3" w:rsidP="00242379">
            <w:pPr>
              <w:pStyle w:val="ListParagraph"/>
              <w:jc w:val="both"/>
              <w:rPr>
                <w:rFonts w:eastAsia="Times New Roman" w:cstheme="minorHAnsi"/>
                <w:color w:val="000000"/>
                <w:sz w:val="20"/>
                <w:szCs w:val="20"/>
              </w:rPr>
            </w:pPr>
            <w:r w:rsidRPr="001836E3">
              <w:rPr>
                <w:rFonts w:eastAsia="Times New Roman" w:cstheme="minorHAnsi"/>
                <w:sz w:val="20"/>
                <w:szCs w:val="20"/>
                <w:lang w:eastAsia="en-GB"/>
              </w:rPr>
              <w:t>The following folder i</w:t>
            </w:r>
            <w:r w:rsidRPr="001836E3">
              <w:rPr>
                <w:rFonts w:eastAsia="Times New Roman" w:cstheme="minorHAnsi"/>
                <w:color w:val="000000"/>
                <w:sz w:val="20"/>
                <w:szCs w:val="20"/>
              </w:rPr>
              <w:t>ncludes</w:t>
            </w:r>
            <w:r w:rsidR="00242379" w:rsidRPr="001836E3">
              <w:rPr>
                <w:rFonts w:eastAsia="Times New Roman" w:cstheme="minorHAnsi"/>
                <w:color w:val="000000"/>
                <w:sz w:val="20"/>
                <w:szCs w:val="20"/>
              </w:rPr>
              <w:t xml:space="preserve"> a transcription from the conversation of the facilitator with North of Tyne participants, one for each table. All transcripts are anonymised.</w:t>
            </w:r>
          </w:p>
          <w:p w14:paraId="5C05E667" w14:textId="77777777" w:rsidR="000D61C1" w:rsidRPr="000D61C1" w:rsidRDefault="000D61C1" w:rsidP="003563F9">
            <w:pPr>
              <w:pStyle w:val="ListParagraph"/>
              <w:jc w:val="both"/>
              <w:rPr>
                <w:rFonts w:eastAsia="Times New Roman"/>
                <w:color w:val="000000"/>
                <w:sz w:val="20"/>
                <w:szCs w:val="20"/>
              </w:rPr>
            </w:pPr>
          </w:p>
          <w:p w14:paraId="1CFFAE34" w14:textId="18CCB230" w:rsidR="000D61C1" w:rsidRDefault="000D61C1" w:rsidP="003563F9">
            <w:pPr>
              <w:pStyle w:val="ListParagraph"/>
              <w:numPr>
                <w:ilvl w:val="1"/>
                <w:numId w:val="15"/>
              </w:numPr>
              <w:ind w:left="1440"/>
              <w:jc w:val="both"/>
              <w:rPr>
                <w:rFonts w:eastAsia="Times New Roman"/>
                <w:i/>
                <w:iCs/>
                <w:color w:val="000000"/>
                <w:sz w:val="20"/>
                <w:szCs w:val="20"/>
              </w:rPr>
            </w:pPr>
            <w:r>
              <w:rPr>
                <w:rFonts w:eastAsia="Times New Roman"/>
                <w:i/>
                <w:iCs/>
                <w:color w:val="000000"/>
                <w:sz w:val="20"/>
                <w:szCs w:val="20"/>
              </w:rPr>
              <w:t>‘</w:t>
            </w:r>
            <w:r w:rsidRPr="000D61C1">
              <w:rPr>
                <w:rFonts w:eastAsia="Times New Roman"/>
                <w:i/>
                <w:iCs/>
                <w:color w:val="000000"/>
                <w:sz w:val="20"/>
                <w:szCs w:val="20"/>
              </w:rPr>
              <w:t>NoT_Table_1.docx</w:t>
            </w:r>
            <w:r>
              <w:rPr>
                <w:rFonts w:eastAsia="Times New Roman"/>
                <w:i/>
                <w:iCs/>
                <w:color w:val="000000"/>
                <w:sz w:val="20"/>
                <w:szCs w:val="20"/>
              </w:rPr>
              <w:t>’</w:t>
            </w:r>
          </w:p>
          <w:p w14:paraId="1D967B2E" w14:textId="4BDA3322" w:rsidR="000D61C1" w:rsidRDefault="000D61C1" w:rsidP="003563F9">
            <w:pPr>
              <w:pStyle w:val="ListParagraph"/>
              <w:numPr>
                <w:ilvl w:val="1"/>
                <w:numId w:val="15"/>
              </w:numPr>
              <w:ind w:left="1440"/>
              <w:jc w:val="both"/>
              <w:rPr>
                <w:rFonts w:eastAsia="Times New Roman"/>
                <w:i/>
                <w:iCs/>
                <w:color w:val="000000"/>
                <w:sz w:val="20"/>
                <w:szCs w:val="20"/>
              </w:rPr>
            </w:pPr>
            <w:r>
              <w:rPr>
                <w:rFonts w:eastAsia="Times New Roman"/>
                <w:i/>
                <w:iCs/>
                <w:color w:val="000000"/>
                <w:sz w:val="20"/>
                <w:szCs w:val="20"/>
              </w:rPr>
              <w:t>‘</w:t>
            </w:r>
            <w:r w:rsidRPr="000D61C1">
              <w:rPr>
                <w:rFonts w:eastAsia="Times New Roman"/>
                <w:i/>
                <w:iCs/>
                <w:color w:val="000000"/>
                <w:sz w:val="20"/>
                <w:szCs w:val="20"/>
              </w:rPr>
              <w:t>NoT_Table_</w:t>
            </w:r>
            <w:r>
              <w:rPr>
                <w:rFonts w:eastAsia="Times New Roman"/>
                <w:i/>
                <w:iCs/>
                <w:color w:val="000000"/>
                <w:sz w:val="20"/>
                <w:szCs w:val="20"/>
              </w:rPr>
              <w:t>3</w:t>
            </w:r>
            <w:r w:rsidRPr="000D61C1">
              <w:rPr>
                <w:rFonts w:eastAsia="Times New Roman"/>
                <w:i/>
                <w:iCs/>
                <w:color w:val="000000"/>
                <w:sz w:val="20"/>
                <w:szCs w:val="20"/>
              </w:rPr>
              <w:t>.docx</w:t>
            </w:r>
            <w:r>
              <w:rPr>
                <w:rFonts w:eastAsia="Times New Roman"/>
                <w:i/>
                <w:iCs/>
                <w:color w:val="000000"/>
                <w:sz w:val="20"/>
                <w:szCs w:val="20"/>
              </w:rPr>
              <w:t>’</w:t>
            </w:r>
          </w:p>
          <w:p w14:paraId="38866041" w14:textId="66852CF5" w:rsidR="000D61C1" w:rsidRDefault="000D61C1" w:rsidP="003563F9">
            <w:pPr>
              <w:pStyle w:val="ListParagraph"/>
              <w:numPr>
                <w:ilvl w:val="1"/>
                <w:numId w:val="15"/>
              </w:numPr>
              <w:ind w:left="1440"/>
              <w:jc w:val="both"/>
              <w:rPr>
                <w:rFonts w:eastAsia="Times New Roman"/>
                <w:i/>
                <w:iCs/>
                <w:color w:val="000000"/>
                <w:sz w:val="20"/>
                <w:szCs w:val="20"/>
              </w:rPr>
            </w:pPr>
            <w:r>
              <w:rPr>
                <w:rFonts w:eastAsia="Times New Roman"/>
                <w:i/>
                <w:iCs/>
                <w:color w:val="000000"/>
                <w:sz w:val="20"/>
                <w:szCs w:val="20"/>
              </w:rPr>
              <w:t>‘</w:t>
            </w:r>
            <w:r w:rsidRPr="000D61C1">
              <w:rPr>
                <w:rFonts w:eastAsia="Times New Roman"/>
                <w:i/>
                <w:iCs/>
                <w:color w:val="000000"/>
                <w:sz w:val="20"/>
                <w:szCs w:val="20"/>
              </w:rPr>
              <w:t>NoT_Table_</w:t>
            </w:r>
            <w:r>
              <w:rPr>
                <w:rFonts w:eastAsia="Times New Roman"/>
                <w:i/>
                <w:iCs/>
                <w:color w:val="000000"/>
                <w:sz w:val="20"/>
                <w:szCs w:val="20"/>
              </w:rPr>
              <w:t>5</w:t>
            </w:r>
            <w:r w:rsidRPr="000D61C1">
              <w:rPr>
                <w:rFonts w:eastAsia="Times New Roman"/>
                <w:i/>
                <w:iCs/>
                <w:color w:val="000000"/>
                <w:sz w:val="20"/>
                <w:szCs w:val="20"/>
              </w:rPr>
              <w:t>.docx</w:t>
            </w:r>
            <w:r>
              <w:rPr>
                <w:rFonts w:eastAsia="Times New Roman"/>
                <w:i/>
                <w:iCs/>
                <w:color w:val="000000"/>
                <w:sz w:val="20"/>
                <w:szCs w:val="20"/>
              </w:rPr>
              <w:t>’</w:t>
            </w:r>
          </w:p>
          <w:p w14:paraId="1E7D47E4" w14:textId="37D4F77B" w:rsidR="000D61C1" w:rsidRDefault="000D61C1" w:rsidP="003563F9">
            <w:pPr>
              <w:pStyle w:val="ListParagraph"/>
              <w:numPr>
                <w:ilvl w:val="1"/>
                <w:numId w:val="15"/>
              </w:numPr>
              <w:ind w:left="1440"/>
              <w:jc w:val="both"/>
              <w:rPr>
                <w:rFonts w:eastAsia="Times New Roman"/>
                <w:i/>
                <w:iCs/>
                <w:color w:val="000000"/>
                <w:sz w:val="20"/>
                <w:szCs w:val="20"/>
              </w:rPr>
            </w:pPr>
            <w:r>
              <w:rPr>
                <w:rFonts w:eastAsia="Times New Roman"/>
                <w:i/>
                <w:iCs/>
                <w:color w:val="000000"/>
                <w:sz w:val="20"/>
                <w:szCs w:val="20"/>
              </w:rPr>
              <w:t>‘</w:t>
            </w:r>
            <w:r w:rsidRPr="000D61C1">
              <w:rPr>
                <w:rFonts w:eastAsia="Times New Roman"/>
                <w:i/>
                <w:iCs/>
                <w:color w:val="000000"/>
                <w:sz w:val="20"/>
                <w:szCs w:val="20"/>
              </w:rPr>
              <w:t>NoT_Table_</w:t>
            </w:r>
            <w:r>
              <w:rPr>
                <w:rFonts w:eastAsia="Times New Roman"/>
                <w:i/>
                <w:iCs/>
                <w:color w:val="000000"/>
                <w:sz w:val="20"/>
                <w:szCs w:val="20"/>
              </w:rPr>
              <w:t>6</w:t>
            </w:r>
            <w:r w:rsidRPr="000D61C1">
              <w:rPr>
                <w:rFonts w:eastAsia="Times New Roman"/>
                <w:i/>
                <w:iCs/>
                <w:color w:val="000000"/>
                <w:sz w:val="20"/>
                <w:szCs w:val="20"/>
              </w:rPr>
              <w:t>.docx</w:t>
            </w:r>
            <w:r>
              <w:rPr>
                <w:rFonts w:eastAsia="Times New Roman"/>
                <w:i/>
                <w:iCs/>
                <w:color w:val="000000"/>
                <w:sz w:val="20"/>
                <w:szCs w:val="20"/>
              </w:rPr>
              <w:t>’</w:t>
            </w:r>
          </w:p>
          <w:p w14:paraId="5F04353B" w14:textId="77777777" w:rsidR="000D61C1" w:rsidRDefault="000D61C1" w:rsidP="003563F9">
            <w:pPr>
              <w:pStyle w:val="ListParagraph"/>
              <w:numPr>
                <w:ilvl w:val="1"/>
                <w:numId w:val="15"/>
              </w:numPr>
              <w:ind w:left="1440"/>
              <w:jc w:val="both"/>
              <w:rPr>
                <w:rFonts w:eastAsia="Times New Roman"/>
                <w:i/>
                <w:iCs/>
                <w:color w:val="000000"/>
                <w:sz w:val="20"/>
                <w:szCs w:val="20"/>
              </w:rPr>
            </w:pPr>
            <w:r>
              <w:rPr>
                <w:rFonts w:eastAsia="Times New Roman"/>
                <w:i/>
                <w:iCs/>
                <w:color w:val="000000"/>
                <w:sz w:val="20"/>
                <w:szCs w:val="20"/>
              </w:rPr>
              <w:t>‘</w:t>
            </w:r>
            <w:r w:rsidRPr="000D61C1">
              <w:rPr>
                <w:rFonts w:eastAsia="Times New Roman"/>
                <w:i/>
                <w:iCs/>
                <w:color w:val="000000"/>
                <w:sz w:val="20"/>
                <w:szCs w:val="20"/>
              </w:rPr>
              <w:t>NoT_Table_</w:t>
            </w:r>
            <w:r>
              <w:rPr>
                <w:rFonts w:eastAsia="Times New Roman"/>
                <w:i/>
                <w:iCs/>
                <w:color w:val="000000"/>
                <w:sz w:val="20"/>
                <w:szCs w:val="20"/>
              </w:rPr>
              <w:t>7</w:t>
            </w:r>
            <w:r w:rsidRPr="000D61C1">
              <w:rPr>
                <w:rFonts w:eastAsia="Times New Roman"/>
                <w:i/>
                <w:iCs/>
                <w:color w:val="000000"/>
                <w:sz w:val="20"/>
                <w:szCs w:val="20"/>
              </w:rPr>
              <w:t>.docx</w:t>
            </w:r>
            <w:r>
              <w:rPr>
                <w:rFonts w:eastAsia="Times New Roman"/>
                <w:i/>
                <w:iCs/>
                <w:color w:val="000000"/>
                <w:sz w:val="20"/>
                <w:szCs w:val="20"/>
              </w:rPr>
              <w:t>’</w:t>
            </w:r>
          </w:p>
          <w:p w14:paraId="4E4830BF" w14:textId="3C4904ED" w:rsidR="000D61C1" w:rsidRPr="000D61C1" w:rsidRDefault="000D61C1" w:rsidP="000D61C1">
            <w:pPr>
              <w:pStyle w:val="ListParagraph"/>
              <w:ind w:left="1080"/>
              <w:jc w:val="both"/>
              <w:rPr>
                <w:rFonts w:eastAsia="Times New Roman"/>
                <w:i/>
                <w:iCs/>
                <w:color w:val="000000"/>
                <w:sz w:val="20"/>
                <w:szCs w:val="20"/>
              </w:rPr>
            </w:pPr>
          </w:p>
        </w:tc>
      </w:tr>
      <w:tr w:rsidR="009F37B5" w:rsidRPr="00B208FD" w14:paraId="37937CEB" w14:textId="77777777" w:rsidTr="003648A1">
        <w:tc>
          <w:tcPr>
            <w:tcW w:w="1786" w:type="dxa"/>
            <w:vMerge/>
          </w:tcPr>
          <w:p w14:paraId="7ED5ABE4" w14:textId="77777777" w:rsidR="00B208FD" w:rsidRPr="00B208FD" w:rsidRDefault="00B208FD" w:rsidP="00C80590">
            <w:pPr>
              <w:jc w:val="both"/>
              <w:rPr>
                <w:rFonts w:eastAsia="Times New Roman"/>
                <w:color w:val="000000"/>
                <w:sz w:val="20"/>
                <w:szCs w:val="20"/>
              </w:rPr>
            </w:pPr>
          </w:p>
        </w:tc>
        <w:tc>
          <w:tcPr>
            <w:tcW w:w="1830" w:type="dxa"/>
            <w:vMerge w:val="restart"/>
          </w:tcPr>
          <w:p w14:paraId="66304BFA" w14:textId="448FC0CE" w:rsidR="00B208FD" w:rsidRPr="00B208FD" w:rsidRDefault="00B208FD" w:rsidP="00C80590">
            <w:pPr>
              <w:jc w:val="both"/>
              <w:rPr>
                <w:rFonts w:eastAsia="Times New Roman"/>
                <w:color w:val="000000"/>
                <w:sz w:val="20"/>
                <w:szCs w:val="20"/>
              </w:rPr>
            </w:pPr>
          </w:p>
        </w:tc>
        <w:tc>
          <w:tcPr>
            <w:tcW w:w="5598" w:type="dxa"/>
          </w:tcPr>
          <w:p w14:paraId="0E66E63B" w14:textId="7A0F465F" w:rsidR="00B208FD" w:rsidRPr="00B208FD" w:rsidRDefault="00B208FD" w:rsidP="00C80590">
            <w:pPr>
              <w:tabs>
                <w:tab w:val="left" w:pos="490"/>
              </w:tabs>
              <w:jc w:val="both"/>
              <w:rPr>
                <w:rFonts w:eastAsia="Times New Roman"/>
                <w:color w:val="000000"/>
                <w:sz w:val="20"/>
                <w:szCs w:val="20"/>
              </w:rPr>
            </w:pPr>
            <w:r w:rsidRPr="00B208FD">
              <w:rPr>
                <w:rFonts w:eastAsia="Times New Roman"/>
                <w:color w:val="000000"/>
                <w:sz w:val="20"/>
                <w:szCs w:val="20"/>
              </w:rPr>
              <w:t>Folder: ‘</w:t>
            </w:r>
            <w:r w:rsidR="00EE1882" w:rsidRPr="00EE1882">
              <w:rPr>
                <w:rFonts w:eastAsia="Times New Roman"/>
                <w:color w:val="000000"/>
                <w:sz w:val="20"/>
                <w:szCs w:val="20"/>
              </w:rPr>
              <w:t>2.2.2_Brighton_Participants_Scores_and_Notes</w:t>
            </w:r>
            <w:r w:rsidR="00EE1882">
              <w:rPr>
                <w:rFonts w:eastAsia="Times New Roman"/>
                <w:color w:val="000000"/>
                <w:sz w:val="20"/>
                <w:szCs w:val="20"/>
              </w:rPr>
              <w:t>’</w:t>
            </w:r>
          </w:p>
          <w:p w14:paraId="4FB9979D" w14:textId="77777777" w:rsidR="00B208FD" w:rsidRDefault="00B208FD" w:rsidP="00B208FD">
            <w:pPr>
              <w:rPr>
                <w:b/>
                <w:bCs/>
                <w:sz w:val="20"/>
                <w:szCs w:val="20"/>
              </w:rPr>
            </w:pPr>
          </w:p>
          <w:p w14:paraId="5E9A6809" w14:textId="1A61BCE3" w:rsidR="00343DDE" w:rsidRPr="001836E3" w:rsidRDefault="00343DDE" w:rsidP="001836E3">
            <w:pPr>
              <w:jc w:val="both"/>
              <w:rPr>
                <w:rFonts w:eastAsia="Times New Roman" w:cstheme="minorHAnsi"/>
                <w:sz w:val="20"/>
                <w:szCs w:val="20"/>
                <w:lang w:eastAsia="en-GB"/>
              </w:rPr>
            </w:pPr>
            <w:r w:rsidRPr="001836E3">
              <w:rPr>
                <w:rFonts w:eastAsia="Times New Roman" w:cstheme="minorHAnsi"/>
                <w:sz w:val="20"/>
                <w:szCs w:val="20"/>
                <w:lang w:eastAsia="en-GB"/>
              </w:rPr>
              <w:t>In the focus group, participants score</w:t>
            </w:r>
            <w:r w:rsidR="001836E3">
              <w:rPr>
                <w:rFonts w:eastAsia="Times New Roman" w:cstheme="minorHAnsi"/>
                <w:sz w:val="20"/>
                <w:szCs w:val="20"/>
                <w:lang w:eastAsia="en-GB"/>
              </w:rPr>
              <w:t>d</w:t>
            </w:r>
            <w:r w:rsidRPr="001836E3">
              <w:rPr>
                <w:rFonts w:eastAsia="Times New Roman" w:cstheme="minorHAnsi"/>
                <w:sz w:val="20"/>
                <w:szCs w:val="20"/>
                <w:lang w:eastAsia="en-GB"/>
              </w:rPr>
              <w:t xml:space="preserve"> a range of measures according to their contribution to a set of wellbeing indicators</w:t>
            </w:r>
            <w:r w:rsidR="001836E3">
              <w:rPr>
                <w:rFonts w:eastAsia="Times New Roman" w:cstheme="minorHAnsi"/>
                <w:sz w:val="20"/>
                <w:szCs w:val="20"/>
                <w:lang w:eastAsia="en-GB"/>
              </w:rPr>
              <w:t xml:space="preserve"> (see Table 2, below)</w:t>
            </w:r>
            <w:r w:rsidRPr="001836E3">
              <w:rPr>
                <w:rFonts w:eastAsia="Times New Roman" w:cstheme="minorHAnsi"/>
                <w:sz w:val="20"/>
                <w:szCs w:val="20"/>
                <w:lang w:eastAsia="en-GB"/>
              </w:rPr>
              <w:t>, using a version of a multi-criteria mapping (MCM) method</w:t>
            </w:r>
            <w:r w:rsidRPr="001836E3">
              <w:rPr>
                <w:rFonts w:eastAsia="Times New Roman" w:cstheme="minorHAnsi"/>
                <w:sz w:val="20"/>
                <w:szCs w:val="20"/>
                <w:lang w:eastAsia="en-GB"/>
              </w:rPr>
              <w:t>.</w:t>
            </w:r>
            <w:r w:rsidR="001836E3">
              <w:rPr>
                <w:rFonts w:eastAsia="Times New Roman" w:cstheme="minorHAnsi"/>
                <w:sz w:val="20"/>
                <w:szCs w:val="20"/>
                <w:lang w:eastAsia="en-GB"/>
              </w:rPr>
              <w:t xml:space="preserve"> The following folder contains the scores and notes for Brighton participants.</w:t>
            </w:r>
          </w:p>
          <w:p w14:paraId="480B25BB" w14:textId="77777777" w:rsidR="00343DDE" w:rsidRPr="00B208FD" w:rsidRDefault="00343DDE" w:rsidP="00B208FD">
            <w:pPr>
              <w:rPr>
                <w:b/>
                <w:bCs/>
                <w:sz w:val="20"/>
                <w:szCs w:val="20"/>
              </w:rPr>
            </w:pPr>
          </w:p>
          <w:p w14:paraId="34F27616" w14:textId="278CD341" w:rsidR="00B208FD" w:rsidRDefault="00D050BA" w:rsidP="00EE1882">
            <w:pPr>
              <w:ind w:left="360"/>
              <w:rPr>
                <w:sz w:val="20"/>
                <w:szCs w:val="20"/>
              </w:rPr>
            </w:pPr>
            <w:r>
              <w:rPr>
                <w:sz w:val="20"/>
                <w:szCs w:val="20"/>
              </w:rPr>
              <w:t>F</w:t>
            </w:r>
            <w:r w:rsidR="00B208FD" w:rsidRPr="00B208FD">
              <w:rPr>
                <w:sz w:val="20"/>
                <w:szCs w:val="20"/>
              </w:rPr>
              <w:t xml:space="preserve">iles in </w:t>
            </w:r>
            <w:r w:rsidR="005D49A8">
              <w:rPr>
                <w:sz w:val="20"/>
                <w:szCs w:val="20"/>
              </w:rPr>
              <w:t xml:space="preserve">the </w:t>
            </w:r>
            <w:r w:rsidR="00B208FD" w:rsidRPr="00B208FD">
              <w:rPr>
                <w:sz w:val="20"/>
                <w:szCs w:val="20"/>
              </w:rPr>
              <w:t>folder:</w:t>
            </w:r>
          </w:p>
          <w:p w14:paraId="111554F0" w14:textId="77777777" w:rsidR="00EE1882" w:rsidRPr="00B208FD" w:rsidRDefault="00EE1882" w:rsidP="00EE1882">
            <w:pPr>
              <w:ind w:left="360"/>
              <w:rPr>
                <w:sz w:val="20"/>
                <w:szCs w:val="20"/>
              </w:rPr>
            </w:pPr>
          </w:p>
          <w:p w14:paraId="66693417" w14:textId="17A1B167" w:rsidR="00EE1882" w:rsidRDefault="00EE1882" w:rsidP="00EE1882">
            <w:pPr>
              <w:pStyle w:val="ListParagraph"/>
              <w:numPr>
                <w:ilvl w:val="0"/>
                <w:numId w:val="9"/>
              </w:numPr>
              <w:rPr>
                <w:i/>
                <w:iCs/>
                <w:sz w:val="20"/>
                <w:szCs w:val="20"/>
              </w:rPr>
            </w:pPr>
            <w:r>
              <w:rPr>
                <w:i/>
                <w:iCs/>
                <w:sz w:val="20"/>
                <w:szCs w:val="20"/>
              </w:rPr>
              <w:t>‘</w:t>
            </w:r>
            <w:r w:rsidRPr="00EE1882">
              <w:rPr>
                <w:i/>
                <w:iCs/>
                <w:sz w:val="20"/>
                <w:szCs w:val="20"/>
              </w:rPr>
              <w:t>Brighton_Participants_Notes.pdf</w:t>
            </w:r>
            <w:r>
              <w:rPr>
                <w:i/>
                <w:iCs/>
                <w:sz w:val="20"/>
                <w:szCs w:val="20"/>
              </w:rPr>
              <w:t>’</w:t>
            </w:r>
          </w:p>
          <w:p w14:paraId="3D32A60E" w14:textId="77777777" w:rsidR="00EE1882" w:rsidRDefault="00EE1882" w:rsidP="00EE1882">
            <w:pPr>
              <w:pStyle w:val="ListParagraph"/>
              <w:rPr>
                <w:i/>
                <w:iCs/>
                <w:sz w:val="20"/>
                <w:szCs w:val="20"/>
              </w:rPr>
            </w:pPr>
          </w:p>
          <w:p w14:paraId="1C9B202E" w14:textId="0CFD2460" w:rsidR="00B208FD" w:rsidRPr="005D49A8" w:rsidRDefault="00B208FD" w:rsidP="00EE1882">
            <w:pPr>
              <w:pStyle w:val="ListParagraph"/>
              <w:numPr>
                <w:ilvl w:val="0"/>
                <w:numId w:val="9"/>
              </w:numPr>
              <w:rPr>
                <w:i/>
                <w:iCs/>
                <w:sz w:val="20"/>
                <w:szCs w:val="20"/>
              </w:rPr>
            </w:pPr>
            <w:r w:rsidRPr="005D49A8">
              <w:rPr>
                <w:i/>
                <w:iCs/>
                <w:sz w:val="20"/>
                <w:szCs w:val="20"/>
              </w:rPr>
              <w:t>‘Brighton_Scores_vs_Health_Ben.docx’</w:t>
            </w:r>
          </w:p>
          <w:p w14:paraId="1CAA7EA3" w14:textId="77777777" w:rsidR="00B208FD" w:rsidRPr="005D49A8" w:rsidRDefault="00B208FD" w:rsidP="00EE1882">
            <w:pPr>
              <w:rPr>
                <w:i/>
                <w:iCs/>
                <w:sz w:val="20"/>
                <w:szCs w:val="20"/>
              </w:rPr>
            </w:pPr>
          </w:p>
          <w:p w14:paraId="5EE1F37A" w14:textId="75422321" w:rsidR="00B208FD" w:rsidRPr="005D49A8" w:rsidRDefault="00B208FD" w:rsidP="00EE1882">
            <w:pPr>
              <w:pStyle w:val="ListParagraph"/>
              <w:numPr>
                <w:ilvl w:val="0"/>
                <w:numId w:val="9"/>
              </w:numPr>
              <w:rPr>
                <w:i/>
                <w:iCs/>
                <w:sz w:val="20"/>
                <w:szCs w:val="20"/>
              </w:rPr>
            </w:pPr>
            <w:r w:rsidRPr="005D49A8">
              <w:rPr>
                <w:i/>
                <w:iCs/>
                <w:sz w:val="20"/>
                <w:szCs w:val="20"/>
              </w:rPr>
              <w:t>‘Brighton_Scores_vs_Qual_Jobs.docx’</w:t>
            </w:r>
          </w:p>
          <w:p w14:paraId="3F524916" w14:textId="77777777" w:rsidR="00B208FD" w:rsidRPr="005D49A8" w:rsidRDefault="00B208FD" w:rsidP="00EE1882">
            <w:pPr>
              <w:rPr>
                <w:i/>
                <w:iCs/>
                <w:sz w:val="20"/>
                <w:szCs w:val="20"/>
              </w:rPr>
            </w:pPr>
          </w:p>
          <w:p w14:paraId="430E6A4D" w14:textId="0D6BFCD6" w:rsidR="00B208FD" w:rsidRPr="005D49A8" w:rsidRDefault="00B208FD" w:rsidP="00EE1882">
            <w:pPr>
              <w:pStyle w:val="ListParagraph"/>
              <w:numPr>
                <w:ilvl w:val="0"/>
                <w:numId w:val="9"/>
              </w:numPr>
              <w:rPr>
                <w:i/>
                <w:iCs/>
                <w:sz w:val="20"/>
                <w:szCs w:val="20"/>
              </w:rPr>
            </w:pPr>
            <w:r w:rsidRPr="005D49A8">
              <w:rPr>
                <w:i/>
                <w:iCs/>
                <w:sz w:val="20"/>
                <w:szCs w:val="20"/>
              </w:rPr>
              <w:t>‘Brighton_Scores_vs_Safe_and_Clean_Env.docx’</w:t>
            </w:r>
          </w:p>
          <w:p w14:paraId="1506799D" w14:textId="77777777" w:rsidR="00B208FD" w:rsidRPr="005D49A8" w:rsidRDefault="00B208FD" w:rsidP="00EE1882">
            <w:pPr>
              <w:pStyle w:val="ListParagraph"/>
              <w:rPr>
                <w:i/>
                <w:iCs/>
                <w:sz w:val="20"/>
                <w:szCs w:val="20"/>
              </w:rPr>
            </w:pPr>
          </w:p>
          <w:p w14:paraId="671ED3F8" w14:textId="76F1670F" w:rsidR="00B208FD" w:rsidRPr="005D49A8" w:rsidRDefault="00B208FD" w:rsidP="00EE1882">
            <w:pPr>
              <w:pStyle w:val="ListParagraph"/>
              <w:numPr>
                <w:ilvl w:val="0"/>
                <w:numId w:val="9"/>
              </w:numPr>
              <w:rPr>
                <w:i/>
                <w:iCs/>
                <w:sz w:val="20"/>
                <w:szCs w:val="20"/>
              </w:rPr>
            </w:pPr>
            <w:r w:rsidRPr="005D49A8">
              <w:rPr>
                <w:i/>
                <w:iCs/>
                <w:sz w:val="20"/>
                <w:szCs w:val="20"/>
              </w:rPr>
              <w:t>‘Brighton_Scores_vs_Safe_and_Supportive_Comms.docx’</w:t>
            </w:r>
          </w:p>
          <w:p w14:paraId="4E3D8BAA" w14:textId="77777777" w:rsidR="00B208FD" w:rsidRPr="005D49A8" w:rsidRDefault="00B208FD" w:rsidP="00EE1882">
            <w:pPr>
              <w:pStyle w:val="ListParagraph"/>
              <w:rPr>
                <w:i/>
                <w:iCs/>
                <w:sz w:val="20"/>
                <w:szCs w:val="20"/>
              </w:rPr>
            </w:pPr>
          </w:p>
          <w:p w14:paraId="3E47073E" w14:textId="09DA38C9" w:rsidR="00B208FD" w:rsidRPr="005D49A8" w:rsidRDefault="00B208FD" w:rsidP="00EE1882">
            <w:pPr>
              <w:pStyle w:val="ListParagraph"/>
              <w:numPr>
                <w:ilvl w:val="0"/>
                <w:numId w:val="9"/>
              </w:numPr>
              <w:rPr>
                <w:i/>
                <w:iCs/>
                <w:sz w:val="20"/>
                <w:szCs w:val="20"/>
              </w:rPr>
            </w:pPr>
            <w:r w:rsidRPr="005D49A8">
              <w:rPr>
                <w:i/>
                <w:iCs/>
                <w:sz w:val="20"/>
                <w:szCs w:val="20"/>
              </w:rPr>
              <w:t>‘Brighton_Scores_vs_Tackling_CC.docx’</w:t>
            </w:r>
          </w:p>
          <w:p w14:paraId="2C3D51D0" w14:textId="77777777" w:rsidR="00B208FD" w:rsidRPr="005D49A8" w:rsidRDefault="00B208FD" w:rsidP="00EE1882">
            <w:pPr>
              <w:pStyle w:val="ListParagraph"/>
              <w:rPr>
                <w:i/>
                <w:iCs/>
                <w:sz w:val="20"/>
                <w:szCs w:val="20"/>
              </w:rPr>
            </w:pPr>
          </w:p>
          <w:p w14:paraId="6DE46379" w14:textId="7DD299D2" w:rsidR="00B208FD" w:rsidRPr="005D49A8" w:rsidRDefault="00B208FD" w:rsidP="00EE1882">
            <w:pPr>
              <w:pStyle w:val="ListParagraph"/>
              <w:numPr>
                <w:ilvl w:val="0"/>
                <w:numId w:val="9"/>
              </w:numPr>
              <w:rPr>
                <w:i/>
                <w:iCs/>
                <w:sz w:val="20"/>
                <w:szCs w:val="20"/>
              </w:rPr>
            </w:pPr>
            <w:r w:rsidRPr="005D49A8">
              <w:rPr>
                <w:i/>
                <w:iCs/>
                <w:sz w:val="20"/>
                <w:szCs w:val="20"/>
              </w:rPr>
              <w:t>‘Brighton_Scores_vs_Value_Money.docx’</w:t>
            </w:r>
          </w:p>
          <w:p w14:paraId="65DFA34A" w14:textId="4B665841" w:rsidR="00B208FD" w:rsidRPr="00B208FD" w:rsidRDefault="00B208FD" w:rsidP="00C80590">
            <w:pPr>
              <w:tabs>
                <w:tab w:val="left" w:pos="490"/>
              </w:tabs>
              <w:jc w:val="both"/>
              <w:rPr>
                <w:rFonts w:eastAsia="Times New Roman"/>
                <w:color w:val="000000"/>
                <w:sz w:val="20"/>
                <w:szCs w:val="20"/>
              </w:rPr>
            </w:pPr>
          </w:p>
        </w:tc>
      </w:tr>
      <w:tr w:rsidR="00F111CB" w:rsidRPr="00B208FD" w14:paraId="0D2396F9" w14:textId="77777777" w:rsidTr="003648A1">
        <w:trPr>
          <w:trHeight w:val="4474"/>
        </w:trPr>
        <w:tc>
          <w:tcPr>
            <w:tcW w:w="1786" w:type="dxa"/>
            <w:vMerge/>
          </w:tcPr>
          <w:p w14:paraId="6A27171F" w14:textId="77777777" w:rsidR="00F111CB" w:rsidRPr="00B208FD" w:rsidRDefault="00F111CB" w:rsidP="00C80590">
            <w:pPr>
              <w:jc w:val="both"/>
              <w:rPr>
                <w:rFonts w:eastAsia="Times New Roman"/>
                <w:color w:val="000000"/>
                <w:sz w:val="20"/>
                <w:szCs w:val="20"/>
              </w:rPr>
            </w:pPr>
          </w:p>
        </w:tc>
        <w:tc>
          <w:tcPr>
            <w:tcW w:w="1830" w:type="dxa"/>
            <w:vMerge/>
          </w:tcPr>
          <w:p w14:paraId="78AEF03D" w14:textId="77777777" w:rsidR="00F111CB" w:rsidRPr="00B208FD" w:rsidRDefault="00F111CB" w:rsidP="00C80590">
            <w:pPr>
              <w:jc w:val="both"/>
              <w:rPr>
                <w:rFonts w:eastAsia="Times New Roman"/>
                <w:color w:val="000000"/>
                <w:sz w:val="20"/>
                <w:szCs w:val="20"/>
              </w:rPr>
            </w:pPr>
          </w:p>
        </w:tc>
        <w:tc>
          <w:tcPr>
            <w:tcW w:w="5598" w:type="dxa"/>
          </w:tcPr>
          <w:p w14:paraId="10767F8F" w14:textId="06D8882A" w:rsidR="00F111CB" w:rsidRDefault="00F111CB" w:rsidP="00C80590">
            <w:pPr>
              <w:jc w:val="both"/>
              <w:rPr>
                <w:rFonts w:eastAsia="Times New Roman"/>
                <w:color w:val="000000"/>
                <w:sz w:val="20"/>
                <w:szCs w:val="20"/>
              </w:rPr>
            </w:pPr>
            <w:r w:rsidRPr="00B208FD">
              <w:rPr>
                <w:rFonts w:eastAsia="Times New Roman"/>
                <w:color w:val="000000"/>
                <w:sz w:val="20"/>
                <w:szCs w:val="20"/>
              </w:rPr>
              <w:t>Folder: ‘</w:t>
            </w:r>
            <w:r w:rsidRPr="00EE1882">
              <w:rPr>
                <w:rFonts w:eastAsia="Times New Roman"/>
                <w:color w:val="000000"/>
                <w:sz w:val="20"/>
                <w:szCs w:val="20"/>
              </w:rPr>
              <w:t>2.2.3_NoT_Participants_Scores_and_Notes</w:t>
            </w:r>
            <w:r w:rsidRPr="00B208FD">
              <w:rPr>
                <w:rFonts w:eastAsia="Times New Roman"/>
                <w:color w:val="000000"/>
                <w:sz w:val="20"/>
                <w:szCs w:val="20"/>
              </w:rPr>
              <w:t>’</w:t>
            </w:r>
          </w:p>
          <w:p w14:paraId="1DBD527C" w14:textId="77777777" w:rsidR="00343DDE" w:rsidRDefault="00343DDE" w:rsidP="00C80590">
            <w:pPr>
              <w:jc w:val="both"/>
              <w:rPr>
                <w:rFonts w:eastAsia="Times New Roman"/>
                <w:color w:val="000000"/>
                <w:sz w:val="20"/>
                <w:szCs w:val="20"/>
              </w:rPr>
            </w:pPr>
          </w:p>
          <w:p w14:paraId="05B87370" w14:textId="106C6B95" w:rsidR="001836E3" w:rsidRPr="001836E3" w:rsidRDefault="001836E3" w:rsidP="001836E3">
            <w:pPr>
              <w:jc w:val="both"/>
              <w:rPr>
                <w:rFonts w:eastAsia="Times New Roman" w:cstheme="minorHAnsi"/>
                <w:sz w:val="20"/>
                <w:szCs w:val="20"/>
                <w:lang w:eastAsia="en-GB"/>
              </w:rPr>
            </w:pPr>
            <w:r w:rsidRPr="001836E3">
              <w:rPr>
                <w:rFonts w:eastAsia="Times New Roman" w:cstheme="minorHAnsi"/>
                <w:sz w:val="20"/>
                <w:szCs w:val="20"/>
                <w:lang w:eastAsia="en-GB"/>
              </w:rPr>
              <w:t>In the focus group, participants score</w:t>
            </w:r>
            <w:r>
              <w:rPr>
                <w:rFonts w:eastAsia="Times New Roman" w:cstheme="minorHAnsi"/>
                <w:sz w:val="20"/>
                <w:szCs w:val="20"/>
                <w:lang w:eastAsia="en-GB"/>
              </w:rPr>
              <w:t>d</w:t>
            </w:r>
            <w:r w:rsidRPr="001836E3">
              <w:rPr>
                <w:rFonts w:eastAsia="Times New Roman" w:cstheme="minorHAnsi"/>
                <w:sz w:val="20"/>
                <w:szCs w:val="20"/>
                <w:lang w:eastAsia="en-GB"/>
              </w:rPr>
              <w:t xml:space="preserve"> a range of measures according to their contribution to a set of wellbeing indicators</w:t>
            </w:r>
            <w:r>
              <w:rPr>
                <w:rFonts w:eastAsia="Times New Roman" w:cstheme="minorHAnsi"/>
                <w:sz w:val="20"/>
                <w:szCs w:val="20"/>
                <w:lang w:eastAsia="en-GB"/>
              </w:rPr>
              <w:t xml:space="preserve"> (see Table 2, below)</w:t>
            </w:r>
            <w:r w:rsidRPr="001836E3">
              <w:rPr>
                <w:rFonts w:eastAsia="Times New Roman" w:cstheme="minorHAnsi"/>
                <w:sz w:val="20"/>
                <w:szCs w:val="20"/>
                <w:lang w:eastAsia="en-GB"/>
              </w:rPr>
              <w:t>, using a version of a multi-criteria mapping (MCM) method.</w:t>
            </w:r>
            <w:r>
              <w:rPr>
                <w:rFonts w:eastAsia="Times New Roman" w:cstheme="minorHAnsi"/>
                <w:sz w:val="20"/>
                <w:szCs w:val="20"/>
                <w:lang w:eastAsia="en-GB"/>
              </w:rPr>
              <w:t xml:space="preserve"> The following folder contains the scores and notes for </w:t>
            </w:r>
            <w:r>
              <w:rPr>
                <w:rFonts w:eastAsia="Times New Roman" w:cstheme="minorHAnsi"/>
                <w:sz w:val="20"/>
                <w:szCs w:val="20"/>
                <w:lang w:eastAsia="en-GB"/>
              </w:rPr>
              <w:t>North of Tyne</w:t>
            </w:r>
            <w:r>
              <w:rPr>
                <w:rFonts w:eastAsia="Times New Roman" w:cstheme="minorHAnsi"/>
                <w:sz w:val="20"/>
                <w:szCs w:val="20"/>
                <w:lang w:eastAsia="en-GB"/>
              </w:rPr>
              <w:t xml:space="preserve"> participants.</w:t>
            </w:r>
          </w:p>
          <w:p w14:paraId="7238BD06" w14:textId="77777777" w:rsidR="001836E3" w:rsidRDefault="001836E3" w:rsidP="00C80590">
            <w:pPr>
              <w:jc w:val="both"/>
              <w:rPr>
                <w:rFonts w:eastAsia="Times New Roman"/>
                <w:color w:val="000000"/>
                <w:sz w:val="20"/>
                <w:szCs w:val="20"/>
              </w:rPr>
            </w:pPr>
          </w:p>
          <w:p w14:paraId="7BD164EA" w14:textId="77777777" w:rsidR="00F111CB" w:rsidRDefault="00F111CB" w:rsidP="00EE1882">
            <w:pPr>
              <w:ind w:left="360"/>
              <w:rPr>
                <w:sz w:val="20"/>
                <w:szCs w:val="20"/>
              </w:rPr>
            </w:pPr>
            <w:r>
              <w:rPr>
                <w:sz w:val="20"/>
                <w:szCs w:val="20"/>
              </w:rPr>
              <w:t>F</w:t>
            </w:r>
            <w:r w:rsidRPr="00B208FD">
              <w:rPr>
                <w:sz w:val="20"/>
                <w:szCs w:val="20"/>
              </w:rPr>
              <w:t xml:space="preserve">iles in </w:t>
            </w:r>
            <w:r>
              <w:rPr>
                <w:sz w:val="20"/>
                <w:szCs w:val="20"/>
              </w:rPr>
              <w:t xml:space="preserve">the </w:t>
            </w:r>
            <w:r w:rsidRPr="00B208FD">
              <w:rPr>
                <w:sz w:val="20"/>
                <w:szCs w:val="20"/>
              </w:rPr>
              <w:t>folder:</w:t>
            </w:r>
          </w:p>
          <w:p w14:paraId="2B196716" w14:textId="77777777" w:rsidR="00F111CB" w:rsidRPr="00B208FD" w:rsidRDefault="00F111CB" w:rsidP="00EE1882">
            <w:pPr>
              <w:ind w:left="360"/>
              <w:rPr>
                <w:sz w:val="20"/>
                <w:szCs w:val="20"/>
              </w:rPr>
            </w:pPr>
          </w:p>
          <w:p w14:paraId="0894770F" w14:textId="16C0A711" w:rsidR="00F111CB" w:rsidRDefault="00F111CB" w:rsidP="00EE1882">
            <w:pPr>
              <w:pStyle w:val="ListParagraph"/>
              <w:numPr>
                <w:ilvl w:val="0"/>
                <w:numId w:val="9"/>
              </w:numPr>
              <w:rPr>
                <w:i/>
                <w:iCs/>
                <w:sz w:val="20"/>
                <w:szCs w:val="20"/>
              </w:rPr>
            </w:pPr>
            <w:r>
              <w:rPr>
                <w:i/>
                <w:iCs/>
                <w:sz w:val="20"/>
                <w:szCs w:val="20"/>
              </w:rPr>
              <w:t>‘NoT</w:t>
            </w:r>
            <w:r w:rsidRPr="00EE1882">
              <w:rPr>
                <w:i/>
                <w:iCs/>
                <w:sz w:val="20"/>
                <w:szCs w:val="20"/>
              </w:rPr>
              <w:t>_Participants_Notes.pdf</w:t>
            </w:r>
            <w:r>
              <w:rPr>
                <w:i/>
                <w:iCs/>
                <w:sz w:val="20"/>
                <w:szCs w:val="20"/>
              </w:rPr>
              <w:t>’</w:t>
            </w:r>
          </w:p>
          <w:p w14:paraId="42A8398A" w14:textId="77777777" w:rsidR="00F111CB" w:rsidRDefault="00F111CB" w:rsidP="00EE1882">
            <w:pPr>
              <w:pStyle w:val="ListParagraph"/>
              <w:rPr>
                <w:i/>
                <w:iCs/>
                <w:sz w:val="20"/>
                <w:szCs w:val="20"/>
              </w:rPr>
            </w:pPr>
          </w:p>
          <w:p w14:paraId="4AB43AB9" w14:textId="49F74021" w:rsidR="00F111CB" w:rsidRPr="005D49A8" w:rsidRDefault="00F111CB" w:rsidP="00EE1882">
            <w:pPr>
              <w:pStyle w:val="ListParagraph"/>
              <w:numPr>
                <w:ilvl w:val="0"/>
                <w:numId w:val="9"/>
              </w:numPr>
              <w:rPr>
                <w:i/>
                <w:iCs/>
                <w:sz w:val="20"/>
                <w:szCs w:val="20"/>
              </w:rPr>
            </w:pPr>
            <w:r w:rsidRPr="005D49A8">
              <w:rPr>
                <w:i/>
                <w:iCs/>
                <w:sz w:val="20"/>
                <w:szCs w:val="20"/>
              </w:rPr>
              <w:t>‘</w:t>
            </w:r>
            <w:r>
              <w:rPr>
                <w:i/>
                <w:iCs/>
                <w:sz w:val="20"/>
                <w:szCs w:val="20"/>
              </w:rPr>
              <w:t>NoT</w:t>
            </w:r>
            <w:r w:rsidRPr="005D49A8">
              <w:rPr>
                <w:i/>
                <w:iCs/>
                <w:sz w:val="20"/>
                <w:szCs w:val="20"/>
              </w:rPr>
              <w:t xml:space="preserve"> _Scores_vs_Health_Ben.docx’</w:t>
            </w:r>
          </w:p>
          <w:p w14:paraId="7F3DB201" w14:textId="77777777" w:rsidR="00F111CB" w:rsidRPr="005D49A8" w:rsidRDefault="00F111CB" w:rsidP="00EE1882">
            <w:pPr>
              <w:rPr>
                <w:i/>
                <w:iCs/>
                <w:sz w:val="20"/>
                <w:szCs w:val="20"/>
              </w:rPr>
            </w:pPr>
          </w:p>
          <w:p w14:paraId="7CE2D8A8" w14:textId="60A263B3" w:rsidR="00F111CB" w:rsidRPr="005D49A8" w:rsidRDefault="00F111CB" w:rsidP="00EE1882">
            <w:pPr>
              <w:pStyle w:val="ListParagraph"/>
              <w:numPr>
                <w:ilvl w:val="0"/>
                <w:numId w:val="9"/>
              </w:numPr>
              <w:rPr>
                <w:i/>
                <w:iCs/>
                <w:sz w:val="20"/>
                <w:szCs w:val="20"/>
              </w:rPr>
            </w:pPr>
            <w:r w:rsidRPr="005D49A8">
              <w:rPr>
                <w:i/>
                <w:iCs/>
                <w:sz w:val="20"/>
                <w:szCs w:val="20"/>
              </w:rPr>
              <w:t>‘</w:t>
            </w:r>
            <w:r>
              <w:rPr>
                <w:i/>
                <w:iCs/>
                <w:sz w:val="20"/>
                <w:szCs w:val="20"/>
              </w:rPr>
              <w:t>NoT</w:t>
            </w:r>
            <w:r w:rsidRPr="005D49A8">
              <w:rPr>
                <w:i/>
                <w:iCs/>
                <w:sz w:val="20"/>
                <w:szCs w:val="20"/>
              </w:rPr>
              <w:t xml:space="preserve"> _Scores_vs_Qual_Jobs.docx’</w:t>
            </w:r>
          </w:p>
          <w:p w14:paraId="259E8E75" w14:textId="77777777" w:rsidR="00F111CB" w:rsidRPr="005D49A8" w:rsidRDefault="00F111CB" w:rsidP="00EE1882">
            <w:pPr>
              <w:rPr>
                <w:i/>
                <w:iCs/>
                <w:sz w:val="20"/>
                <w:szCs w:val="20"/>
              </w:rPr>
            </w:pPr>
          </w:p>
          <w:p w14:paraId="4ECBE7DC" w14:textId="3F339DC9" w:rsidR="00F111CB" w:rsidRPr="005D49A8" w:rsidRDefault="00F111CB" w:rsidP="00EE1882">
            <w:pPr>
              <w:pStyle w:val="ListParagraph"/>
              <w:numPr>
                <w:ilvl w:val="0"/>
                <w:numId w:val="9"/>
              </w:numPr>
              <w:rPr>
                <w:i/>
                <w:iCs/>
                <w:sz w:val="20"/>
                <w:szCs w:val="20"/>
              </w:rPr>
            </w:pPr>
            <w:r w:rsidRPr="005D49A8">
              <w:rPr>
                <w:i/>
                <w:iCs/>
                <w:sz w:val="20"/>
                <w:szCs w:val="20"/>
              </w:rPr>
              <w:t>‘</w:t>
            </w:r>
            <w:r>
              <w:rPr>
                <w:i/>
                <w:iCs/>
                <w:sz w:val="20"/>
                <w:szCs w:val="20"/>
              </w:rPr>
              <w:t>NoT</w:t>
            </w:r>
            <w:r w:rsidRPr="005D49A8">
              <w:rPr>
                <w:i/>
                <w:iCs/>
                <w:sz w:val="20"/>
                <w:szCs w:val="20"/>
              </w:rPr>
              <w:t>_Scores_vs_Safe_and_Clean_Env.docx’</w:t>
            </w:r>
          </w:p>
          <w:p w14:paraId="7F8AB617" w14:textId="77777777" w:rsidR="00F111CB" w:rsidRPr="005D49A8" w:rsidRDefault="00F111CB" w:rsidP="00EE1882">
            <w:pPr>
              <w:pStyle w:val="ListParagraph"/>
              <w:rPr>
                <w:i/>
                <w:iCs/>
                <w:sz w:val="20"/>
                <w:szCs w:val="20"/>
              </w:rPr>
            </w:pPr>
          </w:p>
          <w:p w14:paraId="07788207" w14:textId="0BEAA009" w:rsidR="00F111CB" w:rsidRPr="005D49A8" w:rsidRDefault="00F111CB" w:rsidP="00EE1882">
            <w:pPr>
              <w:pStyle w:val="ListParagraph"/>
              <w:numPr>
                <w:ilvl w:val="0"/>
                <w:numId w:val="9"/>
              </w:numPr>
              <w:rPr>
                <w:i/>
                <w:iCs/>
                <w:sz w:val="20"/>
                <w:szCs w:val="20"/>
              </w:rPr>
            </w:pPr>
            <w:r w:rsidRPr="005D49A8">
              <w:rPr>
                <w:i/>
                <w:iCs/>
                <w:sz w:val="20"/>
                <w:szCs w:val="20"/>
              </w:rPr>
              <w:t>‘</w:t>
            </w:r>
            <w:r>
              <w:rPr>
                <w:i/>
                <w:iCs/>
                <w:sz w:val="20"/>
                <w:szCs w:val="20"/>
              </w:rPr>
              <w:t>NoT</w:t>
            </w:r>
            <w:r w:rsidRPr="005D49A8">
              <w:rPr>
                <w:i/>
                <w:iCs/>
                <w:sz w:val="20"/>
                <w:szCs w:val="20"/>
              </w:rPr>
              <w:t xml:space="preserve"> _Scores_vs_Safe_and_Supportive_Comms.docx’</w:t>
            </w:r>
          </w:p>
          <w:p w14:paraId="3520E8C9" w14:textId="77777777" w:rsidR="00F111CB" w:rsidRPr="005D49A8" w:rsidRDefault="00F111CB" w:rsidP="00EE1882">
            <w:pPr>
              <w:pStyle w:val="ListParagraph"/>
              <w:rPr>
                <w:i/>
                <w:iCs/>
                <w:sz w:val="20"/>
                <w:szCs w:val="20"/>
              </w:rPr>
            </w:pPr>
          </w:p>
          <w:p w14:paraId="4A8F413C" w14:textId="263FE482" w:rsidR="00F111CB" w:rsidRPr="005D49A8" w:rsidRDefault="00F111CB" w:rsidP="00EE1882">
            <w:pPr>
              <w:pStyle w:val="ListParagraph"/>
              <w:numPr>
                <w:ilvl w:val="0"/>
                <w:numId w:val="9"/>
              </w:numPr>
              <w:rPr>
                <w:i/>
                <w:iCs/>
                <w:sz w:val="20"/>
                <w:szCs w:val="20"/>
              </w:rPr>
            </w:pPr>
            <w:r w:rsidRPr="005D49A8">
              <w:rPr>
                <w:i/>
                <w:iCs/>
                <w:sz w:val="20"/>
                <w:szCs w:val="20"/>
              </w:rPr>
              <w:t>‘</w:t>
            </w:r>
            <w:r>
              <w:rPr>
                <w:i/>
                <w:iCs/>
                <w:sz w:val="20"/>
                <w:szCs w:val="20"/>
              </w:rPr>
              <w:t>NoT</w:t>
            </w:r>
            <w:r w:rsidRPr="005D49A8">
              <w:rPr>
                <w:i/>
                <w:iCs/>
                <w:sz w:val="20"/>
                <w:szCs w:val="20"/>
              </w:rPr>
              <w:t>_Scores_vs_Tackling_CC.docx’</w:t>
            </w:r>
          </w:p>
          <w:p w14:paraId="74C668F2" w14:textId="77777777" w:rsidR="00F111CB" w:rsidRPr="005D49A8" w:rsidRDefault="00F111CB" w:rsidP="00EE1882">
            <w:pPr>
              <w:pStyle w:val="ListParagraph"/>
              <w:rPr>
                <w:i/>
                <w:iCs/>
                <w:sz w:val="20"/>
                <w:szCs w:val="20"/>
              </w:rPr>
            </w:pPr>
          </w:p>
          <w:p w14:paraId="6F0F3997" w14:textId="77777777" w:rsidR="00F111CB" w:rsidRDefault="00F111CB" w:rsidP="00F111CB">
            <w:pPr>
              <w:pStyle w:val="ListParagraph"/>
              <w:numPr>
                <w:ilvl w:val="0"/>
                <w:numId w:val="9"/>
              </w:numPr>
              <w:rPr>
                <w:i/>
                <w:iCs/>
                <w:sz w:val="20"/>
                <w:szCs w:val="20"/>
              </w:rPr>
            </w:pPr>
            <w:r w:rsidRPr="005D49A8">
              <w:rPr>
                <w:i/>
                <w:iCs/>
                <w:sz w:val="20"/>
                <w:szCs w:val="20"/>
              </w:rPr>
              <w:t>‘</w:t>
            </w:r>
            <w:r>
              <w:rPr>
                <w:i/>
                <w:iCs/>
                <w:sz w:val="20"/>
                <w:szCs w:val="20"/>
              </w:rPr>
              <w:t>NoT</w:t>
            </w:r>
            <w:r w:rsidRPr="005D49A8">
              <w:rPr>
                <w:i/>
                <w:iCs/>
                <w:sz w:val="20"/>
                <w:szCs w:val="20"/>
              </w:rPr>
              <w:t>_Scores_vs_Value_Money.docx’</w:t>
            </w:r>
          </w:p>
          <w:p w14:paraId="3621493F" w14:textId="77777777" w:rsidR="001836E3" w:rsidRPr="001836E3" w:rsidRDefault="001836E3" w:rsidP="001836E3">
            <w:pPr>
              <w:pStyle w:val="ListParagraph"/>
              <w:rPr>
                <w:i/>
                <w:iCs/>
                <w:sz w:val="20"/>
                <w:szCs w:val="20"/>
              </w:rPr>
            </w:pPr>
          </w:p>
          <w:p w14:paraId="6A4352F0" w14:textId="6A930460" w:rsidR="001836E3" w:rsidRPr="00F111CB" w:rsidRDefault="001836E3" w:rsidP="001836E3">
            <w:pPr>
              <w:pStyle w:val="ListParagraph"/>
              <w:rPr>
                <w:i/>
                <w:iCs/>
                <w:sz w:val="20"/>
                <w:szCs w:val="20"/>
              </w:rPr>
            </w:pPr>
          </w:p>
        </w:tc>
      </w:tr>
      <w:tr w:rsidR="003F321E" w:rsidRPr="00B208FD" w14:paraId="0BA6F469" w14:textId="77777777" w:rsidTr="003F321E">
        <w:trPr>
          <w:trHeight w:val="1975"/>
        </w:trPr>
        <w:tc>
          <w:tcPr>
            <w:tcW w:w="1786" w:type="dxa"/>
          </w:tcPr>
          <w:p w14:paraId="2FD333EA" w14:textId="77777777" w:rsidR="003F321E" w:rsidRPr="00B208FD" w:rsidRDefault="003F321E" w:rsidP="00C80590">
            <w:pPr>
              <w:jc w:val="both"/>
              <w:rPr>
                <w:rFonts w:eastAsia="Times New Roman"/>
                <w:color w:val="000000"/>
                <w:sz w:val="20"/>
                <w:szCs w:val="20"/>
              </w:rPr>
            </w:pPr>
          </w:p>
        </w:tc>
        <w:tc>
          <w:tcPr>
            <w:tcW w:w="1830" w:type="dxa"/>
          </w:tcPr>
          <w:p w14:paraId="547B6A34" w14:textId="77777777" w:rsidR="003F321E" w:rsidRPr="00B208FD" w:rsidRDefault="003F321E" w:rsidP="00C80590">
            <w:pPr>
              <w:jc w:val="both"/>
              <w:rPr>
                <w:rFonts w:eastAsia="Times New Roman"/>
                <w:color w:val="000000"/>
                <w:sz w:val="20"/>
                <w:szCs w:val="20"/>
              </w:rPr>
            </w:pPr>
          </w:p>
        </w:tc>
        <w:tc>
          <w:tcPr>
            <w:tcW w:w="5598" w:type="dxa"/>
          </w:tcPr>
          <w:p w14:paraId="1433CACF" w14:textId="77777777" w:rsidR="003F321E" w:rsidRDefault="003F321E" w:rsidP="00C80590">
            <w:pPr>
              <w:jc w:val="both"/>
              <w:rPr>
                <w:rFonts w:eastAsia="Times New Roman"/>
                <w:sz w:val="20"/>
                <w:szCs w:val="20"/>
              </w:rPr>
            </w:pPr>
            <w:r>
              <w:rPr>
                <w:rFonts w:eastAsia="Times New Roman"/>
                <w:color w:val="000000"/>
                <w:sz w:val="20"/>
                <w:szCs w:val="20"/>
              </w:rPr>
              <w:t>F</w:t>
            </w:r>
            <w:r>
              <w:rPr>
                <w:rFonts w:eastAsia="Times New Roman"/>
                <w:sz w:val="20"/>
                <w:szCs w:val="20"/>
              </w:rPr>
              <w:t>older: ‘</w:t>
            </w:r>
            <w:r w:rsidRPr="003F321E">
              <w:rPr>
                <w:rFonts w:eastAsia="Times New Roman"/>
                <w:sz w:val="20"/>
                <w:szCs w:val="20"/>
              </w:rPr>
              <w:t>2.2.4_Brighton_and_NoT_MCM_Weights_per_Indiv</w:t>
            </w:r>
            <w:r>
              <w:rPr>
                <w:rFonts w:eastAsia="Times New Roman"/>
                <w:sz w:val="20"/>
                <w:szCs w:val="20"/>
              </w:rPr>
              <w:t>’</w:t>
            </w:r>
          </w:p>
          <w:p w14:paraId="0BCB6831" w14:textId="77777777" w:rsidR="00343DDE" w:rsidRDefault="00343DDE" w:rsidP="00343DDE">
            <w:pPr>
              <w:jc w:val="both"/>
              <w:rPr>
                <w:rFonts w:ascii="Arial" w:eastAsia="Times New Roman" w:hAnsi="Arial" w:cs="Arial"/>
                <w:lang w:eastAsia="en-GB"/>
              </w:rPr>
            </w:pPr>
          </w:p>
          <w:p w14:paraId="3834D0D9" w14:textId="15E9D628" w:rsidR="001836E3" w:rsidRPr="001836E3" w:rsidRDefault="001836E3" w:rsidP="001836E3">
            <w:pPr>
              <w:jc w:val="both"/>
              <w:rPr>
                <w:rFonts w:eastAsia="Times New Roman" w:cstheme="minorHAnsi"/>
                <w:sz w:val="20"/>
                <w:szCs w:val="20"/>
                <w:lang w:eastAsia="en-GB"/>
              </w:rPr>
            </w:pPr>
            <w:r w:rsidRPr="001836E3">
              <w:rPr>
                <w:rFonts w:eastAsia="Times New Roman" w:cstheme="minorHAnsi"/>
                <w:sz w:val="20"/>
                <w:szCs w:val="20"/>
                <w:lang w:eastAsia="en-GB"/>
              </w:rPr>
              <w:t>In the focus group, participants score</w:t>
            </w:r>
            <w:r>
              <w:rPr>
                <w:rFonts w:eastAsia="Times New Roman" w:cstheme="minorHAnsi"/>
                <w:sz w:val="20"/>
                <w:szCs w:val="20"/>
                <w:lang w:eastAsia="en-GB"/>
              </w:rPr>
              <w:t>d</w:t>
            </w:r>
            <w:r w:rsidRPr="001836E3">
              <w:rPr>
                <w:rFonts w:eastAsia="Times New Roman" w:cstheme="minorHAnsi"/>
                <w:sz w:val="20"/>
                <w:szCs w:val="20"/>
                <w:lang w:eastAsia="en-GB"/>
              </w:rPr>
              <w:t xml:space="preserve"> a range of measures</w:t>
            </w:r>
            <w:r>
              <w:rPr>
                <w:rFonts w:eastAsia="Times New Roman" w:cstheme="minorHAnsi"/>
                <w:sz w:val="20"/>
                <w:szCs w:val="20"/>
                <w:lang w:eastAsia="en-GB"/>
              </w:rPr>
              <w:t xml:space="preserve"> (in folder 2.2.3)</w:t>
            </w:r>
            <w:r w:rsidRPr="001836E3">
              <w:rPr>
                <w:rFonts w:eastAsia="Times New Roman" w:cstheme="minorHAnsi"/>
                <w:sz w:val="20"/>
                <w:szCs w:val="20"/>
                <w:lang w:eastAsia="en-GB"/>
              </w:rPr>
              <w:t xml:space="preserve"> according to their contribution to a set of wellbeing indicators</w:t>
            </w:r>
            <w:r>
              <w:rPr>
                <w:rFonts w:eastAsia="Times New Roman" w:cstheme="minorHAnsi"/>
                <w:sz w:val="20"/>
                <w:szCs w:val="20"/>
                <w:lang w:eastAsia="en-GB"/>
              </w:rPr>
              <w:t xml:space="preserve"> (see Table 2, below)</w:t>
            </w:r>
            <w:r w:rsidRPr="001836E3">
              <w:rPr>
                <w:rFonts w:eastAsia="Times New Roman" w:cstheme="minorHAnsi"/>
                <w:sz w:val="20"/>
                <w:szCs w:val="20"/>
                <w:lang w:eastAsia="en-GB"/>
              </w:rPr>
              <w:t>, and then to weight those indicators, using a version of a multi-criteria mapping (MCM) method.</w:t>
            </w:r>
            <w:r>
              <w:rPr>
                <w:rFonts w:eastAsia="Times New Roman" w:cstheme="minorHAnsi"/>
                <w:sz w:val="20"/>
                <w:szCs w:val="20"/>
                <w:lang w:eastAsia="en-GB"/>
              </w:rPr>
              <w:t xml:space="preserve"> The following two folders contain weights for each individual. It also contains a data dictionary. </w:t>
            </w:r>
          </w:p>
          <w:p w14:paraId="473B03FA" w14:textId="77777777" w:rsidR="003F321E" w:rsidRDefault="003F321E" w:rsidP="00C80590">
            <w:pPr>
              <w:jc w:val="both"/>
              <w:rPr>
                <w:rFonts w:eastAsia="Times New Roman"/>
                <w:color w:val="000000"/>
                <w:sz w:val="20"/>
                <w:szCs w:val="20"/>
              </w:rPr>
            </w:pPr>
          </w:p>
          <w:p w14:paraId="3E14571A" w14:textId="77777777" w:rsidR="003F321E" w:rsidRDefault="003F321E" w:rsidP="003F321E">
            <w:pPr>
              <w:ind w:left="360"/>
              <w:rPr>
                <w:sz w:val="20"/>
                <w:szCs w:val="20"/>
              </w:rPr>
            </w:pPr>
            <w:r>
              <w:rPr>
                <w:sz w:val="20"/>
                <w:szCs w:val="20"/>
              </w:rPr>
              <w:t>F</w:t>
            </w:r>
            <w:r w:rsidRPr="00B208FD">
              <w:rPr>
                <w:sz w:val="20"/>
                <w:szCs w:val="20"/>
              </w:rPr>
              <w:t xml:space="preserve">iles in </w:t>
            </w:r>
            <w:r>
              <w:rPr>
                <w:sz w:val="20"/>
                <w:szCs w:val="20"/>
              </w:rPr>
              <w:t xml:space="preserve">the </w:t>
            </w:r>
            <w:r w:rsidRPr="00B208FD">
              <w:rPr>
                <w:sz w:val="20"/>
                <w:szCs w:val="20"/>
              </w:rPr>
              <w:t>folder:</w:t>
            </w:r>
          </w:p>
          <w:p w14:paraId="4C5E3CB4" w14:textId="77777777" w:rsidR="003F321E" w:rsidRDefault="003F321E" w:rsidP="003F321E">
            <w:pPr>
              <w:ind w:left="360"/>
              <w:rPr>
                <w:sz w:val="20"/>
                <w:szCs w:val="20"/>
              </w:rPr>
            </w:pPr>
          </w:p>
          <w:p w14:paraId="39C39F2F" w14:textId="6A3AF537" w:rsidR="00BB7D29" w:rsidRDefault="00BB7D29" w:rsidP="003F321E">
            <w:pPr>
              <w:pStyle w:val="ListParagraph"/>
              <w:numPr>
                <w:ilvl w:val="0"/>
                <w:numId w:val="16"/>
              </w:numPr>
              <w:jc w:val="both"/>
              <w:rPr>
                <w:rFonts w:eastAsia="Times New Roman"/>
                <w:color w:val="000000"/>
                <w:sz w:val="20"/>
                <w:szCs w:val="20"/>
              </w:rPr>
            </w:pPr>
            <w:r w:rsidRPr="00BB7D29">
              <w:rPr>
                <w:rFonts w:eastAsia="Times New Roman"/>
                <w:i/>
                <w:iCs/>
                <w:color w:val="000000"/>
                <w:sz w:val="20"/>
                <w:szCs w:val="20"/>
              </w:rPr>
              <w:t>‘</w:t>
            </w:r>
            <w:r w:rsidRPr="00BB7D29">
              <w:rPr>
                <w:rFonts w:eastAsia="Times New Roman"/>
                <w:i/>
                <w:iCs/>
                <w:color w:val="000000"/>
                <w:sz w:val="20"/>
                <w:szCs w:val="20"/>
              </w:rPr>
              <w:t>_MCM_Weights_per_Indiv_Data_Dictionary</w:t>
            </w:r>
            <w:r w:rsidRPr="00BB7D29">
              <w:rPr>
                <w:rFonts w:eastAsia="Times New Roman"/>
                <w:i/>
                <w:iCs/>
                <w:color w:val="000000"/>
                <w:sz w:val="20"/>
                <w:szCs w:val="20"/>
              </w:rPr>
              <w:t>.docx’</w:t>
            </w:r>
            <w:r>
              <w:rPr>
                <w:rFonts w:eastAsia="Times New Roman"/>
                <w:color w:val="000000"/>
                <w:sz w:val="20"/>
                <w:szCs w:val="20"/>
              </w:rPr>
              <w:t>, contains a data dictionary for the two files below.</w:t>
            </w:r>
          </w:p>
          <w:p w14:paraId="1521E582" w14:textId="77777777" w:rsidR="00BB7D29" w:rsidRDefault="00BB7D29" w:rsidP="00BB7D29">
            <w:pPr>
              <w:pStyle w:val="ListParagraph"/>
              <w:jc w:val="both"/>
              <w:rPr>
                <w:rFonts w:eastAsia="Times New Roman"/>
                <w:color w:val="000000"/>
                <w:sz w:val="20"/>
                <w:szCs w:val="20"/>
              </w:rPr>
            </w:pPr>
          </w:p>
          <w:p w14:paraId="41E78CFA" w14:textId="14B257EC" w:rsidR="003F321E" w:rsidRDefault="003F321E" w:rsidP="003F321E">
            <w:pPr>
              <w:pStyle w:val="ListParagraph"/>
              <w:numPr>
                <w:ilvl w:val="0"/>
                <w:numId w:val="16"/>
              </w:numPr>
              <w:jc w:val="both"/>
              <w:rPr>
                <w:rFonts w:eastAsia="Times New Roman"/>
                <w:color w:val="000000"/>
                <w:sz w:val="20"/>
                <w:szCs w:val="20"/>
              </w:rPr>
            </w:pPr>
            <w:r w:rsidRPr="00BB7D29">
              <w:rPr>
                <w:rFonts w:eastAsia="Times New Roman"/>
                <w:i/>
                <w:iCs/>
                <w:color w:val="000000"/>
                <w:sz w:val="20"/>
                <w:szCs w:val="20"/>
              </w:rPr>
              <w:t>‘</w:t>
            </w:r>
            <w:r w:rsidRPr="00BB7D29">
              <w:rPr>
                <w:rFonts w:eastAsia="Times New Roman"/>
                <w:i/>
                <w:iCs/>
                <w:color w:val="000000"/>
                <w:sz w:val="20"/>
                <w:szCs w:val="20"/>
              </w:rPr>
              <w:t>MCM_Weights_per_Indiv_Brighton.xlsx</w:t>
            </w:r>
            <w:r w:rsidRPr="00BB7D29">
              <w:rPr>
                <w:rFonts w:eastAsia="Times New Roman"/>
                <w:i/>
                <w:iCs/>
                <w:color w:val="000000"/>
                <w:sz w:val="20"/>
                <w:szCs w:val="20"/>
              </w:rPr>
              <w:t>’</w:t>
            </w:r>
            <w:r w:rsidR="00BB7D29">
              <w:rPr>
                <w:rFonts w:eastAsia="Times New Roman"/>
                <w:color w:val="000000"/>
                <w:sz w:val="20"/>
                <w:szCs w:val="20"/>
              </w:rPr>
              <w:t>, contains data already described for participants in Greater Brighton.</w:t>
            </w:r>
          </w:p>
          <w:p w14:paraId="352DC52C" w14:textId="20DB2A6D" w:rsidR="003F321E" w:rsidRPr="003F321E" w:rsidRDefault="003F321E" w:rsidP="003F321E">
            <w:pPr>
              <w:jc w:val="both"/>
              <w:rPr>
                <w:rFonts w:eastAsia="Times New Roman"/>
                <w:color w:val="000000"/>
                <w:sz w:val="20"/>
                <w:szCs w:val="20"/>
              </w:rPr>
            </w:pPr>
          </w:p>
          <w:p w14:paraId="0AD5D1C5" w14:textId="1013D329" w:rsidR="003F321E" w:rsidRDefault="003F321E" w:rsidP="003F321E">
            <w:pPr>
              <w:pStyle w:val="ListParagraph"/>
              <w:numPr>
                <w:ilvl w:val="0"/>
                <w:numId w:val="16"/>
              </w:numPr>
              <w:jc w:val="both"/>
              <w:rPr>
                <w:rFonts w:eastAsia="Times New Roman"/>
                <w:color w:val="000000"/>
                <w:sz w:val="20"/>
                <w:szCs w:val="20"/>
              </w:rPr>
            </w:pPr>
            <w:r w:rsidRPr="00BB7D29">
              <w:rPr>
                <w:rFonts w:eastAsia="Times New Roman"/>
                <w:i/>
                <w:iCs/>
                <w:color w:val="000000"/>
                <w:sz w:val="20"/>
                <w:szCs w:val="20"/>
              </w:rPr>
              <w:t>‘</w:t>
            </w:r>
            <w:r w:rsidRPr="00BB7D29">
              <w:rPr>
                <w:rFonts w:eastAsia="Times New Roman"/>
                <w:i/>
                <w:iCs/>
                <w:color w:val="000000"/>
                <w:sz w:val="20"/>
                <w:szCs w:val="20"/>
              </w:rPr>
              <w:t>MCM_Weights_per_Indiv_NoT.xlsx</w:t>
            </w:r>
            <w:r w:rsidRPr="00BB7D29">
              <w:rPr>
                <w:rFonts w:eastAsia="Times New Roman"/>
                <w:i/>
                <w:iCs/>
                <w:color w:val="000000"/>
                <w:sz w:val="20"/>
                <w:szCs w:val="20"/>
              </w:rPr>
              <w:t>’</w:t>
            </w:r>
            <w:r w:rsidR="00BB7D29">
              <w:rPr>
                <w:rFonts w:eastAsia="Times New Roman"/>
                <w:color w:val="000000"/>
                <w:sz w:val="20"/>
                <w:szCs w:val="20"/>
              </w:rPr>
              <w:t>,</w:t>
            </w:r>
            <w:r w:rsidR="00BB7D29">
              <w:rPr>
                <w:rFonts w:eastAsia="Times New Roman"/>
                <w:color w:val="000000"/>
                <w:sz w:val="20"/>
                <w:szCs w:val="20"/>
              </w:rPr>
              <w:t xml:space="preserve"> contains data already described for participants in </w:t>
            </w:r>
            <w:r w:rsidR="00BB7D29">
              <w:rPr>
                <w:rFonts w:eastAsia="Times New Roman"/>
                <w:color w:val="000000"/>
                <w:sz w:val="20"/>
                <w:szCs w:val="20"/>
              </w:rPr>
              <w:t>the North of Tyne region</w:t>
            </w:r>
            <w:r w:rsidR="00BB7D29">
              <w:rPr>
                <w:rFonts w:eastAsia="Times New Roman"/>
                <w:color w:val="000000"/>
                <w:sz w:val="20"/>
                <w:szCs w:val="20"/>
              </w:rPr>
              <w:t>.</w:t>
            </w:r>
          </w:p>
          <w:p w14:paraId="1DA630B3" w14:textId="10AD328B" w:rsidR="003F321E" w:rsidRPr="003F321E" w:rsidRDefault="003F321E" w:rsidP="003F321E">
            <w:pPr>
              <w:jc w:val="both"/>
              <w:rPr>
                <w:rFonts w:eastAsia="Times New Roman"/>
                <w:color w:val="000000"/>
                <w:sz w:val="20"/>
                <w:szCs w:val="20"/>
              </w:rPr>
            </w:pPr>
          </w:p>
        </w:tc>
      </w:tr>
      <w:tr w:rsidR="003F321E" w:rsidRPr="00B208FD" w14:paraId="087D4B25" w14:textId="77777777" w:rsidTr="00343DDE">
        <w:trPr>
          <w:trHeight w:val="1443"/>
        </w:trPr>
        <w:tc>
          <w:tcPr>
            <w:tcW w:w="1786" w:type="dxa"/>
          </w:tcPr>
          <w:p w14:paraId="3FD9E6AF" w14:textId="77777777" w:rsidR="003F321E" w:rsidRPr="00B208FD" w:rsidRDefault="003F321E" w:rsidP="00C80590">
            <w:pPr>
              <w:jc w:val="both"/>
              <w:rPr>
                <w:rFonts w:eastAsia="Times New Roman"/>
                <w:color w:val="000000"/>
                <w:sz w:val="20"/>
                <w:szCs w:val="20"/>
              </w:rPr>
            </w:pPr>
          </w:p>
        </w:tc>
        <w:tc>
          <w:tcPr>
            <w:tcW w:w="1830" w:type="dxa"/>
          </w:tcPr>
          <w:p w14:paraId="2573950D" w14:textId="77777777" w:rsidR="003F321E" w:rsidRPr="00B208FD" w:rsidRDefault="003F321E" w:rsidP="00C80590">
            <w:pPr>
              <w:jc w:val="both"/>
              <w:rPr>
                <w:rFonts w:eastAsia="Times New Roman"/>
                <w:color w:val="000000"/>
                <w:sz w:val="20"/>
                <w:szCs w:val="20"/>
              </w:rPr>
            </w:pPr>
          </w:p>
        </w:tc>
        <w:tc>
          <w:tcPr>
            <w:tcW w:w="5598" w:type="dxa"/>
          </w:tcPr>
          <w:p w14:paraId="00DBCD8E" w14:textId="77777777" w:rsidR="003F321E" w:rsidRDefault="003F321E" w:rsidP="00C80590">
            <w:pPr>
              <w:jc w:val="both"/>
              <w:rPr>
                <w:rFonts w:eastAsia="Times New Roman"/>
                <w:sz w:val="20"/>
                <w:szCs w:val="20"/>
              </w:rPr>
            </w:pPr>
            <w:r>
              <w:rPr>
                <w:rFonts w:eastAsia="Times New Roman"/>
                <w:color w:val="000000"/>
                <w:sz w:val="20"/>
                <w:szCs w:val="20"/>
              </w:rPr>
              <w:t>F</w:t>
            </w:r>
            <w:r>
              <w:rPr>
                <w:rFonts w:eastAsia="Times New Roman"/>
                <w:sz w:val="20"/>
                <w:szCs w:val="20"/>
              </w:rPr>
              <w:t>older: ‘</w:t>
            </w:r>
            <w:r w:rsidRPr="003F321E">
              <w:rPr>
                <w:rFonts w:eastAsia="Times New Roman"/>
                <w:sz w:val="20"/>
                <w:szCs w:val="20"/>
              </w:rPr>
              <w:t>2.2.5_Brighton_and_NoT_MCM_Weights</w:t>
            </w:r>
            <w:r>
              <w:rPr>
                <w:rFonts w:eastAsia="Times New Roman"/>
                <w:sz w:val="20"/>
                <w:szCs w:val="20"/>
              </w:rPr>
              <w:t>’</w:t>
            </w:r>
          </w:p>
          <w:p w14:paraId="408C04B2" w14:textId="77777777" w:rsidR="003F321E" w:rsidRDefault="003F321E" w:rsidP="00C80590">
            <w:pPr>
              <w:jc w:val="both"/>
              <w:rPr>
                <w:rFonts w:eastAsia="Times New Roman"/>
                <w:sz w:val="20"/>
                <w:szCs w:val="20"/>
              </w:rPr>
            </w:pPr>
          </w:p>
          <w:p w14:paraId="064E033B" w14:textId="77777777" w:rsidR="003F321E" w:rsidRDefault="003F321E" w:rsidP="003F321E">
            <w:pPr>
              <w:ind w:left="360"/>
              <w:rPr>
                <w:sz w:val="20"/>
                <w:szCs w:val="20"/>
              </w:rPr>
            </w:pPr>
            <w:r>
              <w:rPr>
                <w:sz w:val="20"/>
                <w:szCs w:val="20"/>
              </w:rPr>
              <w:t>F</w:t>
            </w:r>
            <w:r w:rsidRPr="00B208FD">
              <w:rPr>
                <w:sz w:val="20"/>
                <w:szCs w:val="20"/>
              </w:rPr>
              <w:t xml:space="preserve">iles in </w:t>
            </w:r>
            <w:r>
              <w:rPr>
                <w:sz w:val="20"/>
                <w:szCs w:val="20"/>
              </w:rPr>
              <w:t xml:space="preserve">the </w:t>
            </w:r>
            <w:r w:rsidRPr="00B208FD">
              <w:rPr>
                <w:sz w:val="20"/>
                <w:szCs w:val="20"/>
              </w:rPr>
              <w:t>folder:</w:t>
            </w:r>
          </w:p>
          <w:p w14:paraId="2F2560BA" w14:textId="77777777" w:rsidR="003F321E" w:rsidRDefault="003F321E" w:rsidP="003F321E">
            <w:pPr>
              <w:ind w:left="360"/>
              <w:rPr>
                <w:sz w:val="20"/>
                <w:szCs w:val="20"/>
              </w:rPr>
            </w:pPr>
          </w:p>
          <w:p w14:paraId="79DE9684" w14:textId="628EB264" w:rsidR="003F321E" w:rsidRPr="00BB7D29" w:rsidRDefault="003F321E" w:rsidP="003F321E">
            <w:pPr>
              <w:pStyle w:val="ListParagraph"/>
              <w:numPr>
                <w:ilvl w:val="0"/>
                <w:numId w:val="16"/>
              </w:numPr>
              <w:jc w:val="both"/>
              <w:rPr>
                <w:rFonts w:eastAsia="Times New Roman"/>
                <w:i/>
                <w:iCs/>
                <w:color w:val="000000"/>
                <w:sz w:val="20"/>
                <w:szCs w:val="20"/>
              </w:rPr>
            </w:pPr>
            <w:r w:rsidRPr="00BB7D29">
              <w:rPr>
                <w:rFonts w:eastAsia="Times New Roman"/>
                <w:i/>
                <w:iCs/>
                <w:color w:val="000000"/>
                <w:sz w:val="20"/>
                <w:szCs w:val="20"/>
              </w:rPr>
              <w:t>‘MCM_Weights_Brighton_and_NoT.xlsx’</w:t>
            </w:r>
          </w:p>
          <w:p w14:paraId="69680688" w14:textId="77777777" w:rsidR="003F321E" w:rsidRDefault="003F321E" w:rsidP="00C80590">
            <w:pPr>
              <w:jc w:val="both"/>
              <w:rPr>
                <w:rFonts w:eastAsia="Times New Roman"/>
                <w:color w:val="000000"/>
                <w:sz w:val="20"/>
                <w:szCs w:val="20"/>
              </w:rPr>
            </w:pPr>
          </w:p>
          <w:p w14:paraId="5E29E684" w14:textId="45E5392E" w:rsidR="003F321E" w:rsidRPr="00B208FD" w:rsidRDefault="003F321E" w:rsidP="00C80590">
            <w:pPr>
              <w:jc w:val="both"/>
              <w:rPr>
                <w:rFonts w:eastAsia="Times New Roman"/>
                <w:color w:val="000000"/>
                <w:sz w:val="20"/>
                <w:szCs w:val="20"/>
              </w:rPr>
            </w:pPr>
          </w:p>
        </w:tc>
      </w:tr>
    </w:tbl>
    <w:p w14:paraId="4A9FA1EA" w14:textId="77777777" w:rsidR="00E62774" w:rsidRDefault="00E62774" w:rsidP="00EA5A6E">
      <w:pPr>
        <w:jc w:val="both"/>
        <w:rPr>
          <w:rFonts w:eastAsia="Times New Roman"/>
          <w:color w:val="000000"/>
        </w:rPr>
      </w:pPr>
    </w:p>
    <w:p w14:paraId="265A1889" w14:textId="77777777" w:rsidR="003563F9" w:rsidRPr="00EA5A6E" w:rsidRDefault="003563F9" w:rsidP="00EA5A6E">
      <w:pPr>
        <w:jc w:val="both"/>
        <w:rPr>
          <w:rFonts w:eastAsia="Times New Roman"/>
          <w:color w:val="000000"/>
        </w:rPr>
      </w:pPr>
    </w:p>
    <w:p w14:paraId="1A157F57" w14:textId="77777777" w:rsidR="00242379" w:rsidRDefault="00242379" w:rsidP="00801D8E">
      <w:pPr>
        <w:jc w:val="both"/>
        <w:rPr>
          <w:rFonts w:eastAsia="Times New Roman"/>
          <w:color w:val="000000"/>
          <w:u w:val="single"/>
        </w:rPr>
      </w:pPr>
    </w:p>
    <w:p w14:paraId="573288FC" w14:textId="7C73A632" w:rsidR="003563F9" w:rsidRDefault="006E6A0B" w:rsidP="00801D8E">
      <w:pPr>
        <w:jc w:val="both"/>
        <w:rPr>
          <w:rFonts w:cstheme="minorHAnsi"/>
          <w:color w:val="000000" w:themeColor="text1"/>
        </w:rPr>
      </w:pPr>
      <w:r w:rsidRPr="003563F9">
        <w:rPr>
          <w:rFonts w:eastAsia="Times New Roman"/>
          <w:color w:val="000000"/>
          <w:u w:val="single"/>
        </w:rPr>
        <w:t>Level of Access:</w:t>
      </w:r>
      <w:r w:rsidRPr="003563F9">
        <w:rPr>
          <w:rFonts w:eastAsia="Times New Roman"/>
          <w:color w:val="000000"/>
        </w:rPr>
        <w:t xml:space="preserve"> </w:t>
      </w:r>
      <w:r w:rsidRPr="003563F9">
        <w:rPr>
          <w:rFonts w:cstheme="minorHAnsi"/>
          <w:color w:val="000000" w:themeColor="text1"/>
        </w:rPr>
        <w:t xml:space="preserve">Closed access until the paper is </w:t>
      </w:r>
      <w:r w:rsidR="003563F9" w:rsidRPr="003563F9">
        <w:rPr>
          <w:rFonts w:cstheme="minorHAnsi"/>
          <w:color w:val="000000" w:themeColor="text1"/>
        </w:rPr>
        <w:t>published.</w:t>
      </w:r>
    </w:p>
    <w:p w14:paraId="4D8D72A8" w14:textId="77777777" w:rsidR="00B71C63" w:rsidRPr="00B71C63" w:rsidRDefault="00B71C63" w:rsidP="00801D8E">
      <w:pPr>
        <w:jc w:val="both"/>
        <w:rPr>
          <w:rFonts w:cstheme="minorHAnsi"/>
          <w:color w:val="000000" w:themeColor="text1"/>
        </w:rPr>
      </w:pPr>
    </w:p>
    <w:p w14:paraId="0E75387B" w14:textId="77777777" w:rsidR="003563F9" w:rsidRPr="003563F9" w:rsidRDefault="008A75C2" w:rsidP="00801D8E">
      <w:pPr>
        <w:pStyle w:val="xxmsonormal"/>
        <w:spacing w:after="160"/>
        <w:jc w:val="both"/>
        <w:rPr>
          <w:rStyle w:val="xxcontentpasted1"/>
          <w:color w:val="000000"/>
          <w:sz w:val="24"/>
          <w:szCs w:val="24"/>
        </w:rPr>
      </w:pPr>
      <w:r w:rsidRPr="003563F9">
        <w:rPr>
          <w:rStyle w:val="xxcontentpasted1"/>
          <w:color w:val="000000"/>
          <w:sz w:val="24"/>
          <w:szCs w:val="24"/>
          <w:u w:val="single"/>
        </w:rPr>
        <w:t>Embargo Date:</w:t>
      </w:r>
      <w:r w:rsidR="00F111CB" w:rsidRPr="003563F9">
        <w:rPr>
          <w:rStyle w:val="xxcontentpasted1"/>
          <w:color w:val="000000"/>
          <w:sz w:val="24"/>
          <w:szCs w:val="24"/>
        </w:rPr>
        <w:t xml:space="preserve"> </w:t>
      </w:r>
      <w:r w:rsidR="00077F96" w:rsidRPr="003563F9">
        <w:rPr>
          <w:rStyle w:val="xxcontentpasted1"/>
          <w:color w:val="000000"/>
          <w:sz w:val="24"/>
          <w:szCs w:val="24"/>
        </w:rPr>
        <w:t>Dec</w:t>
      </w:r>
      <w:r w:rsidR="00F111CB" w:rsidRPr="003563F9">
        <w:rPr>
          <w:rStyle w:val="xxcontentpasted1"/>
          <w:color w:val="000000"/>
          <w:sz w:val="24"/>
          <w:szCs w:val="24"/>
        </w:rPr>
        <w:t>ember</w:t>
      </w:r>
      <w:r w:rsidR="00077F96" w:rsidRPr="003563F9">
        <w:rPr>
          <w:rStyle w:val="xxcontentpasted1"/>
          <w:color w:val="000000"/>
          <w:sz w:val="24"/>
          <w:szCs w:val="24"/>
        </w:rPr>
        <w:t xml:space="preserve"> 2024</w:t>
      </w:r>
    </w:p>
    <w:p w14:paraId="39C3006E" w14:textId="54AC2884" w:rsidR="008A75C2" w:rsidRPr="003563F9" w:rsidRDefault="006E6A0B" w:rsidP="00801D8E">
      <w:pPr>
        <w:pStyle w:val="xxmsonormal"/>
        <w:spacing w:after="160"/>
        <w:jc w:val="both"/>
        <w:rPr>
          <w:rStyle w:val="xxcontentpasted1"/>
          <w:color w:val="000000"/>
          <w:sz w:val="24"/>
          <w:szCs w:val="24"/>
        </w:rPr>
      </w:pPr>
      <w:r w:rsidRPr="003563F9">
        <w:rPr>
          <w:rStyle w:val="xxcontentpasted1"/>
          <w:color w:val="000000"/>
          <w:sz w:val="24"/>
          <w:szCs w:val="24"/>
          <w:u w:val="single"/>
        </w:rPr>
        <w:t>License:</w:t>
      </w:r>
      <w:r w:rsidR="003563F9" w:rsidRPr="003563F9">
        <w:rPr>
          <w:rStyle w:val="xxcontentpasted1"/>
          <w:color w:val="000000"/>
          <w:sz w:val="24"/>
          <w:szCs w:val="24"/>
        </w:rPr>
        <w:t xml:space="preserve"> Creative Commons license will be available when the paper is published. </w:t>
      </w:r>
    </w:p>
    <w:p w14:paraId="372D96FE" w14:textId="77777777" w:rsidR="003563F9" w:rsidRDefault="003563F9" w:rsidP="00801D8E">
      <w:pPr>
        <w:pStyle w:val="xxmsonormal"/>
        <w:spacing w:after="160"/>
        <w:jc w:val="both"/>
        <w:rPr>
          <w:rStyle w:val="xxcontentpasted1"/>
          <w:color w:val="000000"/>
          <w:sz w:val="24"/>
          <w:szCs w:val="24"/>
          <w:u w:val="single"/>
        </w:rPr>
      </w:pPr>
    </w:p>
    <w:p w14:paraId="41BE71AE" w14:textId="280DDEEB" w:rsidR="008A75C2" w:rsidRPr="003563F9" w:rsidRDefault="00E62774" w:rsidP="00801D8E">
      <w:pPr>
        <w:pStyle w:val="xxmsonormal"/>
        <w:spacing w:after="160"/>
        <w:jc w:val="both"/>
        <w:rPr>
          <w:rStyle w:val="xxcontentpasted1"/>
          <w:color w:val="000000"/>
          <w:sz w:val="24"/>
          <w:szCs w:val="24"/>
          <w:u w:val="single"/>
        </w:rPr>
      </w:pPr>
      <w:r w:rsidRPr="003563F9">
        <w:rPr>
          <w:rStyle w:val="xxcontentpasted1"/>
          <w:color w:val="000000"/>
          <w:sz w:val="24"/>
          <w:szCs w:val="24"/>
          <w:u w:val="single"/>
        </w:rPr>
        <w:t>M</w:t>
      </w:r>
      <w:r w:rsidR="008A75C2" w:rsidRPr="003563F9">
        <w:rPr>
          <w:rStyle w:val="xxcontentpasted1"/>
          <w:color w:val="000000"/>
          <w:sz w:val="24"/>
          <w:szCs w:val="24"/>
          <w:u w:val="single"/>
        </w:rPr>
        <w:t>ethods employed:</w:t>
      </w:r>
    </w:p>
    <w:p w14:paraId="192FC72F" w14:textId="77777777" w:rsidR="000B4369" w:rsidRDefault="000B4369" w:rsidP="000B4369">
      <w:pPr>
        <w:jc w:val="both"/>
        <w:rPr>
          <w:rFonts w:eastAsia="Times New Roman" w:cstheme="minorHAnsi"/>
          <w:sz w:val="22"/>
          <w:szCs w:val="22"/>
          <w:lang w:eastAsia="en-GB"/>
        </w:rPr>
      </w:pPr>
      <w:r w:rsidRPr="0023078D">
        <w:rPr>
          <w:rFonts w:eastAsia="Times New Roman" w:cstheme="minorHAnsi"/>
          <w:sz w:val="22"/>
          <w:szCs w:val="22"/>
          <w:lang w:eastAsia="en-GB"/>
        </w:rPr>
        <w:t xml:space="preserve">To investigate citizens’ attitudes to demand-side mitigation measures and their relation to wellbeing indicators, we undertook a survey and focus group </w:t>
      </w:r>
      <w:proofErr w:type="gramStart"/>
      <w:r w:rsidRPr="0023078D">
        <w:rPr>
          <w:rFonts w:eastAsia="Times New Roman" w:cstheme="minorHAnsi"/>
          <w:sz w:val="22"/>
          <w:szCs w:val="22"/>
          <w:lang w:eastAsia="en-GB"/>
        </w:rPr>
        <w:t>in</w:t>
      </w:r>
      <w:proofErr w:type="gramEnd"/>
      <w:r w:rsidRPr="0023078D">
        <w:rPr>
          <w:rFonts w:eastAsia="Times New Roman" w:cstheme="minorHAnsi"/>
          <w:sz w:val="22"/>
          <w:szCs w:val="22"/>
          <w:lang w:eastAsia="en-GB"/>
        </w:rPr>
        <w:t xml:space="preserve"> each case study region. For the survey, respondents were asked the extent of their approval or disapproval of 14 demand-side mitigation measures (see Table 1), and to choose their top 3 measures contributing to overall wellbeing, based on a set of 20 wellbeing indicators (see Table 2), as well as to give their preferences for different funding options. The survey was conducted in two phases between June and September 2022. In the first phase from June to July, two researchers conducted the survey face-to-face with randomly selected residents in Brighton, gathering 46 responses. To gain a higher number of responses, a second phase was conducted using a market research company to generate a range of online responses in the Greater Brighton (GRB) and North of Tyne (NoT) regions. This generated a further 566 respondents aged between 18-65+, giving a combined total of 621 respondents, of which 343 were in the Greater Brighton region and 269 in the North of Tyne region. From the findings of the survey, 6 mitigation measures were selected to be discussed in more detail in the focus groups – 2 of the most preferred, 2 mid-range and 2 least preferred measures, as shown in Table 3.</w:t>
      </w:r>
    </w:p>
    <w:p w14:paraId="6B0FB559" w14:textId="77777777" w:rsidR="00E62774" w:rsidRPr="0023078D" w:rsidRDefault="00E62774" w:rsidP="000B4369">
      <w:pPr>
        <w:jc w:val="both"/>
        <w:rPr>
          <w:rFonts w:eastAsia="Times New Roman" w:cstheme="minorHAnsi"/>
          <w:sz w:val="22"/>
          <w:szCs w:val="22"/>
          <w:lang w:eastAsia="en-GB"/>
        </w:rPr>
      </w:pPr>
    </w:p>
    <w:p w14:paraId="58F90B6C" w14:textId="77777777" w:rsidR="000B4369" w:rsidRPr="0023078D" w:rsidRDefault="000B4369" w:rsidP="000B4369">
      <w:pPr>
        <w:jc w:val="both"/>
        <w:rPr>
          <w:rFonts w:eastAsia="Times New Roman" w:cstheme="minorHAnsi"/>
          <w:sz w:val="22"/>
          <w:szCs w:val="22"/>
          <w:lang w:eastAsia="en-GB"/>
        </w:rPr>
      </w:pPr>
      <w:r w:rsidRPr="0023078D">
        <w:rPr>
          <w:rFonts w:eastAsia="Times New Roman" w:cstheme="minorHAnsi"/>
          <w:sz w:val="22"/>
          <w:szCs w:val="22"/>
          <w:lang w:eastAsia="en-GB"/>
        </w:rPr>
        <w:t xml:space="preserve">In the focus group, we asked participants </w:t>
      </w:r>
      <w:r w:rsidRPr="003A55E8">
        <w:rPr>
          <w:rFonts w:eastAsia="Times New Roman" w:cstheme="minorHAnsi"/>
          <w:sz w:val="22"/>
          <w:szCs w:val="22"/>
          <w:lang w:eastAsia="en-GB"/>
        </w:rPr>
        <w:t>to score a range of measures according to their contribution to a set of wellbeing indicators, and then to weight those indicators, using a version of a multi-criteria mapping (MCM) method (Stirling and Mayer, 2001). This provided empirical</w:t>
      </w:r>
      <w:r w:rsidRPr="0023078D">
        <w:rPr>
          <w:rFonts w:eastAsia="Times New Roman" w:cstheme="minorHAnsi"/>
          <w:sz w:val="22"/>
          <w:szCs w:val="22"/>
          <w:lang w:eastAsia="en-GB"/>
        </w:rPr>
        <w:t xml:space="preserve"> evidence to support the claim that demand-side measures would be seen as more beneficial when assessed in relation to wider wellbeing criteria, rather than being assessed on purely economic benefits (</w:t>
      </w:r>
      <w:proofErr w:type="spellStart"/>
      <w:r w:rsidRPr="0023078D">
        <w:rPr>
          <w:rFonts w:eastAsia="Times New Roman" w:cstheme="minorHAnsi"/>
          <w:sz w:val="22"/>
          <w:szCs w:val="22"/>
          <w:lang w:eastAsia="en-GB"/>
        </w:rPr>
        <w:t>Creutzig</w:t>
      </w:r>
      <w:proofErr w:type="spellEnd"/>
      <w:r w:rsidRPr="0023078D">
        <w:rPr>
          <w:rFonts w:eastAsia="Times New Roman" w:cstheme="minorHAnsi"/>
          <w:sz w:val="22"/>
          <w:szCs w:val="22"/>
          <w:lang w:eastAsia="en-GB"/>
        </w:rPr>
        <w:t xml:space="preserve"> et al., 2022).</w:t>
      </w:r>
    </w:p>
    <w:p w14:paraId="7FEF66EE" w14:textId="77777777" w:rsidR="00945311" w:rsidRDefault="00945311" w:rsidP="000B4369">
      <w:pPr>
        <w:jc w:val="both"/>
        <w:rPr>
          <w:rFonts w:eastAsia="Times New Roman" w:cstheme="minorHAnsi"/>
          <w:sz w:val="22"/>
          <w:szCs w:val="22"/>
          <w:lang w:eastAsia="en-GB"/>
        </w:rPr>
      </w:pPr>
    </w:p>
    <w:p w14:paraId="653814A9" w14:textId="692D0A42" w:rsidR="000B4369" w:rsidRPr="0023078D" w:rsidRDefault="000B4369" w:rsidP="000B4369">
      <w:pPr>
        <w:jc w:val="both"/>
        <w:rPr>
          <w:rFonts w:eastAsia="Times New Roman" w:cstheme="minorHAnsi"/>
          <w:sz w:val="22"/>
          <w:szCs w:val="22"/>
          <w:lang w:eastAsia="en-GB"/>
        </w:rPr>
      </w:pPr>
      <w:r w:rsidRPr="0023078D">
        <w:rPr>
          <w:rFonts w:eastAsia="Times New Roman" w:cstheme="minorHAnsi"/>
          <w:sz w:val="22"/>
          <w:szCs w:val="22"/>
          <w:lang w:eastAsia="en-GB"/>
        </w:rPr>
        <w:t>For each focus group, 25 participants were selected by the market research company, using random stratified sampling to ensure diversity in terms of gender, ethnicity, rural/urban location, employment and political party support (</w:t>
      </w:r>
      <w:proofErr w:type="spellStart"/>
      <w:r w:rsidRPr="0023078D">
        <w:rPr>
          <w:rFonts w:eastAsia="Times New Roman" w:cstheme="minorHAnsi"/>
          <w:sz w:val="22"/>
          <w:szCs w:val="22"/>
          <w:lang w:eastAsia="en-GB"/>
        </w:rPr>
        <w:t>Etikan</w:t>
      </w:r>
      <w:proofErr w:type="spellEnd"/>
      <w:r w:rsidRPr="0023078D">
        <w:rPr>
          <w:rFonts w:eastAsia="Times New Roman" w:cstheme="minorHAnsi"/>
          <w:sz w:val="22"/>
          <w:szCs w:val="22"/>
          <w:lang w:eastAsia="en-GB"/>
        </w:rPr>
        <w:t xml:space="preserve"> and </w:t>
      </w:r>
      <w:proofErr w:type="spellStart"/>
      <w:r w:rsidRPr="0023078D">
        <w:rPr>
          <w:rFonts w:eastAsia="Times New Roman" w:cstheme="minorHAnsi"/>
          <w:sz w:val="22"/>
          <w:szCs w:val="22"/>
          <w:lang w:eastAsia="en-GB"/>
        </w:rPr>
        <w:t>Bala</w:t>
      </w:r>
      <w:proofErr w:type="spellEnd"/>
      <w:r w:rsidRPr="0023078D">
        <w:rPr>
          <w:rFonts w:eastAsia="Times New Roman" w:cstheme="minorHAnsi"/>
          <w:sz w:val="22"/>
          <w:szCs w:val="22"/>
          <w:lang w:eastAsia="en-GB"/>
        </w:rPr>
        <w:t>, 2017). Participants were asked to discuss in groups and then score individually (with a brief justification) the selected set of 6 mitigation measures in relation to 6 wellbeing indicators. This provided qualitative insights into factors influencing participants’ responses, as well as quantitative insights into their relative preferences for different mitigation measures. The wellbeing indicators were selected based on the literature to include 2 social indicators, 2 economic indicators and 2 environmental indicators (see Table 3), in order to cover a range of potential benefits. The focus groups were held in accessible locations in Brighton in December 2022 for the Greater Brighton case study, and in Newcastle in February 2023 for the North of Tyne case study.</w:t>
      </w:r>
    </w:p>
    <w:p w14:paraId="337D7CD9" w14:textId="77777777" w:rsidR="000B4369" w:rsidRPr="0023078D" w:rsidRDefault="000B4369" w:rsidP="000B4369">
      <w:pPr>
        <w:jc w:val="both"/>
        <w:rPr>
          <w:rFonts w:eastAsia="Times New Roman" w:cstheme="minorHAnsi"/>
          <w:sz w:val="22"/>
          <w:szCs w:val="22"/>
          <w:lang w:eastAsia="en-GB"/>
        </w:rPr>
      </w:pPr>
    </w:p>
    <w:p w14:paraId="702B686C" w14:textId="77777777" w:rsidR="000B4369" w:rsidRPr="0023078D" w:rsidRDefault="000B4369" w:rsidP="000B4369">
      <w:pPr>
        <w:jc w:val="center"/>
        <w:rPr>
          <w:rFonts w:cstheme="minorHAnsi"/>
          <w:b/>
          <w:bCs/>
          <w:sz w:val="22"/>
          <w:szCs w:val="22"/>
        </w:rPr>
      </w:pPr>
      <w:r w:rsidRPr="0023078D">
        <w:rPr>
          <w:rFonts w:cstheme="minorHAnsi"/>
          <w:b/>
          <w:bCs/>
          <w:sz w:val="22"/>
          <w:szCs w:val="22"/>
        </w:rPr>
        <w:t>Table 1. Demand-side mitigation measures for the survey</w:t>
      </w:r>
    </w:p>
    <w:tbl>
      <w:tblPr>
        <w:tblStyle w:val="TableGrid"/>
        <w:tblW w:w="0" w:type="auto"/>
        <w:jc w:val="center"/>
        <w:tblLook w:val="04A0" w:firstRow="1" w:lastRow="0" w:firstColumn="1" w:lastColumn="0" w:noHBand="0" w:noVBand="1"/>
      </w:tblPr>
      <w:tblGrid>
        <w:gridCol w:w="8784"/>
      </w:tblGrid>
      <w:tr w:rsidR="000B4369" w:rsidRPr="0023078D" w14:paraId="7BBFE133" w14:textId="77777777" w:rsidTr="001124CE">
        <w:trPr>
          <w:jc w:val="center"/>
        </w:trPr>
        <w:tc>
          <w:tcPr>
            <w:tcW w:w="8784" w:type="dxa"/>
          </w:tcPr>
          <w:p w14:paraId="4C51DE09" w14:textId="77777777" w:rsidR="000B4369" w:rsidRPr="0023078D" w:rsidRDefault="000B4369" w:rsidP="001124CE">
            <w:pPr>
              <w:jc w:val="center"/>
              <w:rPr>
                <w:rFonts w:cstheme="minorHAnsi"/>
              </w:rPr>
            </w:pPr>
            <w:r w:rsidRPr="0023078D">
              <w:rPr>
                <w:rFonts w:cstheme="minorHAnsi"/>
                <w:b/>
                <w:bCs/>
              </w:rPr>
              <w:t>Demand-side mitigation measures</w:t>
            </w:r>
          </w:p>
        </w:tc>
      </w:tr>
      <w:tr w:rsidR="000B4369" w:rsidRPr="0023078D" w14:paraId="30585C0D" w14:textId="77777777" w:rsidTr="001124CE">
        <w:trPr>
          <w:jc w:val="center"/>
        </w:trPr>
        <w:tc>
          <w:tcPr>
            <w:tcW w:w="8784" w:type="dxa"/>
          </w:tcPr>
          <w:p w14:paraId="0B2F4AE1" w14:textId="77777777" w:rsidR="000B4369" w:rsidRPr="0023078D" w:rsidRDefault="000B4369" w:rsidP="000B4369">
            <w:pPr>
              <w:pStyle w:val="ListParagraph"/>
              <w:numPr>
                <w:ilvl w:val="0"/>
                <w:numId w:val="11"/>
              </w:numPr>
              <w:spacing w:after="180"/>
              <w:jc w:val="both"/>
              <w:rPr>
                <w:rFonts w:cstheme="minorHAnsi"/>
              </w:rPr>
            </w:pPr>
            <w:r w:rsidRPr="0023078D">
              <w:rPr>
                <w:rFonts w:cstheme="minorHAnsi"/>
              </w:rPr>
              <w:t>Household energy efficiency improvements (e.g., walls insulation, double glazing)</w:t>
            </w:r>
          </w:p>
        </w:tc>
      </w:tr>
      <w:tr w:rsidR="000B4369" w:rsidRPr="0023078D" w14:paraId="75A9AE68" w14:textId="77777777" w:rsidTr="001124CE">
        <w:trPr>
          <w:jc w:val="center"/>
        </w:trPr>
        <w:tc>
          <w:tcPr>
            <w:tcW w:w="8784" w:type="dxa"/>
          </w:tcPr>
          <w:p w14:paraId="48D02F0C" w14:textId="77777777" w:rsidR="000B4369" w:rsidRPr="0023078D" w:rsidRDefault="000B4369" w:rsidP="000B4369">
            <w:pPr>
              <w:pStyle w:val="ListParagraph"/>
              <w:numPr>
                <w:ilvl w:val="0"/>
                <w:numId w:val="11"/>
              </w:numPr>
              <w:spacing w:after="180"/>
              <w:jc w:val="both"/>
              <w:rPr>
                <w:rFonts w:cstheme="minorHAnsi"/>
              </w:rPr>
            </w:pPr>
            <w:r w:rsidRPr="0023078D">
              <w:rPr>
                <w:rFonts w:cstheme="minorHAnsi"/>
              </w:rPr>
              <w:t>Use of sustainable/recycled construction materials</w:t>
            </w:r>
          </w:p>
        </w:tc>
      </w:tr>
      <w:tr w:rsidR="000B4369" w:rsidRPr="0023078D" w14:paraId="2A430CAA" w14:textId="77777777" w:rsidTr="001124CE">
        <w:trPr>
          <w:jc w:val="center"/>
        </w:trPr>
        <w:tc>
          <w:tcPr>
            <w:tcW w:w="8784" w:type="dxa"/>
          </w:tcPr>
          <w:p w14:paraId="0994BDD3" w14:textId="77777777" w:rsidR="000B4369" w:rsidRPr="0023078D" w:rsidRDefault="000B4369" w:rsidP="000B4369">
            <w:pPr>
              <w:pStyle w:val="ListParagraph"/>
              <w:numPr>
                <w:ilvl w:val="0"/>
                <w:numId w:val="11"/>
              </w:numPr>
              <w:spacing w:after="180"/>
              <w:jc w:val="both"/>
              <w:rPr>
                <w:rFonts w:cstheme="minorHAnsi"/>
              </w:rPr>
            </w:pPr>
            <w:r w:rsidRPr="0023078D">
              <w:rPr>
                <w:rFonts w:cstheme="minorHAnsi"/>
              </w:rPr>
              <w:t>Car-free zones</w:t>
            </w:r>
          </w:p>
        </w:tc>
      </w:tr>
      <w:tr w:rsidR="000B4369" w:rsidRPr="0023078D" w14:paraId="46CEE133" w14:textId="77777777" w:rsidTr="001124CE">
        <w:trPr>
          <w:jc w:val="center"/>
        </w:trPr>
        <w:tc>
          <w:tcPr>
            <w:tcW w:w="8784" w:type="dxa"/>
          </w:tcPr>
          <w:p w14:paraId="69499465" w14:textId="77777777" w:rsidR="000B4369" w:rsidRPr="0023078D" w:rsidRDefault="000B4369" w:rsidP="000B4369">
            <w:pPr>
              <w:pStyle w:val="ListParagraph"/>
              <w:numPr>
                <w:ilvl w:val="0"/>
                <w:numId w:val="11"/>
              </w:numPr>
              <w:spacing w:after="180"/>
              <w:jc w:val="both"/>
              <w:rPr>
                <w:rFonts w:cstheme="minorHAnsi"/>
              </w:rPr>
            </w:pPr>
            <w:r w:rsidRPr="0023078D">
              <w:rPr>
                <w:rFonts w:cstheme="minorHAnsi"/>
              </w:rPr>
              <w:t>Car-sharing options</w:t>
            </w:r>
          </w:p>
        </w:tc>
      </w:tr>
      <w:tr w:rsidR="000B4369" w:rsidRPr="0023078D" w14:paraId="2FB277FC" w14:textId="77777777" w:rsidTr="001124CE">
        <w:trPr>
          <w:jc w:val="center"/>
        </w:trPr>
        <w:tc>
          <w:tcPr>
            <w:tcW w:w="8784" w:type="dxa"/>
          </w:tcPr>
          <w:p w14:paraId="09A23AB2" w14:textId="77777777" w:rsidR="000B4369" w:rsidRPr="0023078D" w:rsidRDefault="000B4369" w:rsidP="000B4369">
            <w:pPr>
              <w:pStyle w:val="ListParagraph"/>
              <w:numPr>
                <w:ilvl w:val="0"/>
                <w:numId w:val="11"/>
              </w:numPr>
              <w:spacing w:after="180"/>
              <w:jc w:val="both"/>
              <w:rPr>
                <w:rFonts w:cstheme="minorHAnsi"/>
              </w:rPr>
            </w:pPr>
            <w:r w:rsidRPr="0023078D">
              <w:rPr>
                <w:rFonts w:cstheme="minorHAnsi"/>
              </w:rPr>
              <w:lastRenderedPageBreak/>
              <w:t>Active travel (e.g., cycling, walking)</w:t>
            </w:r>
          </w:p>
        </w:tc>
      </w:tr>
      <w:tr w:rsidR="000B4369" w:rsidRPr="0023078D" w14:paraId="7D85029C" w14:textId="77777777" w:rsidTr="001124CE">
        <w:trPr>
          <w:jc w:val="center"/>
        </w:trPr>
        <w:tc>
          <w:tcPr>
            <w:tcW w:w="8784" w:type="dxa"/>
          </w:tcPr>
          <w:p w14:paraId="6CB1D6A9" w14:textId="77777777" w:rsidR="000B4369" w:rsidRPr="0023078D" w:rsidRDefault="000B4369" w:rsidP="000B4369">
            <w:pPr>
              <w:pStyle w:val="ListParagraph"/>
              <w:numPr>
                <w:ilvl w:val="0"/>
                <w:numId w:val="11"/>
              </w:numPr>
              <w:spacing w:after="180"/>
              <w:jc w:val="both"/>
              <w:rPr>
                <w:rFonts w:cstheme="minorHAnsi"/>
              </w:rPr>
            </w:pPr>
            <w:r w:rsidRPr="0023078D">
              <w:rPr>
                <w:rFonts w:cstheme="minorHAnsi"/>
              </w:rPr>
              <w:t>Affordable public transport</w:t>
            </w:r>
          </w:p>
        </w:tc>
      </w:tr>
      <w:tr w:rsidR="000B4369" w:rsidRPr="0023078D" w14:paraId="187478D2" w14:textId="77777777" w:rsidTr="001124CE">
        <w:trPr>
          <w:jc w:val="center"/>
        </w:trPr>
        <w:tc>
          <w:tcPr>
            <w:tcW w:w="8784" w:type="dxa"/>
          </w:tcPr>
          <w:p w14:paraId="72C20631" w14:textId="77777777" w:rsidR="000B4369" w:rsidRPr="0023078D" w:rsidRDefault="000B4369" w:rsidP="000B4369">
            <w:pPr>
              <w:pStyle w:val="ListParagraph"/>
              <w:numPr>
                <w:ilvl w:val="0"/>
                <w:numId w:val="11"/>
              </w:numPr>
              <w:spacing w:after="180"/>
              <w:jc w:val="both"/>
              <w:rPr>
                <w:rFonts w:cstheme="minorHAnsi"/>
              </w:rPr>
            </w:pPr>
            <w:r w:rsidRPr="0023078D">
              <w:rPr>
                <w:rFonts w:cstheme="minorHAnsi"/>
              </w:rPr>
              <w:t>Dedicated cycling networks</w:t>
            </w:r>
          </w:p>
        </w:tc>
      </w:tr>
      <w:tr w:rsidR="000B4369" w:rsidRPr="0023078D" w14:paraId="3F9993C6" w14:textId="77777777" w:rsidTr="001124CE">
        <w:trPr>
          <w:jc w:val="center"/>
        </w:trPr>
        <w:tc>
          <w:tcPr>
            <w:tcW w:w="8784" w:type="dxa"/>
          </w:tcPr>
          <w:p w14:paraId="474BBCDF" w14:textId="77777777" w:rsidR="000B4369" w:rsidRPr="0023078D" w:rsidRDefault="000B4369" w:rsidP="000B4369">
            <w:pPr>
              <w:pStyle w:val="ListParagraph"/>
              <w:numPr>
                <w:ilvl w:val="0"/>
                <w:numId w:val="11"/>
              </w:numPr>
              <w:spacing w:after="180"/>
              <w:jc w:val="both"/>
              <w:rPr>
                <w:rFonts w:cstheme="minorHAnsi"/>
              </w:rPr>
            </w:pPr>
            <w:r w:rsidRPr="0023078D">
              <w:rPr>
                <w:rFonts w:cstheme="minorHAnsi"/>
              </w:rPr>
              <w:t>Park and ride options (parking areas and public transport facilities)</w:t>
            </w:r>
          </w:p>
        </w:tc>
      </w:tr>
      <w:tr w:rsidR="000B4369" w:rsidRPr="0023078D" w14:paraId="46B85BC6" w14:textId="77777777" w:rsidTr="001124CE">
        <w:trPr>
          <w:jc w:val="center"/>
        </w:trPr>
        <w:tc>
          <w:tcPr>
            <w:tcW w:w="8784" w:type="dxa"/>
          </w:tcPr>
          <w:p w14:paraId="01C6E7D4" w14:textId="77777777" w:rsidR="000B4369" w:rsidRPr="0023078D" w:rsidRDefault="000B4369" w:rsidP="000B4369">
            <w:pPr>
              <w:pStyle w:val="ListParagraph"/>
              <w:numPr>
                <w:ilvl w:val="0"/>
                <w:numId w:val="11"/>
              </w:numPr>
              <w:spacing w:after="180"/>
              <w:jc w:val="both"/>
              <w:rPr>
                <w:rFonts w:cstheme="minorHAnsi"/>
              </w:rPr>
            </w:pPr>
            <w:r w:rsidRPr="0023078D">
              <w:rPr>
                <w:rFonts w:cstheme="minorHAnsi"/>
              </w:rPr>
              <w:t xml:space="preserve">Mobility hubs </w:t>
            </w:r>
            <w:r w:rsidRPr="0023078D">
              <w:rPr>
                <w:rFonts w:eastAsia="Times New Roman" w:cstheme="minorHAnsi"/>
                <w:color w:val="000000"/>
              </w:rPr>
              <w:t>(e.g., cycle hire, station, parking and travel info point)</w:t>
            </w:r>
          </w:p>
        </w:tc>
      </w:tr>
      <w:tr w:rsidR="000B4369" w:rsidRPr="0023078D" w14:paraId="50BC2D11" w14:textId="77777777" w:rsidTr="001124CE">
        <w:trPr>
          <w:jc w:val="center"/>
        </w:trPr>
        <w:tc>
          <w:tcPr>
            <w:tcW w:w="8784" w:type="dxa"/>
            <w:shd w:val="clear" w:color="auto" w:fill="auto"/>
          </w:tcPr>
          <w:p w14:paraId="29A597C5" w14:textId="77777777" w:rsidR="000B4369" w:rsidRPr="0023078D" w:rsidRDefault="000B4369" w:rsidP="000B4369">
            <w:pPr>
              <w:pStyle w:val="ListParagraph"/>
              <w:numPr>
                <w:ilvl w:val="0"/>
                <w:numId w:val="12"/>
              </w:numPr>
              <w:spacing w:after="180"/>
              <w:jc w:val="both"/>
              <w:rPr>
                <w:rFonts w:cstheme="minorHAnsi"/>
              </w:rPr>
            </w:pPr>
            <w:r w:rsidRPr="0023078D">
              <w:rPr>
                <w:rFonts w:cstheme="minorHAnsi"/>
              </w:rPr>
              <w:t>Plant-based diet</w:t>
            </w:r>
          </w:p>
        </w:tc>
      </w:tr>
      <w:tr w:rsidR="000B4369" w:rsidRPr="0023078D" w14:paraId="1F5F8FFF" w14:textId="77777777" w:rsidTr="001124CE">
        <w:trPr>
          <w:jc w:val="center"/>
        </w:trPr>
        <w:tc>
          <w:tcPr>
            <w:tcW w:w="8784" w:type="dxa"/>
            <w:shd w:val="clear" w:color="auto" w:fill="auto"/>
          </w:tcPr>
          <w:p w14:paraId="5E19D079" w14:textId="77777777" w:rsidR="000B4369" w:rsidRPr="0023078D" w:rsidRDefault="000B4369" w:rsidP="000B4369">
            <w:pPr>
              <w:pStyle w:val="ListParagraph"/>
              <w:numPr>
                <w:ilvl w:val="0"/>
                <w:numId w:val="12"/>
              </w:numPr>
              <w:spacing w:after="180"/>
              <w:jc w:val="both"/>
              <w:rPr>
                <w:rFonts w:cstheme="minorHAnsi"/>
              </w:rPr>
            </w:pPr>
            <w:r w:rsidRPr="0023078D">
              <w:rPr>
                <w:rFonts w:cstheme="minorHAnsi"/>
              </w:rPr>
              <w:t>Extend of lifetime of food/products and materials</w:t>
            </w:r>
          </w:p>
        </w:tc>
      </w:tr>
      <w:tr w:rsidR="000B4369" w:rsidRPr="0023078D" w14:paraId="6AAA15EC" w14:textId="77777777" w:rsidTr="001124CE">
        <w:trPr>
          <w:jc w:val="center"/>
        </w:trPr>
        <w:tc>
          <w:tcPr>
            <w:tcW w:w="8784" w:type="dxa"/>
          </w:tcPr>
          <w:p w14:paraId="3023DB8A" w14:textId="77777777" w:rsidR="000B4369" w:rsidRPr="0023078D" w:rsidRDefault="000B4369" w:rsidP="000B4369">
            <w:pPr>
              <w:pStyle w:val="ListParagraph"/>
              <w:numPr>
                <w:ilvl w:val="0"/>
                <w:numId w:val="12"/>
              </w:numPr>
              <w:spacing w:after="180"/>
              <w:jc w:val="both"/>
              <w:rPr>
                <w:rFonts w:cstheme="minorHAnsi"/>
              </w:rPr>
            </w:pPr>
            <w:r w:rsidRPr="0023078D">
              <w:rPr>
                <w:rFonts w:cstheme="minorHAnsi"/>
              </w:rPr>
              <w:t>Active community engagement in local decision-making</w:t>
            </w:r>
          </w:p>
        </w:tc>
      </w:tr>
      <w:tr w:rsidR="000B4369" w:rsidRPr="0023078D" w14:paraId="2143A0E9" w14:textId="77777777" w:rsidTr="001124CE">
        <w:trPr>
          <w:jc w:val="center"/>
        </w:trPr>
        <w:tc>
          <w:tcPr>
            <w:tcW w:w="8784" w:type="dxa"/>
          </w:tcPr>
          <w:p w14:paraId="1A17E1F1" w14:textId="77777777" w:rsidR="000B4369" w:rsidRPr="0023078D" w:rsidRDefault="000B4369" w:rsidP="000B4369">
            <w:pPr>
              <w:pStyle w:val="ListParagraph"/>
              <w:numPr>
                <w:ilvl w:val="0"/>
                <w:numId w:val="12"/>
              </w:numPr>
              <w:spacing w:after="180"/>
              <w:jc w:val="both"/>
              <w:rPr>
                <w:rFonts w:cstheme="minorHAnsi"/>
              </w:rPr>
            </w:pPr>
            <w:r w:rsidRPr="0023078D">
              <w:rPr>
                <w:rFonts w:cstheme="minorHAnsi"/>
              </w:rPr>
              <w:t>Nature-based solutions (e.g., green areas)</w:t>
            </w:r>
          </w:p>
        </w:tc>
      </w:tr>
      <w:tr w:rsidR="000B4369" w:rsidRPr="0023078D" w14:paraId="7B4377D0" w14:textId="77777777" w:rsidTr="001124CE">
        <w:trPr>
          <w:jc w:val="center"/>
        </w:trPr>
        <w:tc>
          <w:tcPr>
            <w:tcW w:w="8784" w:type="dxa"/>
          </w:tcPr>
          <w:p w14:paraId="3A80D3A0" w14:textId="77777777" w:rsidR="000B4369" w:rsidRPr="0023078D" w:rsidRDefault="000B4369" w:rsidP="000B4369">
            <w:pPr>
              <w:pStyle w:val="ListParagraph"/>
              <w:numPr>
                <w:ilvl w:val="0"/>
                <w:numId w:val="12"/>
              </w:numPr>
              <w:spacing w:after="180"/>
              <w:jc w:val="both"/>
              <w:rPr>
                <w:rFonts w:cstheme="minorHAnsi"/>
              </w:rPr>
            </w:pPr>
            <w:r w:rsidRPr="0023078D">
              <w:rPr>
                <w:rFonts w:cstheme="minorHAnsi"/>
              </w:rPr>
              <w:t>Place-based solution (focus on the local area)</w:t>
            </w:r>
          </w:p>
        </w:tc>
      </w:tr>
    </w:tbl>
    <w:p w14:paraId="66586CD5" w14:textId="77777777" w:rsidR="000B4369" w:rsidRPr="0023078D" w:rsidRDefault="000B4369" w:rsidP="000B4369">
      <w:pPr>
        <w:jc w:val="both"/>
        <w:rPr>
          <w:rFonts w:eastAsia="Times New Roman" w:cstheme="minorHAnsi"/>
          <w:sz w:val="22"/>
          <w:szCs w:val="22"/>
          <w:lang w:eastAsia="en-GB"/>
        </w:rPr>
      </w:pPr>
    </w:p>
    <w:p w14:paraId="69541466" w14:textId="77777777" w:rsidR="000B4369" w:rsidRPr="0023078D" w:rsidRDefault="000B4369" w:rsidP="000B4369">
      <w:pPr>
        <w:jc w:val="center"/>
        <w:rPr>
          <w:rFonts w:eastAsia="Times New Roman" w:cstheme="minorHAnsi"/>
          <w:b/>
          <w:bCs/>
          <w:sz w:val="22"/>
          <w:szCs w:val="22"/>
          <w:lang w:eastAsia="en-GB"/>
        </w:rPr>
      </w:pPr>
    </w:p>
    <w:p w14:paraId="599F71E8" w14:textId="77777777" w:rsidR="000B4369" w:rsidRPr="0023078D" w:rsidRDefault="000B4369" w:rsidP="000B4369">
      <w:pPr>
        <w:jc w:val="center"/>
        <w:rPr>
          <w:rFonts w:eastAsia="Times New Roman" w:cstheme="minorHAnsi"/>
          <w:b/>
          <w:bCs/>
          <w:sz w:val="22"/>
          <w:szCs w:val="22"/>
          <w:lang w:eastAsia="en-GB"/>
        </w:rPr>
      </w:pPr>
      <w:r w:rsidRPr="0023078D">
        <w:rPr>
          <w:rFonts w:eastAsia="Times New Roman" w:cstheme="minorHAnsi"/>
          <w:b/>
          <w:bCs/>
          <w:sz w:val="22"/>
          <w:szCs w:val="22"/>
          <w:lang w:eastAsia="en-GB"/>
        </w:rPr>
        <w:t>Table 2. Wellbeing indicators for the survey</w:t>
      </w:r>
    </w:p>
    <w:tbl>
      <w:tblPr>
        <w:tblStyle w:val="TableGrid"/>
        <w:tblW w:w="0" w:type="auto"/>
        <w:jc w:val="center"/>
        <w:tblLook w:val="04A0" w:firstRow="1" w:lastRow="0" w:firstColumn="1" w:lastColumn="0" w:noHBand="0" w:noVBand="1"/>
      </w:tblPr>
      <w:tblGrid>
        <w:gridCol w:w="8784"/>
      </w:tblGrid>
      <w:tr w:rsidR="000B4369" w:rsidRPr="0023078D" w14:paraId="733D3599" w14:textId="77777777" w:rsidTr="001124CE">
        <w:trPr>
          <w:jc w:val="center"/>
        </w:trPr>
        <w:tc>
          <w:tcPr>
            <w:tcW w:w="8784" w:type="dxa"/>
          </w:tcPr>
          <w:p w14:paraId="54E1BDDA" w14:textId="77777777" w:rsidR="000B4369" w:rsidRPr="0023078D" w:rsidRDefault="000B4369" w:rsidP="001124CE">
            <w:pPr>
              <w:jc w:val="center"/>
              <w:rPr>
                <w:rFonts w:eastAsia="Times New Roman" w:cstheme="minorHAnsi"/>
                <w:b/>
                <w:bCs/>
                <w:lang w:eastAsia="en-GB"/>
              </w:rPr>
            </w:pPr>
            <w:r w:rsidRPr="0023078D">
              <w:rPr>
                <w:rFonts w:eastAsia="Times New Roman" w:cstheme="minorHAnsi"/>
                <w:b/>
                <w:bCs/>
                <w:lang w:eastAsia="en-GB"/>
              </w:rPr>
              <w:t>Wellbeing indicators</w:t>
            </w:r>
          </w:p>
        </w:tc>
      </w:tr>
      <w:tr w:rsidR="000B4369" w:rsidRPr="0023078D" w14:paraId="03591DFA" w14:textId="77777777" w:rsidTr="001124CE">
        <w:trPr>
          <w:jc w:val="center"/>
        </w:trPr>
        <w:tc>
          <w:tcPr>
            <w:tcW w:w="8784" w:type="dxa"/>
          </w:tcPr>
          <w:p w14:paraId="0E3E33E2" w14:textId="77777777" w:rsidR="000B4369" w:rsidRPr="0023078D" w:rsidRDefault="000B4369" w:rsidP="000B4369">
            <w:pPr>
              <w:pStyle w:val="ListParagraph"/>
              <w:numPr>
                <w:ilvl w:val="0"/>
                <w:numId w:val="13"/>
              </w:numPr>
              <w:rPr>
                <w:rFonts w:cstheme="minorHAnsi"/>
              </w:rPr>
            </w:pPr>
            <w:r w:rsidRPr="0023078D">
              <w:rPr>
                <w:rFonts w:cstheme="minorHAnsi"/>
              </w:rPr>
              <w:t>Access to affordable and high-quality sources of food</w:t>
            </w:r>
          </w:p>
        </w:tc>
      </w:tr>
      <w:tr w:rsidR="000B4369" w:rsidRPr="0023078D" w14:paraId="7C27E534" w14:textId="77777777" w:rsidTr="001124CE">
        <w:trPr>
          <w:jc w:val="center"/>
        </w:trPr>
        <w:tc>
          <w:tcPr>
            <w:tcW w:w="8784" w:type="dxa"/>
          </w:tcPr>
          <w:p w14:paraId="0CDFAE21" w14:textId="77777777" w:rsidR="000B4369" w:rsidRPr="0023078D" w:rsidRDefault="000B4369" w:rsidP="000B4369">
            <w:pPr>
              <w:pStyle w:val="ListParagraph"/>
              <w:numPr>
                <w:ilvl w:val="0"/>
                <w:numId w:val="13"/>
              </w:numPr>
              <w:rPr>
                <w:rFonts w:cstheme="minorHAnsi"/>
              </w:rPr>
            </w:pPr>
            <w:r w:rsidRPr="0023078D">
              <w:rPr>
                <w:rFonts w:cstheme="minorHAnsi"/>
              </w:rPr>
              <w:t>Access to safe and clean water</w:t>
            </w:r>
          </w:p>
        </w:tc>
      </w:tr>
      <w:tr w:rsidR="000B4369" w:rsidRPr="0023078D" w14:paraId="4EB17E18" w14:textId="77777777" w:rsidTr="001124CE">
        <w:trPr>
          <w:jc w:val="center"/>
        </w:trPr>
        <w:tc>
          <w:tcPr>
            <w:tcW w:w="8784" w:type="dxa"/>
          </w:tcPr>
          <w:p w14:paraId="2190E518" w14:textId="77777777" w:rsidR="000B4369" w:rsidRPr="0023078D" w:rsidRDefault="000B4369" w:rsidP="000B4369">
            <w:pPr>
              <w:pStyle w:val="ListParagraph"/>
              <w:numPr>
                <w:ilvl w:val="0"/>
                <w:numId w:val="13"/>
              </w:numPr>
              <w:spacing w:line="276" w:lineRule="auto"/>
              <w:rPr>
                <w:rFonts w:cstheme="minorHAnsi"/>
              </w:rPr>
            </w:pPr>
            <w:r w:rsidRPr="0023078D">
              <w:rPr>
                <w:rFonts w:cstheme="minorHAnsi"/>
              </w:rPr>
              <w:t>High local air quality</w:t>
            </w:r>
          </w:p>
        </w:tc>
      </w:tr>
      <w:tr w:rsidR="000B4369" w:rsidRPr="0023078D" w14:paraId="3638B9D2" w14:textId="77777777" w:rsidTr="001124CE">
        <w:trPr>
          <w:jc w:val="center"/>
        </w:trPr>
        <w:tc>
          <w:tcPr>
            <w:tcW w:w="8784" w:type="dxa"/>
          </w:tcPr>
          <w:p w14:paraId="0A3F374A" w14:textId="77777777" w:rsidR="000B4369" w:rsidRPr="0023078D" w:rsidRDefault="000B4369" w:rsidP="000B4369">
            <w:pPr>
              <w:pStyle w:val="ListParagraph"/>
              <w:numPr>
                <w:ilvl w:val="0"/>
                <w:numId w:val="13"/>
              </w:numPr>
              <w:spacing w:line="276" w:lineRule="auto"/>
              <w:rPr>
                <w:rFonts w:cstheme="minorHAnsi"/>
              </w:rPr>
            </w:pPr>
            <w:r w:rsidRPr="0023078D">
              <w:rPr>
                <w:rFonts w:cstheme="minorHAnsi"/>
              </w:rPr>
              <w:t>Access to good health services</w:t>
            </w:r>
          </w:p>
        </w:tc>
      </w:tr>
      <w:tr w:rsidR="000B4369" w:rsidRPr="0023078D" w14:paraId="0764BAF3" w14:textId="77777777" w:rsidTr="001124CE">
        <w:trPr>
          <w:jc w:val="center"/>
        </w:trPr>
        <w:tc>
          <w:tcPr>
            <w:tcW w:w="8784" w:type="dxa"/>
          </w:tcPr>
          <w:p w14:paraId="393D8003" w14:textId="77777777" w:rsidR="000B4369" w:rsidRPr="0023078D" w:rsidRDefault="000B4369" w:rsidP="000B4369">
            <w:pPr>
              <w:pStyle w:val="ListParagraph"/>
              <w:numPr>
                <w:ilvl w:val="0"/>
                <w:numId w:val="13"/>
              </w:numPr>
              <w:spacing w:line="276" w:lineRule="auto"/>
              <w:rPr>
                <w:rFonts w:cstheme="minorHAnsi"/>
              </w:rPr>
            </w:pPr>
            <w:r w:rsidRPr="0023078D">
              <w:rPr>
                <w:rFonts w:cstheme="minorHAnsi"/>
              </w:rPr>
              <w:t>Access to affordable energy</w:t>
            </w:r>
          </w:p>
        </w:tc>
      </w:tr>
      <w:tr w:rsidR="000B4369" w:rsidRPr="0023078D" w14:paraId="38D3E3FC" w14:textId="77777777" w:rsidTr="001124CE">
        <w:trPr>
          <w:jc w:val="center"/>
        </w:trPr>
        <w:tc>
          <w:tcPr>
            <w:tcW w:w="8784" w:type="dxa"/>
          </w:tcPr>
          <w:p w14:paraId="3E64B72C" w14:textId="77777777" w:rsidR="000B4369" w:rsidRPr="0023078D" w:rsidRDefault="000B4369" w:rsidP="000B4369">
            <w:pPr>
              <w:pStyle w:val="ListParagraph"/>
              <w:numPr>
                <w:ilvl w:val="0"/>
                <w:numId w:val="13"/>
              </w:numPr>
              <w:spacing w:line="276" w:lineRule="auto"/>
              <w:rPr>
                <w:rFonts w:cstheme="minorHAnsi"/>
              </w:rPr>
            </w:pPr>
            <w:r w:rsidRPr="0023078D">
              <w:rPr>
                <w:rFonts w:cstheme="minorHAnsi"/>
              </w:rPr>
              <w:t>Access to affordable housing</w:t>
            </w:r>
          </w:p>
        </w:tc>
      </w:tr>
      <w:tr w:rsidR="000B4369" w:rsidRPr="0023078D" w14:paraId="66097671" w14:textId="77777777" w:rsidTr="001124CE">
        <w:trPr>
          <w:jc w:val="center"/>
        </w:trPr>
        <w:tc>
          <w:tcPr>
            <w:tcW w:w="8784" w:type="dxa"/>
          </w:tcPr>
          <w:p w14:paraId="33DDFB96" w14:textId="77777777" w:rsidR="000B4369" w:rsidRPr="0023078D" w:rsidRDefault="000B4369" w:rsidP="000B4369">
            <w:pPr>
              <w:pStyle w:val="ListParagraph"/>
              <w:numPr>
                <w:ilvl w:val="0"/>
                <w:numId w:val="13"/>
              </w:numPr>
              <w:rPr>
                <w:rFonts w:cstheme="minorHAnsi"/>
              </w:rPr>
            </w:pPr>
            <w:r w:rsidRPr="0023078D">
              <w:rPr>
                <w:rFonts w:cstheme="minorHAnsi"/>
              </w:rPr>
              <w:t>Availability of safe and affordable forms of mobility</w:t>
            </w:r>
          </w:p>
        </w:tc>
      </w:tr>
      <w:tr w:rsidR="000B4369" w:rsidRPr="0023078D" w14:paraId="075E466C" w14:textId="77777777" w:rsidTr="001124CE">
        <w:trPr>
          <w:jc w:val="center"/>
        </w:trPr>
        <w:tc>
          <w:tcPr>
            <w:tcW w:w="8784" w:type="dxa"/>
          </w:tcPr>
          <w:p w14:paraId="1411BBCC" w14:textId="77777777" w:rsidR="000B4369" w:rsidRPr="0023078D" w:rsidRDefault="000B4369" w:rsidP="000B4369">
            <w:pPr>
              <w:pStyle w:val="ListParagraph"/>
              <w:numPr>
                <w:ilvl w:val="0"/>
                <w:numId w:val="13"/>
              </w:numPr>
              <w:spacing w:line="276" w:lineRule="auto"/>
              <w:rPr>
                <w:rFonts w:cstheme="minorHAnsi"/>
              </w:rPr>
            </w:pPr>
            <w:r w:rsidRPr="0023078D">
              <w:rPr>
                <w:rFonts w:cstheme="minorHAnsi"/>
              </w:rPr>
              <w:t>Access to high-quality education</w:t>
            </w:r>
          </w:p>
        </w:tc>
      </w:tr>
      <w:tr w:rsidR="000B4369" w:rsidRPr="0023078D" w14:paraId="5AFF06A0" w14:textId="77777777" w:rsidTr="001124CE">
        <w:trPr>
          <w:jc w:val="center"/>
        </w:trPr>
        <w:tc>
          <w:tcPr>
            <w:tcW w:w="8784" w:type="dxa"/>
          </w:tcPr>
          <w:p w14:paraId="46C05162" w14:textId="77777777" w:rsidR="000B4369" w:rsidRPr="0023078D" w:rsidRDefault="000B4369" w:rsidP="000B4369">
            <w:pPr>
              <w:pStyle w:val="ListParagraph"/>
              <w:numPr>
                <w:ilvl w:val="0"/>
                <w:numId w:val="13"/>
              </w:numPr>
              <w:spacing w:line="276" w:lineRule="auto"/>
              <w:rPr>
                <w:rFonts w:cstheme="minorHAnsi"/>
              </w:rPr>
            </w:pPr>
            <w:r w:rsidRPr="0023078D">
              <w:rPr>
                <w:rFonts w:cstheme="minorHAnsi"/>
              </w:rPr>
              <w:t>Access to communication networks</w:t>
            </w:r>
          </w:p>
        </w:tc>
      </w:tr>
      <w:tr w:rsidR="000B4369" w:rsidRPr="0023078D" w14:paraId="22ADD0FB" w14:textId="77777777" w:rsidTr="001124CE">
        <w:trPr>
          <w:jc w:val="center"/>
        </w:trPr>
        <w:tc>
          <w:tcPr>
            <w:tcW w:w="8784" w:type="dxa"/>
          </w:tcPr>
          <w:p w14:paraId="04AE02CB" w14:textId="77777777" w:rsidR="000B4369" w:rsidRPr="0023078D" w:rsidRDefault="000B4369" w:rsidP="000B4369">
            <w:pPr>
              <w:pStyle w:val="ListParagraph"/>
              <w:numPr>
                <w:ilvl w:val="0"/>
                <w:numId w:val="13"/>
              </w:numPr>
              <w:spacing w:line="276" w:lineRule="auto"/>
              <w:rPr>
                <w:rFonts w:cstheme="minorHAnsi"/>
              </w:rPr>
            </w:pPr>
            <w:r w:rsidRPr="0023078D">
              <w:rPr>
                <w:rFonts w:cstheme="minorHAnsi"/>
              </w:rPr>
              <w:t>Ability to manage social and economic risks</w:t>
            </w:r>
          </w:p>
        </w:tc>
      </w:tr>
      <w:tr w:rsidR="000B4369" w:rsidRPr="0023078D" w14:paraId="35F8AFA8" w14:textId="77777777" w:rsidTr="001124CE">
        <w:trPr>
          <w:jc w:val="center"/>
        </w:trPr>
        <w:tc>
          <w:tcPr>
            <w:tcW w:w="8784" w:type="dxa"/>
          </w:tcPr>
          <w:p w14:paraId="0136FF9C" w14:textId="77777777" w:rsidR="000B4369" w:rsidRPr="0023078D" w:rsidRDefault="000B4369" w:rsidP="000B4369">
            <w:pPr>
              <w:pStyle w:val="ListParagraph"/>
              <w:numPr>
                <w:ilvl w:val="0"/>
                <w:numId w:val="13"/>
              </w:numPr>
              <w:spacing w:line="276" w:lineRule="auto"/>
              <w:rPr>
                <w:rFonts w:cstheme="minorHAnsi"/>
              </w:rPr>
            </w:pPr>
            <w:r w:rsidRPr="0023078D">
              <w:rPr>
                <w:rFonts w:cstheme="minorHAnsi"/>
              </w:rPr>
              <w:t>Ability to participate in local decision-making processes</w:t>
            </w:r>
          </w:p>
        </w:tc>
      </w:tr>
      <w:tr w:rsidR="000B4369" w:rsidRPr="0023078D" w14:paraId="252C161C" w14:textId="77777777" w:rsidTr="001124CE">
        <w:trPr>
          <w:jc w:val="center"/>
        </w:trPr>
        <w:tc>
          <w:tcPr>
            <w:tcW w:w="8784" w:type="dxa"/>
          </w:tcPr>
          <w:p w14:paraId="20778B6A" w14:textId="77777777" w:rsidR="000B4369" w:rsidRPr="0023078D" w:rsidRDefault="000B4369" w:rsidP="000B4369">
            <w:pPr>
              <w:pStyle w:val="ListParagraph"/>
              <w:numPr>
                <w:ilvl w:val="0"/>
                <w:numId w:val="13"/>
              </w:numPr>
              <w:spacing w:line="276" w:lineRule="auto"/>
              <w:rPr>
                <w:rFonts w:cstheme="minorHAnsi"/>
              </w:rPr>
            </w:pPr>
            <w:r w:rsidRPr="0023078D">
              <w:rPr>
                <w:rFonts w:cstheme="minorHAnsi"/>
              </w:rPr>
              <w:t>Safety from crime</w:t>
            </w:r>
          </w:p>
        </w:tc>
      </w:tr>
      <w:tr w:rsidR="000B4369" w:rsidRPr="0023078D" w14:paraId="1B134719" w14:textId="77777777" w:rsidTr="001124CE">
        <w:trPr>
          <w:jc w:val="center"/>
        </w:trPr>
        <w:tc>
          <w:tcPr>
            <w:tcW w:w="8784" w:type="dxa"/>
          </w:tcPr>
          <w:p w14:paraId="2758F748" w14:textId="77777777" w:rsidR="000B4369" w:rsidRPr="0023078D" w:rsidRDefault="000B4369" w:rsidP="000B4369">
            <w:pPr>
              <w:pStyle w:val="ListParagraph"/>
              <w:numPr>
                <w:ilvl w:val="0"/>
                <w:numId w:val="13"/>
              </w:numPr>
              <w:spacing w:line="276" w:lineRule="auto"/>
              <w:rPr>
                <w:rFonts w:cstheme="minorHAnsi"/>
              </w:rPr>
            </w:pPr>
            <w:r w:rsidRPr="0023078D">
              <w:rPr>
                <w:rFonts w:cstheme="minorHAnsi"/>
              </w:rPr>
              <w:t>Being part of a supportive local community</w:t>
            </w:r>
          </w:p>
        </w:tc>
      </w:tr>
      <w:tr w:rsidR="000B4369" w:rsidRPr="0023078D" w14:paraId="56AF72F7" w14:textId="77777777" w:rsidTr="001124CE">
        <w:trPr>
          <w:jc w:val="center"/>
        </w:trPr>
        <w:tc>
          <w:tcPr>
            <w:tcW w:w="8784" w:type="dxa"/>
          </w:tcPr>
          <w:p w14:paraId="4D9B3790" w14:textId="77777777" w:rsidR="000B4369" w:rsidRPr="0023078D" w:rsidRDefault="000B4369" w:rsidP="000B4369">
            <w:pPr>
              <w:pStyle w:val="ListParagraph"/>
              <w:numPr>
                <w:ilvl w:val="0"/>
                <w:numId w:val="13"/>
              </w:numPr>
              <w:spacing w:line="276" w:lineRule="auto"/>
              <w:rPr>
                <w:rFonts w:cstheme="minorHAnsi"/>
              </w:rPr>
            </w:pPr>
            <w:r w:rsidRPr="0023078D">
              <w:rPr>
                <w:rFonts w:cstheme="minorHAnsi"/>
              </w:rPr>
              <w:t>Enhancing equality of opportunity and access for all</w:t>
            </w:r>
          </w:p>
        </w:tc>
      </w:tr>
      <w:tr w:rsidR="000B4369" w:rsidRPr="0023078D" w14:paraId="0B51172D" w14:textId="77777777" w:rsidTr="001124CE">
        <w:trPr>
          <w:jc w:val="center"/>
        </w:trPr>
        <w:tc>
          <w:tcPr>
            <w:tcW w:w="8784" w:type="dxa"/>
          </w:tcPr>
          <w:p w14:paraId="23DA5DE6" w14:textId="77777777" w:rsidR="000B4369" w:rsidRPr="0023078D" w:rsidRDefault="000B4369" w:rsidP="000B4369">
            <w:pPr>
              <w:pStyle w:val="ListParagraph"/>
              <w:numPr>
                <w:ilvl w:val="0"/>
                <w:numId w:val="13"/>
              </w:numPr>
              <w:spacing w:line="276" w:lineRule="auto"/>
              <w:rPr>
                <w:rFonts w:cstheme="minorHAnsi"/>
              </w:rPr>
            </w:pPr>
            <w:r w:rsidRPr="0023078D">
              <w:rPr>
                <w:rFonts w:cstheme="minorHAnsi"/>
              </w:rPr>
              <w:t>Good governance processes</w:t>
            </w:r>
          </w:p>
        </w:tc>
      </w:tr>
      <w:tr w:rsidR="000B4369" w:rsidRPr="0023078D" w14:paraId="3D860DE0" w14:textId="77777777" w:rsidTr="001124CE">
        <w:trPr>
          <w:jc w:val="center"/>
        </w:trPr>
        <w:tc>
          <w:tcPr>
            <w:tcW w:w="8784" w:type="dxa"/>
          </w:tcPr>
          <w:p w14:paraId="40F2CBED" w14:textId="77777777" w:rsidR="000B4369" w:rsidRPr="0023078D" w:rsidRDefault="000B4369" w:rsidP="000B4369">
            <w:pPr>
              <w:pStyle w:val="ListParagraph"/>
              <w:numPr>
                <w:ilvl w:val="0"/>
                <w:numId w:val="13"/>
              </w:numPr>
              <w:rPr>
                <w:rFonts w:cstheme="minorHAnsi"/>
              </w:rPr>
            </w:pPr>
            <w:r w:rsidRPr="0023078D">
              <w:rPr>
                <w:rFonts w:cstheme="minorHAnsi"/>
              </w:rPr>
              <w:t>Access to high-quality jobs</w:t>
            </w:r>
          </w:p>
        </w:tc>
      </w:tr>
      <w:tr w:rsidR="000B4369" w:rsidRPr="0023078D" w14:paraId="59455149" w14:textId="77777777" w:rsidTr="001124CE">
        <w:trPr>
          <w:jc w:val="center"/>
        </w:trPr>
        <w:tc>
          <w:tcPr>
            <w:tcW w:w="8784" w:type="dxa"/>
          </w:tcPr>
          <w:p w14:paraId="5ACF2EDA" w14:textId="77777777" w:rsidR="000B4369" w:rsidRPr="0023078D" w:rsidRDefault="000B4369" w:rsidP="000B4369">
            <w:pPr>
              <w:pStyle w:val="ListParagraph"/>
              <w:numPr>
                <w:ilvl w:val="0"/>
                <w:numId w:val="13"/>
              </w:numPr>
              <w:spacing w:line="276" w:lineRule="auto"/>
              <w:rPr>
                <w:rFonts w:cstheme="minorHAnsi"/>
              </w:rPr>
            </w:pPr>
            <w:r w:rsidRPr="0023078D">
              <w:rPr>
                <w:rFonts w:cstheme="minorHAnsi"/>
              </w:rPr>
              <w:t>Access to material goods</w:t>
            </w:r>
          </w:p>
        </w:tc>
      </w:tr>
      <w:tr w:rsidR="000B4369" w:rsidRPr="0023078D" w14:paraId="322D6578" w14:textId="77777777" w:rsidTr="001124CE">
        <w:trPr>
          <w:jc w:val="center"/>
        </w:trPr>
        <w:tc>
          <w:tcPr>
            <w:tcW w:w="8784" w:type="dxa"/>
          </w:tcPr>
          <w:p w14:paraId="534C5388" w14:textId="77777777" w:rsidR="000B4369" w:rsidRPr="0023078D" w:rsidRDefault="000B4369" w:rsidP="000B4369">
            <w:pPr>
              <w:pStyle w:val="ListParagraph"/>
              <w:numPr>
                <w:ilvl w:val="0"/>
                <w:numId w:val="13"/>
              </w:numPr>
              <w:spacing w:line="276" w:lineRule="auto"/>
              <w:rPr>
                <w:rFonts w:cstheme="minorHAnsi"/>
              </w:rPr>
            </w:pPr>
            <w:r w:rsidRPr="0023078D">
              <w:rPr>
                <w:rFonts w:cstheme="minorHAnsi"/>
              </w:rPr>
              <w:t>A safe and clean local environment</w:t>
            </w:r>
          </w:p>
        </w:tc>
      </w:tr>
      <w:tr w:rsidR="000B4369" w:rsidRPr="0023078D" w14:paraId="4AD3FCA3" w14:textId="77777777" w:rsidTr="001124CE">
        <w:trPr>
          <w:jc w:val="center"/>
        </w:trPr>
        <w:tc>
          <w:tcPr>
            <w:tcW w:w="8784" w:type="dxa"/>
          </w:tcPr>
          <w:p w14:paraId="129A7700" w14:textId="77777777" w:rsidR="000B4369" w:rsidRPr="0023078D" w:rsidRDefault="000B4369" w:rsidP="000B4369">
            <w:pPr>
              <w:pStyle w:val="ListParagraph"/>
              <w:numPr>
                <w:ilvl w:val="0"/>
                <w:numId w:val="13"/>
              </w:numPr>
              <w:spacing w:line="276" w:lineRule="auto"/>
              <w:rPr>
                <w:rFonts w:cstheme="minorHAnsi"/>
              </w:rPr>
            </w:pPr>
            <w:r w:rsidRPr="0023078D">
              <w:rPr>
                <w:rFonts w:cstheme="minorHAnsi"/>
              </w:rPr>
              <w:t>Enhancing diversity of plants and animals</w:t>
            </w:r>
          </w:p>
        </w:tc>
      </w:tr>
      <w:tr w:rsidR="000B4369" w:rsidRPr="0023078D" w14:paraId="464D0A00" w14:textId="77777777" w:rsidTr="001124CE">
        <w:trPr>
          <w:jc w:val="center"/>
        </w:trPr>
        <w:tc>
          <w:tcPr>
            <w:tcW w:w="8784" w:type="dxa"/>
          </w:tcPr>
          <w:p w14:paraId="418FD78D" w14:textId="77777777" w:rsidR="000B4369" w:rsidRPr="0023078D" w:rsidRDefault="000B4369" w:rsidP="000B4369">
            <w:pPr>
              <w:pStyle w:val="ListParagraph"/>
              <w:numPr>
                <w:ilvl w:val="0"/>
                <w:numId w:val="13"/>
              </w:numPr>
              <w:spacing w:after="180" w:line="276" w:lineRule="auto"/>
              <w:rPr>
                <w:rFonts w:cstheme="minorHAnsi"/>
              </w:rPr>
            </w:pPr>
            <w:r w:rsidRPr="0023078D">
              <w:rPr>
                <w:rFonts w:cstheme="minorHAnsi"/>
              </w:rPr>
              <w:t>Tackling climate change</w:t>
            </w:r>
          </w:p>
        </w:tc>
      </w:tr>
    </w:tbl>
    <w:p w14:paraId="14856A4F" w14:textId="77777777" w:rsidR="000B4369" w:rsidRPr="0023078D" w:rsidRDefault="000B4369" w:rsidP="000B4369">
      <w:pPr>
        <w:jc w:val="center"/>
        <w:rPr>
          <w:rFonts w:eastAsia="Times New Roman" w:cstheme="minorHAnsi"/>
          <w:b/>
          <w:bCs/>
          <w:sz w:val="22"/>
          <w:szCs w:val="22"/>
          <w:lang w:eastAsia="en-GB"/>
        </w:rPr>
      </w:pPr>
    </w:p>
    <w:p w14:paraId="5D4C170A" w14:textId="77777777" w:rsidR="000B4369" w:rsidRPr="0023078D" w:rsidRDefault="000B4369" w:rsidP="000B4369">
      <w:pPr>
        <w:jc w:val="center"/>
        <w:rPr>
          <w:rFonts w:cstheme="minorHAnsi"/>
          <w:b/>
          <w:bCs/>
          <w:sz w:val="22"/>
          <w:szCs w:val="22"/>
        </w:rPr>
      </w:pPr>
      <w:r w:rsidRPr="0023078D">
        <w:rPr>
          <w:rFonts w:cstheme="minorHAnsi"/>
          <w:b/>
          <w:bCs/>
          <w:sz w:val="22"/>
          <w:szCs w:val="22"/>
        </w:rPr>
        <w:t>Table 3. Energy demand mitigations options and wellbeing criteria for focus groups</w:t>
      </w:r>
    </w:p>
    <w:tbl>
      <w:tblPr>
        <w:tblStyle w:val="TableGrid"/>
        <w:tblW w:w="0" w:type="auto"/>
        <w:jc w:val="center"/>
        <w:tblLook w:val="04A0" w:firstRow="1" w:lastRow="0" w:firstColumn="1" w:lastColumn="0" w:noHBand="0" w:noVBand="1"/>
      </w:tblPr>
      <w:tblGrid>
        <w:gridCol w:w="2348"/>
        <w:gridCol w:w="3011"/>
        <w:gridCol w:w="3425"/>
      </w:tblGrid>
      <w:tr w:rsidR="000B4369" w:rsidRPr="0023078D" w14:paraId="62F51FC9" w14:textId="77777777" w:rsidTr="001124CE">
        <w:trPr>
          <w:jc w:val="center"/>
        </w:trPr>
        <w:tc>
          <w:tcPr>
            <w:tcW w:w="2348" w:type="dxa"/>
          </w:tcPr>
          <w:p w14:paraId="4B1CB944" w14:textId="77777777" w:rsidR="000B4369" w:rsidRPr="0023078D" w:rsidRDefault="000B4369" w:rsidP="001124CE">
            <w:pPr>
              <w:rPr>
                <w:rFonts w:cstheme="minorHAnsi"/>
                <w:b/>
                <w:bCs/>
              </w:rPr>
            </w:pPr>
            <w:r w:rsidRPr="0023078D">
              <w:rPr>
                <w:rFonts w:cstheme="minorHAnsi"/>
                <w:b/>
                <w:bCs/>
              </w:rPr>
              <w:t>Options</w:t>
            </w:r>
          </w:p>
        </w:tc>
        <w:tc>
          <w:tcPr>
            <w:tcW w:w="6436" w:type="dxa"/>
            <w:gridSpan w:val="2"/>
            <w:vMerge w:val="restart"/>
          </w:tcPr>
          <w:p w14:paraId="27FC4F5B" w14:textId="77777777" w:rsidR="000B4369" w:rsidRPr="0023078D" w:rsidRDefault="000B4369" w:rsidP="001124CE">
            <w:pPr>
              <w:rPr>
                <w:rFonts w:cstheme="minorHAnsi"/>
                <w:b/>
                <w:bCs/>
              </w:rPr>
            </w:pPr>
            <w:r w:rsidRPr="0023078D">
              <w:rPr>
                <w:rFonts w:cstheme="minorHAnsi"/>
                <w:b/>
                <w:bCs/>
              </w:rPr>
              <w:t>Scenarios</w:t>
            </w:r>
          </w:p>
          <w:p w14:paraId="157D0DE2" w14:textId="77777777" w:rsidR="000B4369" w:rsidRPr="0023078D" w:rsidRDefault="000B4369" w:rsidP="001124CE">
            <w:pPr>
              <w:rPr>
                <w:rFonts w:cstheme="minorHAnsi"/>
              </w:rPr>
            </w:pPr>
            <w:r w:rsidRPr="0023078D">
              <w:rPr>
                <w:rFonts w:cstheme="minorHAnsi"/>
              </w:rPr>
              <w:lastRenderedPageBreak/>
              <w:t>2000 houses retrofitted to the UK Energy Performance Certificate C.</w:t>
            </w:r>
            <w:r w:rsidRPr="0023078D">
              <w:rPr>
                <w:rStyle w:val="FootnoteReference"/>
                <w:rFonts w:asciiTheme="minorHAnsi" w:hAnsiTheme="minorHAnsi" w:cstheme="minorHAnsi"/>
                <w:sz w:val="22"/>
              </w:rPr>
              <w:footnoteReference w:id="1"/>
            </w:r>
          </w:p>
          <w:p w14:paraId="798A56F0" w14:textId="77777777" w:rsidR="000B4369" w:rsidRPr="0023078D" w:rsidRDefault="000B4369" w:rsidP="001124CE">
            <w:pPr>
              <w:rPr>
                <w:rFonts w:cstheme="minorHAnsi"/>
              </w:rPr>
            </w:pPr>
            <w:r w:rsidRPr="0023078D">
              <w:rPr>
                <w:rFonts w:cstheme="minorHAnsi"/>
              </w:rPr>
              <w:t>50% buses fare reduction</w:t>
            </w:r>
          </w:p>
          <w:p w14:paraId="4B362C19" w14:textId="77777777" w:rsidR="000B4369" w:rsidRPr="0023078D" w:rsidRDefault="000B4369" w:rsidP="001124CE">
            <w:pPr>
              <w:rPr>
                <w:rFonts w:cstheme="minorHAnsi"/>
              </w:rPr>
            </w:pPr>
            <w:r w:rsidRPr="0023078D">
              <w:rPr>
                <w:rFonts w:cstheme="minorHAnsi"/>
              </w:rPr>
              <w:t>Significant expansion of cycle-hire and bike lanes</w:t>
            </w:r>
          </w:p>
          <w:p w14:paraId="78469F1C" w14:textId="77777777" w:rsidR="000B4369" w:rsidRPr="0023078D" w:rsidRDefault="000B4369" w:rsidP="001124CE">
            <w:pPr>
              <w:rPr>
                <w:rFonts w:cstheme="minorHAnsi"/>
              </w:rPr>
            </w:pPr>
            <w:r w:rsidRPr="0023078D">
              <w:rPr>
                <w:rFonts w:cstheme="minorHAnsi"/>
              </w:rPr>
              <w:t xml:space="preserve">Extensive car-free zones to restrict driving through the town </w:t>
            </w:r>
            <w:proofErr w:type="gramStart"/>
            <w:r w:rsidRPr="0023078D">
              <w:rPr>
                <w:rFonts w:cstheme="minorHAnsi"/>
              </w:rPr>
              <w:t>centre</w:t>
            </w:r>
            <w:proofErr w:type="gramEnd"/>
          </w:p>
          <w:p w14:paraId="4852E1D1" w14:textId="77777777" w:rsidR="000B4369" w:rsidRPr="0023078D" w:rsidRDefault="000B4369" w:rsidP="001124CE">
            <w:pPr>
              <w:rPr>
                <w:rFonts w:cstheme="minorHAnsi"/>
              </w:rPr>
            </w:pPr>
            <w:r w:rsidRPr="0023078D">
              <w:rPr>
                <w:rFonts w:cstheme="minorHAnsi"/>
              </w:rPr>
              <w:t>All public building and school meals vegetarian and dairy free</w:t>
            </w:r>
          </w:p>
          <w:p w14:paraId="2EADF74D" w14:textId="77777777" w:rsidR="000B4369" w:rsidRPr="0023078D" w:rsidRDefault="000B4369" w:rsidP="001124CE">
            <w:pPr>
              <w:tabs>
                <w:tab w:val="left" w:pos="1032"/>
              </w:tabs>
              <w:rPr>
                <w:rFonts w:cstheme="minorHAnsi"/>
                <w:b/>
                <w:bCs/>
              </w:rPr>
            </w:pPr>
            <w:r w:rsidRPr="0023078D">
              <w:rPr>
                <w:rFonts w:cstheme="minorHAnsi"/>
              </w:rPr>
              <w:t>Substantial rewilding of local countryside, new nature reserves</w:t>
            </w:r>
          </w:p>
        </w:tc>
      </w:tr>
      <w:tr w:rsidR="000B4369" w:rsidRPr="0023078D" w14:paraId="1559684D" w14:textId="77777777" w:rsidTr="001124CE">
        <w:trPr>
          <w:jc w:val="center"/>
        </w:trPr>
        <w:tc>
          <w:tcPr>
            <w:tcW w:w="2348" w:type="dxa"/>
          </w:tcPr>
          <w:p w14:paraId="70D1418D" w14:textId="77777777" w:rsidR="000B4369" w:rsidRPr="0023078D" w:rsidRDefault="000B4369" w:rsidP="001124CE">
            <w:pPr>
              <w:rPr>
                <w:rFonts w:cstheme="minorHAnsi"/>
                <w:b/>
                <w:bCs/>
              </w:rPr>
            </w:pPr>
            <w:r w:rsidRPr="0023078D">
              <w:rPr>
                <w:rFonts w:cstheme="minorHAnsi"/>
              </w:rPr>
              <w:t>Home energy efficiency</w:t>
            </w:r>
          </w:p>
        </w:tc>
        <w:tc>
          <w:tcPr>
            <w:tcW w:w="6436" w:type="dxa"/>
            <w:gridSpan w:val="2"/>
            <w:vMerge/>
          </w:tcPr>
          <w:p w14:paraId="26CCAEC4" w14:textId="77777777" w:rsidR="000B4369" w:rsidRPr="0023078D" w:rsidRDefault="000B4369" w:rsidP="001124CE">
            <w:pPr>
              <w:tabs>
                <w:tab w:val="left" w:pos="1032"/>
              </w:tabs>
              <w:rPr>
                <w:rFonts w:cstheme="minorHAnsi"/>
                <w:b/>
                <w:bCs/>
              </w:rPr>
            </w:pPr>
          </w:p>
        </w:tc>
      </w:tr>
      <w:tr w:rsidR="000B4369" w:rsidRPr="0023078D" w14:paraId="00E9CC92" w14:textId="77777777" w:rsidTr="001124CE">
        <w:trPr>
          <w:jc w:val="center"/>
        </w:trPr>
        <w:tc>
          <w:tcPr>
            <w:tcW w:w="2348" w:type="dxa"/>
          </w:tcPr>
          <w:p w14:paraId="2203164F" w14:textId="77777777" w:rsidR="000B4369" w:rsidRPr="0023078D" w:rsidRDefault="000B4369" w:rsidP="001124CE">
            <w:pPr>
              <w:rPr>
                <w:rFonts w:cstheme="minorHAnsi"/>
              </w:rPr>
            </w:pPr>
            <w:r w:rsidRPr="0023078D">
              <w:rPr>
                <w:rFonts w:cstheme="minorHAnsi"/>
              </w:rPr>
              <w:t>Affordable public transport</w:t>
            </w:r>
          </w:p>
        </w:tc>
        <w:tc>
          <w:tcPr>
            <w:tcW w:w="6436" w:type="dxa"/>
            <w:gridSpan w:val="2"/>
            <w:vMerge/>
          </w:tcPr>
          <w:p w14:paraId="6B7BA159" w14:textId="77777777" w:rsidR="000B4369" w:rsidRPr="0023078D" w:rsidRDefault="000B4369" w:rsidP="001124CE">
            <w:pPr>
              <w:tabs>
                <w:tab w:val="left" w:pos="1032"/>
              </w:tabs>
              <w:rPr>
                <w:rFonts w:cstheme="minorHAnsi"/>
                <w:b/>
                <w:bCs/>
              </w:rPr>
            </w:pPr>
          </w:p>
        </w:tc>
      </w:tr>
      <w:tr w:rsidR="000B4369" w:rsidRPr="0023078D" w14:paraId="1B334DEC" w14:textId="77777777" w:rsidTr="001124CE">
        <w:trPr>
          <w:jc w:val="center"/>
        </w:trPr>
        <w:tc>
          <w:tcPr>
            <w:tcW w:w="2348" w:type="dxa"/>
          </w:tcPr>
          <w:p w14:paraId="2459AC78" w14:textId="77777777" w:rsidR="000B4369" w:rsidRPr="0023078D" w:rsidRDefault="000B4369" w:rsidP="001124CE">
            <w:pPr>
              <w:tabs>
                <w:tab w:val="left" w:pos="264"/>
              </w:tabs>
              <w:jc w:val="both"/>
              <w:rPr>
                <w:rFonts w:cstheme="minorHAnsi"/>
                <w:b/>
                <w:bCs/>
              </w:rPr>
            </w:pPr>
            <w:r w:rsidRPr="0023078D">
              <w:rPr>
                <w:rFonts w:cstheme="minorHAnsi"/>
              </w:rPr>
              <w:lastRenderedPageBreak/>
              <w:t>Active travel</w:t>
            </w:r>
          </w:p>
        </w:tc>
        <w:tc>
          <w:tcPr>
            <w:tcW w:w="6436" w:type="dxa"/>
            <w:gridSpan w:val="2"/>
            <w:vMerge/>
          </w:tcPr>
          <w:p w14:paraId="1F3A509D" w14:textId="77777777" w:rsidR="000B4369" w:rsidRPr="0023078D" w:rsidRDefault="000B4369" w:rsidP="001124CE">
            <w:pPr>
              <w:tabs>
                <w:tab w:val="left" w:pos="1032"/>
              </w:tabs>
              <w:rPr>
                <w:rFonts w:cstheme="minorHAnsi"/>
                <w:b/>
                <w:bCs/>
              </w:rPr>
            </w:pPr>
          </w:p>
        </w:tc>
      </w:tr>
      <w:tr w:rsidR="000B4369" w:rsidRPr="0023078D" w14:paraId="546D4962" w14:textId="77777777" w:rsidTr="001124CE">
        <w:trPr>
          <w:jc w:val="center"/>
        </w:trPr>
        <w:tc>
          <w:tcPr>
            <w:tcW w:w="2348" w:type="dxa"/>
          </w:tcPr>
          <w:p w14:paraId="1A411F61" w14:textId="77777777" w:rsidR="000B4369" w:rsidRPr="0023078D" w:rsidRDefault="000B4369" w:rsidP="001124CE">
            <w:pPr>
              <w:rPr>
                <w:rFonts w:cstheme="minorHAnsi"/>
                <w:b/>
                <w:bCs/>
              </w:rPr>
            </w:pPr>
            <w:r w:rsidRPr="0023078D">
              <w:rPr>
                <w:rFonts w:cstheme="minorHAnsi"/>
              </w:rPr>
              <w:t>Car-free zones</w:t>
            </w:r>
          </w:p>
        </w:tc>
        <w:tc>
          <w:tcPr>
            <w:tcW w:w="6436" w:type="dxa"/>
            <w:gridSpan w:val="2"/>
            <w:vMerge/>
          </w:tcPr>
          <w:p w14:paraId="4F5D96C1" w14:textId="77777777" w:rsidR="000B4369" w:rsidRPr="0023078D" w:rsidRDefault="000B4369" w:rsidP="001124CE">
            <w:pPr>
              <w:tabs>
                <w:tab w:val="left" w:pos="1032"/>
              </w:tabs>
              <w:rPr>
                <w:rFonts w:cstheme="minorHAnsi"/>
                <w:b/>
                <w:bCs/>
              </w:rPr>
            </w:pPr>
          </w:p>
        </w:tc>
      </w:tr>
      <w:tr w:rsidR="000B4369" w:rsidRPr="0023078D" w14:paraId="31C21B03" w14:textId="77777777" w:rsidTr="001124CE">
        <w:trPr>
          <w:jc w:val="center"/>
        </w:trPr>
        <w:tc>
          <w:tcPr>
            <w:tcW w:w="2348" w:type="dxa"/>
          </w:tcPr>
          <w:p w14:paraId="7FA51FF8" w14:textId="77777777" w:rsidR="000B4369" w:rsidRPr="0023078D" w:rsidRDefault="000B4369" w:rsidP="001124CE">
            <w:pPr>
              <w:rPr>
                <w:rFonts w:cstheme="minorHAnsi"/>
                <w:b/>
                <w:bCs/>
              </w:rPr>
            </w:pPr>
            <w:r w:rsidRPr="0023078D">
              <w:rPr>
                <w:rFonts w:cstheme="minorHAnsi"/>
              </w:rPr>
              <w:t>Plant-based diet</w:t>
            </w:r>
          </w:p>
        </w:tc>
        <w:tc>
          <w:tcPr>
            <w:tcW w:w="6436" w:type="dxa"/>
            <w:gridSpan w:val="2"/>
            <w:vMerge/>
          </w:tcPr>
          <w:p w14:paraId="7CC87875" w14:textId="77777777" w:rsidR="000B4369" w:rsidRPr="0023078D" w:rsidRDefault="000B4369" w:rsidP="001124CE">
            <w:pPr>
              <w:tabs>
                <w:tab w:val="left" w:pos="1032"/>
              </w:tabs>
              <w:rPr>
                <w:rFonts w:cstheme="minorHAnsi"/>
                <w:b/>
                <w:bCs/>
              </w:rPr>
            </w:pPr>
          </w:p>
        </w:tc>
      </w:tr>
      <w:tr w:rsidR="000B4369" w:rsidRPr="0023078D" w14:paraId="5D52E19D" w14:textId="77777777" w:rsidTr="001124CE">
        <w:trPr>
          <w:jc w:val="center"/>
        </w:trPr>
        <w:tc>
          <w:tcPr>
            <w:tcW w:w="2348" w:type="dxa"/>
          </w:tcPr>
          <w:p w14:paraId="7E931B53" w14:textId="77777777" w:rsidR="000B4369" w:rsidRPr="0023078D" w:rsidRDefault="000B4369" w:rsidP="001124CE">
            <w:pPr>
              <w:rPr>
                <w:rFonts w:cstheme="minorHAnsi"/>
                <w:b/>
                <w:bCs/>
              </w:rPr>
            </w:pPr>
            <w:r w:rsidRPr="0023078D">
              <w:rPr>
                <w:rFonts w:cstheme="minorHAnsi"/>
              </w:rPr>
              <w:t>Nature-based solutions</w:t>
            </w:r>
          </w:p>
        </w:tc>
        <w:tc>
          <w:tcPr>
            <w:tcW w:w="6436" w:type="dxa"/>
            <w:gridSpan w:val="2"/>
            <w:vMerge/>
          </w:tcPr>
          <w:p w14:paraId="6C8C4C2A" w14:textId="77777777" w:rsidR="000B4369" w:rsidRPr="0023078D" w:rsidRDefault="000B4369" w:rsidP="001124CE">
            <w:pPr>
              <w:tabs>
                <w:tab w:val="left" w:pos="1032"/>
              </w:tabs>
              <w:rPr>
                <w:rFonts w:cstheme="minorHAnsi"/>
                <w:b/>
                <w:bCs/>
              </w:rPr>
            </w:pPr>
          </w:p>
        </w:tc>
      </w:tr>
      <w:tr w:rsidR="000B4369" w:rsidRPr="0023078D" w14:paraId="28E7EAFB" w14:textId="77777777" w:rsidTr="001124CE">
        <w:trPr>
          <w:jc w:val="center"/>
        </w:trPr>
        <w:tc>
          <w:tcPr>
            <w:tcW w:w="5359" w:type="dxa"/>
            <w:gridSpan w:val="2"/>
          </w:tcPr>
          <w:p w14:paraId="4FA635B3" w14:textId="77777777" w:rsidR="000B4369" w:rsidRPr="0023078D" w:rsidRDefault="000B4369" w:rsidP="001124CE">
            <w:pPr>
              <w:tabs>
                <w:tab w:val="left" w:pos="2196"/>
              </w:tabs>
              <w:jc w:val="both"/>
              <w:rPr>
                <w:rFonts w:cstheme="minorHAnsi"/>
                <w:b/>
                <w:bCs/>
              </w:rPr>
            </w:pPr>
            <w:r w:rsidRPr="0023078D">
              <w:rPr>
                <w:rFonts w:cstheme="minorHAnsi"/>
                <w:b/>
                <w:bCs/>
              </w:rPr>
              <w:t>Criteria</w:t>
            </w:r>
          </w:p>
        </w:tc>
        <w:tc>
          <w:tcPr>
            <w:tcW w:w="3425" w:type="dxa"/>
          </w:tcPr>
          <w:p w14:paraId="366702EC" w14:textId="77777777" w:rsidR="000B4369" w:rsidRPr="0023078D" w:rsidRDefault="000B4369" w:rsidP="001124CE">
            <w:pPr>
              <w:tabs>
                <w:tab w:val="left" w:pos="2196"/>
              </w:tabs>
              <w:jc w:val="both"/>
              <w:rPr>
                <w:rFonts w:cstheme="minorHAnsi"/>
                <w:b/>
                <w:bCs/>
              </w:rPr>
            </w:pPr>
            <w:r w:rsidRPr="0023078D">
              <w:rPr>
                <w:rFonts w:cstheme="minorHAnsi"/>
                <w:b/>
                <w:bCs/>
              </w:rPr>
              <w:t xml:space="preserve">Description </w:t>
            </w:r>
          </w:p>
        </w:tc>
      </w:tr>
      <w:tr w:rsidR="000B4369" w:rsidRPr="0023078D" w14:paraId="5478A43D" w14:textId="77777777" w:rsidTr="001124CE">
        <w:trPr>
          <w:jc w:val="center"/>
        </w:trPr>
        <w:tc>
          <w:tcPr>
            <w:tcW w:w="2348" w:type="dxa"/>
            <w:vMerge w:val="restart"/>
          </w:tcPr>
          <w:p w14:paraId="642E7174" w14:textId="77777777" w:rsidR="000B4369" w:rsidRPr="0023078D" w:rsidRDefault="000B4369" w:rsidP="001124CE">
            <w:pPr>
              <w:tabs>
                <w:tab w:val="left" w:pos="612"/>
              </w:tabs>
              <w:rPr>
                <w:rFonts w:cstheme="minorHAnsi"/>
                <w:b/>
                <w:bCs/>
              </w:rPr>
            </w:pPr>
            <w:r w:rsidRPr="0023078D">
              <w:rPr>
                <w:rFonts w:cstheme="minorHAnsi"/>
                <w:b/>
                <w:bCs/>
              </w:rPr>
              <w:t>Social</w:t>
            </w:r>
          </w:p>
        </w:tc>
        <w:tc>
          <w:tcPr>
            <w:tcW w:w="3011" w:type="dxa"/>
          </w:tcPr>
          <w:p w14:paraId="64C359E9" w14:textId="77777777" w:rsidR="000B4369" w:rsidRPr="0023078D" w:rsidRDefault="000B4369" w:rsidP="001124CE">
            <w:pPr>
              <w:rPr>
                <w:rFonts w:cstheme="minorHAnsi"/>
              </w:rPr>
            </w:pPr>
            <w:r w:rsidRPr="0023078D">
              <w:rPr>
                <w:rFonts w:cstheme="minorHAnsi"/>
              </w:rPr>
              <w:t>Health benefits (mental and physical)</w:t>
            </w:r>
          </w:p>
        </w:tc>
        <w:tc>
          <w:tcPr>
            <w:tcW w:w="3425" w:type="dxa"/>
          </w:tcPr>
          <w:p w14:paraId="355D39A1" w14:textId="77777777" w:rsidR="000B4369" w:rsidRPr="0023078D" w:rsidRDefault="000B4369" w:rsidP="001124CE">
            <w:pPr>
              <w:rPr>
                <w:rFonts w:cstheme="minorHAnsi"/>
                <w:b/>
                <w:bCs/>
              </w:rPr>
            </w:pPr>
            <w:r w:rsidRPr="0023078D">
              <w:rPr>
                <w:rFonts w:cstheme="minorHAnsi"/>
              </w:rPr>
              <w:t>Improved physical and mental health</w:t>
            </w:r>
          </w:p>
        </w:tc>
      </w:tr>
      <w:tr w:rsidR="000B4369" w:rsidRPr="0023078D" w14:paraId="44E9BBAA" w14:textId="77777777" w:rsidTr="001124CE">
        <w:trPr>
          <w:jc w:val="center"/>
        </w:trPr>
        <w:tc>
          <w:tcPr>
            <w:tcW w:w="2348" w:type="dxa"/>
            <w:vMerge/>
          </w:tcPr>
          <w:p w14:paraId="33418E54" w14:textId="77777777" w:rsidR="000B4369" w:rsidRPr="0023078D" w:rsidRDefault="000B4369" w:rsidP="001124CE">
            <w:pPr>
              <w:tabs>
                <w:tab w:val="left" w:pos="804"/>
              </w:tabs>
              <w:rPr>
                <w:rFonts w:cstheme="minorHAnsi"/>
                <w:b/>
                <w:bCs/>
              </w:rPr>
            </w:pPr>
          </w:p>
        </w:tc>
        <w:tc>
          <w:tcPr>
            <w:tcW w:w="3011" w:type="dxa"/>
          </w:tcPr>
          <w:p w14:paraId="74FE0202" w14:textId="77777777" w:rsidR="000B4369" w:rsidRPr="0023078D" w:rsidRDefault="000B4369" w:rsidP="001124CE">
            <w:pPr>
              <w:rPr>
                <w:rFonts w:cstheme="minorHAnsi"/>
              </w:rPr>
            </w:pPr>
            <w:r w:rsidRPr="0023078D">
              <w:rPr>
                <w:rFonts w:cstheme="minorHAnsi"/>
              </w:rPr>
              <w:t>Being part of a safe and supportive community</w:t>
            </w:r>
          </w:p>
        </w:tc>
        <w:tc>
          <w:tcPr>
            <w:tcW w:w="3425" w:type="dxa"/>
          </w:tcPr>
          <w:p w14:paraId="4F9FEA3B" w14:textId="77777777" w:rsidR="000B4369" w:rsidRPr="0023078D" w:rsidRDefault="000B4369" w:rsidP="001124CE">
            <w:pPr>
              <w:rPr>
                <w:rFonts w:cstheme="minorHAnsi"/>
                <w:b/>
                <w:bCs/>
              </w:rPr>
            </w:pPr>
            <w:r w:rsidRPr="0023078D">
              <w:rPr>
                <w:rFonts w:cstheme="minorHAnsi"/>
              </w:rPr>
              <w:t>Increased community resilience and connection, improved protection from crime, access to community services for all</w:t>
            </w:r>
          </w:p>
        </w:tc>
      </w:tr>
      <w:tr w:rsidR="000B4369" w:rsidRPr="0023078D" w14:paraId="6C5F0E2C" w14:textId="77777777" w:rsidTr="001124CE">
        <w:trPr>
          <w:jc w:val="center"/>
        </w:trPr>
        <w:tc>
          <w:tcPr>
            <w:tcW w:w="2348" w:type="dxa"/>
            <w:vMerge w:val="restart"/>
          </w:tcPr>
          <w:p w14:paraId="55D1479E" w14:textId="77777777" w:rsidR="000B4369" w:rsidRPr="0023078D" w:rsidRDefault="000B4369" w:rsidP="001124CE">
            <w:pPr>
              <w:rPr>
                <w:rFonts w:cstheme="minorHAnsi"/>
                <w:b/>
                <w:bCs/>
              </w:rPr>
            </w:pPr>
            <w:r w:rsidRPr="0023078D">
              <w:rPr>
                <w:rFonts w:cstheme="minorHAnsi"/>
                <w:b/>
                <w:bCs/>
              </w:rPr>
              <w:t>Economic</w:t>
            </w:r>
          </w:p>
        </w:tc>
        <w:tc>
          <w:tcPr>
            <w:tcW w:w="3011" w:type="dxa"/>
          </w:tcPr>
          <w:p w14:paraId="58B55096" w14:textId="77777777" w:rsidR="000B4369" w:rsidRPr="0023078D" w:rsidRDefault="000B4369" w:rsidP="001124CE">
            <w:pPr>
              <w:rPr>
                <w:rFonts w:cstheme="minorHAnsi"/>
              </w:rPr>
            </w:pPr>
            <w:r w:rsidRPr="0023078D">
              <w:rPr>
                <w:rFonts w:cstheme="minorHAnsi"/>
              </w:rPr>
              <w:t>Value for money</w:t>
            </w:r>
          </w:p>
        </w:tc>
        <w:tc>
          <w:tcPr>
            <w:tcW w:w="3425" w:type="dxa"/>
          </w:tcPr>
          <w:p w14:paraId="3EE182AD" w14:textId="77777777" w:rsidR="000B4369" w:rsidRPr="0023078D" w:rsidRDefault="000B4369" w:rsidP="001124CE">
            <w:pPr>
              <w:rPr>
                <w:rFonts w:cstheme="minorHAnsi"/>
                <w:b/>
                <w:bCs/>
              </w:rPr>
            </w:pPr>
            <w:r w:rsidRPr="0023078D">
              <w:rPr>
                <w:rFonts w:cstheme="minorHAnsi"/>
              </w:rPr>
              <w:t>Optimising net social costs and benefits, increased benefits for all from public investment, public investments that considers both economic and social benefits, managing social and economic risks</w:t>
            </w:r>
          </w:p>
        </w:tc>
      </w:tr>
      <w:tr w:rsidR="000B4369" w:rsidRPr="0023078D" w14:paraId="6A421CCD" w14:textId="77777777" w:rsidTr="001124CE">
        <w:trPr>
          <w:jc w:val="center"/>
        </w:trPr>
        <w:tc>
          <w:tcPr>
            <w:tcW w:w="2348" w:type="dxa"/>
            <w:vMerge/>
          </w:tcPr>
          <w:p w14:paraId="15AF9A55" w14:textId="77777777" w:rsidR="000B4369" w:rsidRPr="0023078D" w:rsidRDefault="000B4369" w:rsidP="001124CE">
            <w:pPr>
              <w:rPr>
                <w:rFonts w:cstheme="minorHAnsi"/>
                <w:b/>
                <w:bCs/>
              </w:rPr>
            </w:pPr>
          </w:p>
        </w:tc>
        <w:tc>
          <w:tcPr>
            <w:tcW w:w="3011" w:type="dxa"/>
          </w:tcPr>
          <w:p w14:paraId="0CC07B62" w14:textId="77777777" w:rsidR="000B4369" w:rsidRPr="0023078D" w:rsidRDefault="000B4369" w:rsidP="001124CE">
            <w:pPr>
              <w:rPr>
                <w:rFonts w:cstheme="minorHAnsi"/>
              </w:rPr>
            </w:pPr>
            <w:r w:rsidRPr="0023078D">
              <w:rPr>
                <w:rFonts w:cstheme="minorHAnsi"/>
              </w:rPr>
              <w:t>Quality jobs creation</w:t>
            </w:r>
          </w:p>
        </w:tc>
        <w:tc>
          <w:tcPr>
            <w:tcW w:w="3425" w:type="dxa"/>
          </w:tcPr>
          <w:p w14:paraId="4F4A2389" w14:textId="77777777" w:rsidR="000B4369" w:rsidRPr="0023078D" w:rsidRDefault="000B4369" w:rsidP="001124CE">
            <w:pPr>
              <w:rPr>
                <w:rFonts w:cstheme="minorHAnsi"/>
                <w:b/>
                <w:bCs/>
              </w:rPr>
            </w:pPr>
            <w:r w:rsidRPr="0023078D">
              <w:rPr>
                <w:rFonts w:cstheme="minorHAnsi"/>
              </w:rPr>
              <w:t>Creation of good quality, flexible and long-term jobs, fair pay and working hours, increased equality, diversity and inclusion, flexible and long-term opportunities to satisfy people’s working and life needs</w:t>
            </w:r>
          </w:p>
        </w:tc>
      </w:tr>
      <w:tr w:rsidR="000B4369" w:rsidRPr="0023078D" w14:paraId="6CE046B8" w14:textId="77777777" w:rsidTr="001124CE">
        <w:trPr>
          <w:jc w:val="center"/>
        </w:trPr>
        <w:tc>
          <w:tcPr>
            <w:tcW w:w="2348" w:type="dxa"/>
          </w:tcPr>
          <w:p w14:paraId="0557E31B" w14:textId="77777777" w:rsidR="000B4369" w:rsidRPr="0023078D" w:rsidRDefault="000B4369" w:rsidP="001124CE">
            <w:pPr>
              <w:rPr>
                <w:rFonts w:cstheme="minorHAnsi"/>
                <w:b/>
                <w:bCs/>
              </w:rPr>
            </w:pPr>
            <w:r w:rsidRPr="0023078D">
              <w:rPr>
                <w:rFonts w:cstheme="minorHAnsi"/>
                <w:b/>
                <w:bCs/>
              </w:rPr>
              <w:t>Environmental</w:t>
            </w:r>
          </w:p>
        </w:tc>
        <w:tc>
          <w:tcPr>
            <w:tcW w:w="3011" w:type="dxa"/>
          </w:tcPr>
          <w:p w14:paraId="17B0353D" w14:textId="77777777" w:rsidR="000B4369" w:rsidRPr="0023078D" w:rsidRDefault="000B4369" w:rsidP="001124CE">
            <w:pPr>
              <w:tabs>
                <w:tab w:val="left" w:pos="1548"/>
              </w:tabs>
              <w:rPr>
                <w:rFonts w:cstheme="minorHAnsi"/>
              </w:rPr>
            </w:pPr>
            <w:r w:rsidRPr="0023078D">
              <w:rPr>
                <w:rFonts w:cstheme="minorHAnsi"/>
              </w:rPr>
              <w:t>Safe and clean local environment</w:t>
            </w:r>
          </w:p>
        </w:tc>
        <w:tc>
          <w:tcPr>
            <w:tcW w:w="3425" w:type="dxa"/>
          </w:tcPr>
          <w:p w14:paraId="5DF72200" w14:textId="77777777" w:rsidR="000B4369" w:rsidRPr="0023078D" w:rsidRDefault="000B4369" w:rsidP="001124CE">
            <w:pPr>
              <w:tabs>
                <w:tab w:val="left" w:pos="1548"/>
              </w:tabs>
              <w:rPr>
                <w:rFonts w:cstheme="minorHAnsi"/>
                <w:b/>
                <w:bCs/>
              </w:rPr>
            </w:pPr>
            <w:r w:rsidRPr="0023078D">
              <w:rPr>
                <w:rFonts w:cstheme="minorHAnsi"/>
              </w:rPr>
              <w:t>Increased safety in local areas, improved cleanliness of the local environment, access to safe, clean, green spaces for living, leisure and outdoor play</w:t>
            </w:r>
          </w:p>
        </w:tc>
      </w:tr>
      <w:tr w:rsidR="000B4369" w:rsidRPr="0023078D" w14:paraId="4CF10315" w14:textId="77777777" w:rsidTr="001124CE">
        <w:trPr>
          <w:jc w:val="center"/>
        </w:trPr>
        <w:tc>
          <w:tcPr>
            <w:tcW w:w="2348" w:type="dxa"/>
          </w:tcPr>
          <w:p w14:paraId="7305F02F" w14:textId="77777777" w:rsidR="000B4369" w:rsidRPr="0023078D" w:rsidRDefault="000B4369" w:rsidP="001124CE">
            <w:pPr>
              <w:pStyle w:val="FootnoteText"/>
              <w:rPr>
                <w:rFonts w:cstheme="minorHAnsi"/>
                <w:sz w:val="22"/>
                <w:szCs w:val="22"/>
              </w:rPr>
            </w:pPr>
          </w:p>
        </w:tc>
        <w:tc>
          <w:tcPr>
            <w:tcW w:w="3011" w:type="dxa"/>
          </w:tcPr>
          <w:p w14:paraId="45DC3821" w14:textId="77777777" w:rsidR="000B4369" w:rsidRPr="0023078D" w:rsidRDefault="000B4369" w:rsidP="001124CE">
            <w:pPr>
              <w:rPr>
                <w:rFonts w:cstheme="minorHAnsi"/>
              </w:rPr>
            </w:pPr>
            <w:r w:rsidRPr="0023078D">
              <w:rPr>
                <w:rFonts w:cstheme="minorHAnsi"/>
              </w:rPr>
              <w:t>Tackling climate change</w:t>
            </w:r>
          </w:p>
        </w:tc>
        <w:tc>
          <w:tcPr>
            <w:tcW w:w="3425" w:type="dxa"/>
          </w:tcPr>
          <w:p w14:paraId="2C6229F9" w14:textId="77777777" w:rsidR="000B4369" w:rsidRPr="0023078D" w:rsidRDefault="000B4369" w:rsidP="001124CE">
            <w:pPr>
              <w:rPr>
                <w:rFonts w:cstheme="minorHAnsi"/>
                <w:b/>
                <w:bCs/>
              </w:rPr>
            </w:pPr>
            <w:r w:rsidRPr="0023078D">
              <w:rPr>
                <w:rFonts w:cstheme="minorHAnsi"/>
              </w:rPr>
              <w:t>Reduce CO</w:t>
            </w:r>
            <w:r w:rsidRPr="0023078D">
              <w:rPr>
                <w:rFonts w:cstheme="minorHAnsi"/>
                <w:vertAlign w:val="subscript"/>
              </w:rPr>
              <w:t>2</w:t>
            </w:r>
            <w:r w:rsidRPr="0023078D">
              <w:rPr>
                <w:rFonts w:cstheme="minorHAnsi"/>
              </w:rPr>
              <w:t xml:space="preserve"> emissions through reduced fuel and energy consumption, public and active transit, buying local products, increasing building energy efficiency, reducing consumption and recycling, reusing and upcycling</w:t>
            </w:r>
          </w:p>
        </w:tc>
      </w:tr>
    </w:tbl>
    <w:p w14:paraId="55101D5C" w14:textId="77777777" w:rsidR="000B4369" w:rsidRPr="0023078D" w:rsidRDefault="000B4369" w:rsidP="000B4369">
      <w:pPr>
        <w:jc w:val="both"/>
        <w:rPr>
          <w:rFonts w:eastAsia="Times New Roman" w:cstheme="minorHAnsi"/>
          <w:sz w:val="22"/>
          <w:szCs w:val="22"/>
          <w:lang w:eastAsia="en-GB"/>
        </w:rPr>
      </w:pPr>
    </w:p>
    <w:p w14:paraId="66433F5E" w14:textId="25FE1777" w:rsidR="000B4369" w:rsidRPr="0023078D" w:rsidRDefault="000B4369" w:rsidP="000B4369">
      <w:pPr>
        <w:jc w:val="both"/>
        <w:rPr>
          <w:rFonts w:eastAsia="Times New Roman" w:cstheme="minorHAnsi"/>
          <w:sz w:val="22"/>
          <w:szCs w:val="22"/>
          <w:lang w:eastAsia="en-GB"/>
        </w:rPr>
      </w:pPr>
      <w:r w:rsidRPr="0023078D">
        <w:rPr>
          <w:rFonts w:eastAsia="Times New Roman" w:cstheme="minorHAnsi"/>
          <w:sz w:val="22"/>
          <w:szCs w:val="22"/>
          <w:lang w:eastAsia="en-GB"/>
        </w:rPr>
        <w:t>The focus groups allowed the triangulation of the data since participants contributed specific insights that could not be investigated in the survey (Punch, 2014). During the workshops, an adapted version of MCM was used as “an interactive appraisal method for exploring contrasting perspectives on complex strategic and policy issues.</w:t>
      </w:r>
      <w:r w:rsidR="00242379">
        <w:rPr>
          <w:rFonts w:eastAsia="Times New Roman" w:cstheme="minorHAnsi"/>
          <w:sz w:val="22"/>
          <w:szCs w:val="22"/>
          <w:lang w:eastAsia="en-GB"/>
        </w:rPr>
        <w:t xml:space="preserve"> </w:t>
      </w:r>
      <w:r w:rsidRPr="0023078D">
        <w:rPr>
          <w:rFonts w:eastAsia="Times New Roman" w:cstheme="minorHAnsi"/>
          <w:sz w:val="22"/>
          <w:szCs w:val="22"/>
          <w:lang w:eastAsia="en-GB"/>
        </w:rPr>
        <w:t>The tool aims to help 'open up' technical assessment by systematically 'mapping' the practical implications of alternative options, issues, uncertainties and values” (</w:t>
      </w:r>
      <w:proofErr w:type="spellStart"/>
      <w:r w:rsidRPr="0023078D">
        <w:rPr>
          <w:rFonts w:eastAsia="Times New Roman" w:cstheme="minorHAnsi"/>
          <w:sz w:val="22"/>
          <w:szCs w:val="22"/>
          <w:lang w:eastAsia="en-GB"/>
        </w:rPr>
        <w:t>UoS</w:t>
      </w:r>
      <w:proofErr w:type="spellEnd"/>
      <w:r w:rsidRPr="0023078D">
        <w:rPr>
          <w:rFonts w:eastAsia="Times New Roman" w:cstheme="minorHAnsi"/>
          <w:sz w:val="22"/>
          <w:szCs w:val="22"/>
          <w:lang w:eastAsia="en-GB"/>
        </w:rPr>
        <w:t>, 2023).</w:t>
      </w:r>
    </w:p>
    <w:p w14:paraId="36C6FC68" w14:textId="77777777" w:rsidR="0023078D" w:rsidRDefault="0023078D" w:rsidP="000B4369">
      <w:pPr>
        <w:jc w:val="both"/>
        <w:rPr>
          <w:rFonts w:eastAsia="Times New Roman" w:cstheme="minorHAnsi"/>
          <w:sz w:val="22"/>
          <w:szCs w:val="22"/>
          <w:lang w:eastAsia="en-GB"/>
        </w:rPr>
      </w:pPr>
    </w:p>
    <w:p w14:paraId="3CE2D709" w14:textId="7CC91DC7" w:rsidR="000B4369" w:rsidRDefault="00242379" w:rsidP="000B4369">
      <w:pPr>
        <w:jc w:val="both"/>
        <w:rPr>
          <w:rFonts w:eastAsia="Times New Roman" w:cstheme="minorHAnsi"/>
          <w:sz w:val="22"/>
          <w:szCs w:val="22"/>
          <w:lang w:eastAsia="en-GB"/>
        </w:rPr>
      </w:pPr>
      <w:r w:rsidRPr="00242379">
        <w:rPr>
          <w:rFonts w:eastAsia="Times New Roman" w:cstheme="minorHAnsi"/>
          <w:sz w:val="22"/>
          <w:szCs w:val="22"/>
          <w:lang w:eastAsia="en-GB"/>
        </w:rPr>
        <w:lastRenderedPageBreak/>
        <w:t>MCM</w:t>
      </w:r>
      <w:r>
        <w:rPr>
          <w:rStyle w:val="FootnoteReference"/>
          <w:rFonts w:eastAsia="Times New Roman" w:cstheme="minorHAnsi"/>
          <w:szCs w:val="22"/>
          <w:lang w:eastAsia="en-GB"/>
        </w:rPr>
        <w:footnoteReference w:id="2"/>
      </w:r>
      <w:r w:rsidRPr="00242379">
        <w:rPr>
          <w:rFonts w:eastAsia="Times New Roman" w:cstheme="minorHAnsi"/>
          <w:sz w:val="22"/>
          <w:szCs w:val="22"/>
          <w:lang w:eastAsia="en-GB"/>
        </w:rPr>
        <w:t xml:space="preserve"> is conceived as a tool to be used for individual or small group interviews where participants define their own criteria. Given the number of participants in the workshops, the criteria were predefined by the research team. </w:t>
      </w:r>
      <w:r w:rsidR="000B4369" w:rsidRPr="0023078D">
        <w:rPr>
          <w:rFonts w:eastAsia="Times New Roman" w:cstheme="minorHAnsi"/>
          <w:sz w:val="22"/>
          <w:szCs w:val="22"/>
          <w:lang w:eastAsia="en-GB"/>
        </w:rPr>
        <w:t xml:space="preserve">To analyse the data, we used the MCM scoring of the options and weighting of the criteria and adopted a thematic analysis, using </w:t>
      </w:r>
      <w:proofErr w:type="spellStart"/>
      <w:r w:rsidR="000B4369" w:rsidRPr="0023078D">
        <w:rPr>
          <w:rFonts w:eastAsia="Times New Roman" w:cstheme="minorHAnsi"/>
          <w:sz w:val="22"/>
          <w:szCs w:val="22"/>
          <w:lang w:eastAsia="en-GB"/>
        </w:rPr>
        <w:t>Nvivo</w:t>
      </w:r>
      <w:proofErr w:type="spellEnd"/>
      <w:r w:rsidR="000B4369" w:rsidRPr="0023078D">
        <w:rPr>
          <w:rFonts w:eastAsia="Times New Roman" w:cstheme="minorHAnsi"/>
          <w:sz w:val="22"/>
          <w:szCs w:val="22"/>
          <w:lang w:eastAsia="en-GB"/>
        </w:rPr>
        <w:t>, of the qualitative data collected during the workshop.</w:t>
      </w:r>
      <w:r w:rsidR="000B4369" w:rsidRPr="00242379">
        <w:footnoteReference w:id="3"/>
      </w:r>
      <w:r w:rsidR="000B4369" w:rsidRPr="0023078D">
        <w:rPr>
          <w:rFonts w:eastAsia="Times New Roman" w:cstheme="minorHAnsi"/>
          <w:sz w:val="22"/>
          <w:szCs w:val="22"/>
          <w:lang w:eastAsia="en-GB"/>
        </w:rPr>
        <w:t xml:space="preserve"> Thematic analysis is commonly used in qualitative analysis to allow the identification of key themes and patterns (</w:t>
      </w:r>
      <w:proofErr w:type="spellStart"/>
      <w:r w:rsidR="000B4369" w:rsidRPr="0023078D">
        <w:rPr>
          <w:rFonts w:eastAsia="Times New Roman" w:cstheme="minorHAnsi"/>
          <w:sz w:val="22"/>
          <w:szCs w:val="22"/>
          <w:lang w:eastAsia="en-GB"/>
        </w:rPr>
        <w:t>Sgier</w:t>
      </w:r>
      <w:proofErr w:type="spellEnd"/>
      <w:r w:rsidR="000B4369" w:rsidRPr="0023078D">
        <w:rPr>
          <w:rFonts w:eastAsia="Times New Roman" w:cstheme="minorHAnsi"/>
          <w:sz w:val="22"/>
          <w:szCs w:val="22"/>
          <w:lang w:eastAsia="en-GB"/>
        </w:rPr>
        <w:t>, 2012). It is “an approach for extraction of meanings and concepts from data and includes pinpointing, examining, and recording patterns or themes. […] [Thematic analysis] is a method for detection, analysis and reporting the themes in data (</w:t>
      </w:r>
      <w:proofErr w:type="spellStart"/>
      <w:r w:rsidR="000B4369" w:rsidRPr="0023078D">
        <w:rPr>
          <w:rFonts w:eastAsia="Times New Roman" w:cstheme="minorHAnsi"/>
          <w:sz w:val="22"/>
          <w:szCs w:val="22"/>
          <w:lang w:eastAsia="en-GB"/>
        </w:rPr>
        <w:t>Javadi</w:t>
      </w:r>
      <w:proofErr w:type="spellEnd"/>
      <w:r w:rsidR="000B4369" w:rsidRPr="0023078D">
        <w:rPr>
          <w:rFonts w:eastAsia="Times New Roman" w:cstheme="minorHAnsi"/>
          <w:sz w:val="22"/>
          <w:szCs w:val="22"/>
          <w:lang w:eastAsia="en-GB"/>
        </w:rPr>
        <w:t xml:space="preserve"> and </w:t>
      </w:r>
      <w:proofErr w:type="spellStart"/>
      <w:r w:rsidR="000B4369" w:rsidRPr="0023078D">
        <w:rPr>
          <w:rFonts w:eastAsia="Times New Roman" w:cstheme="minorHAnsi"/>
          <w:sz w:val="22"/>
          <w:szCs w:val="22"/>
          <w:lang w:eastAsia="en-GB"/>
        </w:rPr>
        <w:t>Zarea</w:t>
      </w:r>
      <w:proofErr w:type="spellEnd"/>
      <w:r w:rsidR="000B4369" w:rsidRPr="0023078D">
        <w:rPr>
          <w:rFonts w:eastAsia="Times New Roman" w:cstheme="minorHAnsi"/>
          <w:sz w:val="22"/>
          <w:szCs w:val="22"/>
          <w:lang w:eastAsia="en-GB"/>
        </w:rPr>
        <w:t>, 2016:34). The data was analysed through the lenses of the social, economic and environmental planetary boundaries.</w:t>
      </w:r>
    </w:p>
    <w:p w14:paraId="07D00749" w14:textId="77777777" w:rsidR="00077F96" w:rsidRDefault="00077F96" w:rsidP="000B4369">
      <w:pPr>
        <w:jc w:val="both"/>
        <w:rPr>
          <w:rFonts w:eastAsia="Times New Roman" w:cstheme="minorHAnsi"/>
          <w:sz w:val="22"/>
          <w:szCs w:val="22"/>
          <w:lang w:eastAsia="en-GB"/>
        </w:rPr>
      </w:pPr>
    </w:p>
    <w:p w14:paraId="33D49977" w14:textId="77777777" w:rsidR="00801D8E" w:rsidRPr="0023078D" w:rsidRDefault="00801D8E" w:rsidP="00801D8E">
      <w:pPr>
        <w:jc w:val="both"/>
        <w:rPr>
          <w:rFonts w:cstheme="minorHAnsi"/>
          <w:sz w:val="22"/>
          <w:szCs w:val="22"/>
        </w:rPr>
      </w:pPr>
    </w:p>
    <w:p w14:paraId="73CA49D6" w14:textId="77777777" w:rsidR="00801D8E" w:rsidRPr="0023078D" w:rsidRDefault="00801D8E" w:rsidP="00801D8E">
      <w:pPr>
        <w:rPr>
          <w:rFonts w:cstheme="minorHAnsi"/>
          <w:color w:val="000000" w:themeColor="text1"/>
        </w:rPr>
      </w:pPr>
    </w:p>
    <w:p w14:paraId="327F93CC" w14:textId="77777777" w:rsidR="00801D8E" w:rsidRPr="0023078D" w:rsidRDefault="00801D8E" w:rsidP="00801D8E">
      <w:pPr>
        <w:rPr>
          <w:rFonts w:cstheme="minorHAnsi"/>
          <w:color w:val="000000" w:themeColor="text1"/>
        </w:rPr>
      </w:pPr>
    </w:p>
    <w:p w14:paraId="3B68EDD5" w14:textId="6CC733E6" w:rsidR="00801D8E" w:rsidRPr="00E62774" w:rsidRDefault="00801D8E" w:rsidP="00E62774">
      <w:pPr>
        <w:rPr>
          <w:rFonts w:cstheme="minorHAnsi"/>
          <w:b/>
          <w:bCs/>
          <w:i/>
          <w:iCs/>
          <w:color w:val="000000" w:themeColor="text1"/>
        </w:rPr>
      </w:pPr>
    </w:p>
    <w:sectPr w:rsidR="00801D8E" w:rsidRPr="00E62774">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B562" w14:textId="77777777" w:rsidR="002550AE" w:rsidRDefault="002550AE" w:rsidP="000B4369">
      <w:r>
        <w:separator/>
      </w:r>
    </w:p>
  </w:endnote>
  <w:endnote w:type="continuationSeparator" w:id="0">
    <w:p w14:paraId="6B901AD9" w14:textId="77777777" w:rsidR="002550AE" w:rsidRDefault="002550AE" w:rsidP="000B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8137326"/>
      <w:docPartObj>
        <w:docPartGallery w:val="Page Numbers (Bottom of Page)"/>
        <w:docPartUnique/>
      </w:docPartObj>
    </w:sdtPr>
    <w:sdtContent>
      <w:p w14:paraId="61C06953" w14:textId="5CE628DF" w:rsidR="00E62774" w:rsidRDefault="00E62774" w:rsidP="001E0C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308738" w14:textId="77777777" w:rsidR="00E62774" w:rsidRDefault="00E62774" w:rsidP="00E627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2835484"/>
      <w:docPartObj>
        <w:docPartGallery w:val="Page Numbers (Bottom of Page)"/>
        <w:docPartUnique/>
      </w:docPartObj>
    </w:sdtPr>
    <w:sdtContent>
      <w:p w14:paraId="3FDA157C" w14:textId="3610B227" w:rsidR="00E62774" w:rsidRDefault="00E62774" w:rsidP="001E0CFA">
        <w:pPr>
          <w:pStyle w:val="Footer"/>
          <w:framePr w:wrap="none" w:vAnchor="text" w:hAnchor="margin" w:xAlign="right" w:y="1"/>
          <w:rPr>
            <w:rStyle w:val="PageNumber"/>
          </w:rPr>
        </w:pPr>
        <w:r w:rsidRPr="00E62774">
          <w:rPr>
            <w:rStyle w:val="PageNumber"/>
            <w:rFonts w:asciiTheme="minorHAnsi" w:hAnsiTheme="minorHAnsi" w:cstheme="minorHAnsi"/>
          </w:rPr>
          <w:fldChar w:fldCharType="begin"/>
        </w:r>
        <w:r w:rsidRPr="00E62774">
          <w:rPr>
            <w:rStyle w:val="PageNumber"/>
            <w:rFonts w:asciiTheme="minorHAnsi" w:hAnsiTheme="minorHAnsi" w:cstheme="minorHAnsi"/>
          </w:rPr>
          <w:instrText xml:space="preserve"> PAGE </w:instrText>
        </w:r>
        <w:r w:rsidRPr="00E62774">
          <w:rPr>
            <w:rStyle w:val="PageNumber"/>
            <w:rFonts w:asciiTheme="minorHAnsi" w:hAnsiTheme="minorHAnsi" w:cstheme="minorHAnsi"/>
          </w:rPr>
          <w:fldChar w:fldCharType="separate"/>
        </w:r>
        <w:r w:rsidRPr="00E62774">
          <w:rPr>
            <w:rStyle w:val="PageNumber"/>
            <w:rFonts w:asciiTheme="minorHAnsi" w:hAnsiTheme="minorHAnsi" w:cstheme="minorHAnsi"/>
            <w:noProof/>
          </w:rPr>
          <w:t>1</w:t>
        </w:r>
        <w:r w:rsidRPr="00E62774">
          <w:rPr>
            <w:rStyle w:val="PageNumber"/>
            <w:rFonts w:asciiTheme="minorHAnsi" w:hAnsiTheme="minorHAnsi" w:cstheme="minorHAnsi"/>
          </w:rPr>
          <w:fldChar w:fldCharType="end"/>
        </w:r>
      </w:p>
    </w:sdtContent>
  </w:sdt>
  <w:p w14:paraId="608DED6B" w14:textId="77777777" w:rsidR="00E62774" w:rsidRDefault="00E62774" w:rsidP="00E627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767D9" w14:textId="77777777" w:rsidR="002550AE" w:rsidRDefault="002550AE" w:rsidP="000B4369">
      <w:r>
        <w:separator/>
      </w:r>
    </w:p>
  </w:footnote>
  <w:footnote w:type="continuationSeparator" w:id="0">
    <w:p w14:paraId="6994441F" w14:textId="77777777" w:rsidR="002550AE" w:rsidRDefault="002550AE" w:rsidP="000B4369">
      <w:r>
        <w:continuationSeparator/>
      </w:r>
    </w:p>
  </w:footnote>
  <w:footnote w:id="1">
    <w:p w14:paraId="38D3322D" w14:textId="77777777" w:rsidR="000B4369" w:rsidRPr="00AD4847" w:rsidRDefault="000B4369" w:rsidP="000B4369">
      <w:pPr>
        <w:pStyle w:val="FootnoteText"/>
        <w:rPr>
          <w:rFonts w:ascii="Arial" w:hAnsi="Arial" w:cs="Arial"/>
        </w:rPr>
      </w:pPr>
      <w:r w:rsidRPr="00AD4847">
        <w:rPr>
          <w:rStyle w:val="FootnoteReference"/>
          <w:rFonts w:cs="Arial"/>
        </w:rPr>
        <w:footnoteRef/>
      </w:r>
      <w:r w:rsidRPr="00AD4847">
        <w:rPr>
          <w:rFonts w:ascii="Arial" w:hAnsi="Arial" w:cs="Arial"/>
        </w:rPr>
        <w:t xml:space="preserve"> </w:t>
      </w:r>
      <w:r w:rsidRPr="00E62774">
        <w:rPr>
          <w:rFonts w:cstheme="minorHAnsi"/>
        </w:rPr>
        <w:t>The UK EPC provides a property with an energy efficiency rating from A (most efficient) to G (least efficient) with a validity of 10 years.</w:t>
      </w:r>
    </w:p>
  </w:footnote>
  <w:footnote w:id="2">
    <w:p w14:paraId="4A885D5E" w14:textId="09289744" w:rsidR="00242379" w:rsidRPr="00242379" w:rsidRDefault="00242379">
      <w:pPr>
        <w:pStyle w:val="FootnoteText"/>
      </w:pPr>
      <w:r>
        <w:rPr>
          <w:rStyle w:val="FootnoteReference"/>
        </w:rPr>
        <w:footnoteRef/>
      </w:r>
      <w:r>
        <w:t xml:space="preserve"> To read more about MCM please visit: </w:t>
      </w:r>
      <w:hyperlink r:id="rId1" w:history="1">
        <w:r w:rsidRPr="00957CB8">
          <w:rPr>
            <w:rStyle w:val="Hyperlink"/>
          </w:rPr>
          <w:t>http://www.sussex.ac.uk/mcm/about</w:t>
        </w:r>
      </w:hyperlink>
      <w:r>
        <w:t xml:space="preserve"> </w:t>
      </w:r>
    </w:p>
  </w:footnote>
  <w:footnote w:id="3">
    <w:p w14:paraId="30760902" w14:textId="77777777" w:rsidR="000B4369" w:rsidRPr="00AD4847" w:rsidRDefault="000B4369" w:rsidP="00E62774">
      <w:pPr>
        <w:pStyle w:val="FootnoteText"/>
        <w:jc w:val="both"/>
        <w:rPr>
          <w:rFonts w:ascii="Arial" w:hAnsi="Arial" w:cs="Arial"/>
        </w:rPr>
      </w:pPr>
      <w:r w:rsidRPr="00E62774">
        <w:rPr>
          <w:rStyle w:val="FootnoteReference"/>
          <w:rFonts w:asciiTheme="minorHAnsi" w:hAnsiTheme="minorHAnsi" w:cstheme="minorHAnsi"/>
        </w:rPr>
        <w:footnoteRef/>
      </w:r>
      <w:r w:rsidRPr="00E62774">
        <w:rPr>
          <w:rFonts w:cstheme="minorHAnsi"/>
        </w:rPr>
        <w:t xml:space="preserve"> Scoring the options indicates the performance of options by rating them under each individual criterion according to people’s personal scale. The weighting of criteria indicates “the process of assigning importance weights to the different criteria […] It involves thinking about subjective values rather than technical judgements” (Coburn et al., 2019:45).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6E93"/>
    <w:multiLevelType w:val="hybridMultilevel"/>
    <w:tmpl w:val="D332A1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485F13"/>
    <w:multiLevelType w:val="hybridMultilevel"/>
    <w:tmpl w:val="30326738"/>
    <w:lvl w:ilvl="0" w:tplc="A5DC60E2">
      <w:start w:val="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76B0F"/>
    <w:multiLevelType w:val="multilevel"/>
    <w:tmpl w:val="BC92C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511F90"/>
    <w:multiLevelType w:val="hybridMultilevel"/>
    <w:tmpl w:val="3A729848"/>
    <w:lvl w:ilvl="0" w:tplc="08090011">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A022A8"/>
    <w:multiLevelType w:val="multilevel"/>
    <w:tmpl w:val="6D84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C261C0"/>
    <w:multiLevelType w:val="hybridMultilevel"/>
    <w:tmpl w:val="525274B8"/>
    <w:lvl w:ilvl="0" w:tplc="5FFE30C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C97EB0"/>
    <w:multiLevelType w:val="hybridMultilevel"/>
    <w:tmpl w:val="A7608F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427FF"/>
    <w:multiLevelType w:val="hybridMultilevel"/>
    <w:tmpl w:val="4798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01420E"/>
    <w:multiLevelType w:val="hybridMultilevel"/>
    <w:tmpl w:val="ABB2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667049"/>
    <w:multiLevelType w:val="multilevel"/>
    <w:tmpl w:val="FFEA5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466E4C"/>
    <w:multiLevelType w:val="multilevel"/>
    <w:tmpl w:val="C0F4D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numFmt w:val="bullet"/>
      <w:lvlText w:val="-"/>
      <w:lvlJc w:val="left"/>
      <w:pPr>
        <w:ind w:left="2880" w:hanging="360"/>
      </w:pPr>
      <w:rPr>
        <w:rFonts w:ascii="Calibri" w:eastAsiaTheme="minorHAnsi" w:hAnsi="Calibri" w:cs="Calibri"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BC40D3"/>
    <w:multiLevelType w:val="multilevel"/>
    <w:tmpl w:val="2542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122154"/>
    <w:multiLevelType w:val="hybridMultilevel"/>
    <w:tmpl w:val="BCA81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172C41"/>
    <w:multiLevelType w:val="multilevel"/>
    <w:tmpl w:val="D6E6B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BF5716"/>
    <w:multiLevelType w:val="hybridMultilevel"/>
    <w:tmpl w:val="7E448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2E4653"/>
    <w:multiLevelType w:val="hybridMultilevel"/>
    <w:tmpl w:val="CAA83BB2"/>
    <w:lvl w:ilvl="0" w:tplc="0D9A0E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2532549">
    <w:abstractNumId w:val="15"/>
  </w:num>
  <w:num w:numId="2" w16cid:durableId="275331183">
    <w:abstractNumId w:val="5"/>
  </w:num>
  <w:num w:numId="3" w16cid:durableId="567425747">
    <w:abstractNumId w:val="14"/>
  </w:num>
  <w:num w:numId="4" w16cid:durableId="1926987331">
    <w:abstractNumId w:val="11"/>
  </w:num>
  <w:num w:numId="5" w16cid:durableId="500851122">
    <w:abstractNumId w:val="2"/>
  </w:num>
  <w:num w:numId="6" w16cid:durableId="1806269236">
    <w:abstractNumId w:val="4"/>
  </w:num>
  <w:num w:numId="7" w16cid:durableId="1905481069">
    <w:abstractNumId w:val="9"/>
  </w:num>
  <w:num w:numId="8" w16cid:durableId="496848249">
    <w:abstractNumId w:val="13"/>
  </w:num>
  <w:num w:numId="9" w16cid:durableId="1380593522">
    <w:abstractNumId w:val="10"/>
  </w:num>
  <w:num w:numId="10" w16cid:durableId="1225140918">
    <w:abstractNumId w:val="7"/>
  </w:num>
  <w:num w:numId="11" w16cid:durableId="1483621547">
    <w:abstractNumId w:val="6"/>
  </w:num>
  <w:num w:numId="12" w16cid:durableId="963930033">
    <w:abstractNumId w:val="3"/>
  </w:num>
  <w:num w:numId="13" w16cid:durableId="2111856609">
    <w:abstractNumId w:val="0"/>
  </w:num>
  <w:num w:numId="14" w16cid:durableId="127750898">
    <w:abstractNumId w:val="1"/>
  </w:num>
  <w:num w:numId="15" w16cid:durableId="514148292">
    <w:abstractNumId w:val="12"/>
  </w:num>
  <w:num w:numId="16" w16cid:durableId="17171957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7C9"/>
    <w:rsid w:val="000641A7"/>
    <w:rsid w:val="00077F96"/>
    <w:rsid w:val="000B4369"/>
    <w:rsid w:val="000D61C1"/>
    <w:rsid w:val="000F1B0B"/>
    <w:rsid w:val="00121D87"/>
    <w:rsid w:val="001836E3"/>
    <w:rsid w:val="00226E20"/>
    <w:rsid w:val="0023078D"/>
    <w:rsid w:val="00242379"/>
    <w:rsid w:val="002550AE"/>
    <w:rsid w:val="002E71E9"/>
    <w:rsid w:val="003347C9"/>
    <w:rsid w:val="00343DDE"/>
    <w:rsid w:val="003563F9"/>
    <w:rsid w:val="003648A1"/>
    <w:rsid w:val="0038139A"/>
    <w:rsid w:val="003A55E8"/>
    <w:rsid w:val="003F321E"/>
    <w:rsid w:val="005D49A8"/>
    <w:rsid w:val="005D54DC"/>
    <w:rsid w:val="0065696C"/>
    <w:rsid w:val="006E6A0B"/>
    <w:rsid w:val="00801D8E"/>
    <w:rsid w:val="008A04E1"/>
    <w:rsid w:val="008A75C2"/>
    <w:rsid w:val="008E564F"/>
    <w:rsid w:val="008F29E2"/>
    <w:rsid w:val="008F3778"/>
    <w:rsid w:val="00945311"/>
    <w:rsid w:val="00972D44"/>
    <w:rsid w:val="00986C48"/>
    <w:rsid w:val="009F37B5"/>
    <w:rsid w:val="00A07C57"/>
    <w:rsid w:val="00A503DC"/>
    <w:rsid w:val="00B0511A"/>
    <w:rsid w:val="00B12799"/>
    <w:rsid w:val="00B208FD"/>
    <w:rsid w:val="00B70D65"/>
    <w:rsid w:val="00B71C63"/>
    <w:rsid w:val="00BB7D29"/>
    <w:rsid w:val="00C465A0"/>
    <w:rsid w:val="00C80590"/>
    <w:rsid w:val="00D050BA"/>
    <w:rsid w:val="00E62774"/>
    <w:rsid w:val="00EA5A6E"/>
    <w:rsid w:val="00EE1882"/>
    <w:rsid w:val="00F03994"/>
    <w:rsid w:val="00F11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31B13"/>
  <w15:chartTrackingRefBased/>
  <w15:docId w15:val="{A6D92A3C-BDA6-464E-BD3D-C8598517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11A"/>
    <w:pPr>
      <w:spacing w:after="100" w:line="259" w:lineRule="auto"/>
    </w:pPr>
    <w:rPr>
      <w:rFonts w:ascii="Times New Roman" w:hAnsi="Times New Roman"/>
      <w:kern w:val="0"/>
      <w:szCs w:val="22"/>
      <w14:ligatures w14:val="none"/>
    </w:rPr>
  </w:style>
  <w:style w:type="paragraph" w:styleId="TOC3">
    <w:name w:val="toc 3"/>
    <w:basedOn w:val="Normal"/>
    <w:next w:val="Normal"/>
    <w:autoRedefine/>
    <w:uiPriority w:val="39"/>
    <w:unhideWhenUsed/>
    <w:rsid w:val="002E71E9"/>
    <w:pPr>
      <w:spacing w:line="360" w:lineRule="auto"/>
      <w:ind w:left="480"/>
    </w:pPr>
    <w:rPr>
      <w:rFonts w:ascii="Arial" w:hAnsi="Arial" w:cstheme="minorHAnsi"/>
      <w:sz w:val="20"/>
      <w:szCs w:val="20"/>
    </w:rPr>
  </w:style>
  <w:style w:type="paragraph" w:styleId="TOC2">
    <w:name w:val="toc 2"/>
    <w:basedOn w:val="Normal"/>
    <w:next w:val="Normal"/>
    <w:autoRedefine/>
    <w:uiPriority w:val="39"/>
    <w:unhideWhenUsed/>
    <w:rsid w:val="002E71E9"/>
    <w:pPr>
      <w:spacing w:before="120" w:line="360" w:lineRule="auto"/>
      <w:ind w:left="240"/>
    </w:pPr>
    <w:rPr>
      <w:rFonts w:ascii="Arial" w:hAnsi="Arial" w:cstheme="minorHAnsi"/>
      <w:bCs/>
      <w:sz w:val="22"/>
      <w:szCs w:val="22"/>
    </w:rPr>
  </w:style>
  <w:style w:type="paragraph" w:customStyle="1" w:styleId="figures">
    <w:name w:val="figures"/>
    <w:basedOn w:val="Normal"/>
    <w:autoRedefine/>
    <w:qFormat/>
    <w:rsid w:val="0038139A"/>
    <w:pPr>
      <w:spacing w:before="120" w:after="120"/>
      <w:jc w:val="center"/>
    </w:pPr>
    <w:rPr>
      <w:rFonts w:ascii="Arial" w:hAnsi="Arial"/>
      <w:sz w:val="22"/>
    </w:rPr>
  </w:style>
  <w:style w:type="paragraph" w:customStyle="1" w:styleId="tables">
    <w:name w:val="tables"/>
    <w:basedOn w:val="figures"/>
    <w:autoRedefine/>
    <w:qFormat/>
    <w:rsid w:val="0038139A"/>
    <w:pPr>
      <w:widowControl w:val="0"/>
      <w:autoSpaceDE w:val="0"/>
      <w:autoSpaceDN w:val="0"/>
      <w:adjustRightInd w:val="0"/>
      <w:spacing w:line="276" w:lineRule="auto"/>
    </w:pPr>
    <w:rPr>
      <w:rFonts w:cs="Arial"/>
      <w:szCs w:val="22"/>
    </w:rPr>
  </w:style>
  <w:style w:type="paragraph" w:customStyle="1" w:styleId="figuresII">
    <w:name w:val="figures II"/>
    <w:basedOn w:val="figures"/>
    <w:autoRedefine/>
    <w:qFormat/>
    <w:rsid w:val="00226E20"/>
    <w:rPr>
      <w:noProof/>
      <w:sz w:val="21"/>
    </w:rPr>
  </w:style>
  <w:style w:type="paragraph" w:customStyle="1" w:styleId="H4">
    <w:name w:val="H4"/>
    <w:basedOn w:val="Normal"/>
    <w:autoRedefine/>
    <w:qFormat/>
    <w:rsid w:val="00226E20"/>
    <w:pPr>
      <w:spacing w:line="276" w:lineRule="auto"/>
      <w:jc w:val="both"/>
    </w:pPr>
    <w:rPr>
      <w:rFonts w:ascii="Arial" w:hAnsi="Arial" w:cs="Arial"/>
      <w:b/>
      <w:sz w:val="22"/>
      <w:szCs w:val="22"/>
    </w:rPr>
  </w:style>
  <w:style w:type="paragraph" w:styleId="TOC4">
    <w:name w:val="toc 4"/>
    <w:basedOn w:val="Normal"/>
    <w:next w:val="Normal"/>
    <w:autoRedefine/>
    <w:uiPriority w:val="39"/>
    <w:unhideWhenUsed/>
    <w:qFormat/>
    <w:rsid w:val="00226E20"/>
    <w:pPr>
      <w:spacing w:line="360" w:lineRule="auto"/>
      <w:ind w:left="720"/>
    </w:pPr>
    <w:rPr>
      <w:rFonts w:ascii="Arial" w:hAnsi="Arial" w:cstheme="minorHAnsi"/>
      <w:sz w:val="20"/>
      <w:szCs w:val="20"/>
    </w:rPr>
  </w:style>
  <w:style w:type="paragraph" w:styleId="Footer">
    <w:name w:val="footer"/>
    <w:basedOn w:val="Normal"/>
    <w:link w:val="FooterChar"/>
    <w:autoRedefine/>
    <w:uiPriority w:val="99"/>
    <w:unhideWhenUsed/>
    <w:qFormat/>
    <w:rsid w:val="008F3778"/>
    <w:pPr>
      <w:tabs>
        <w:tab w:val="center" w:pos="4513"/>
        <w:tab w:val="right" w:pos="9026"/>
      </w:tabs>
      <w:jc w:val="both"/>
    </w:pPr>
    <w:rPr>
      <w:rFonts w:ascii="Arial" w:hAnsi="Arial"/>
      <w:sz w:val="20"/>
    </w:rPr>
  </w:style>
  <w:style w:type="character" w:customStyle="1" w:styleId="FooterChar">
    <w:name w:val="Footer Char"/>
    <w:basedOn w:val="DefaultParagraphFont"/>
    <w:link w:val="Footer"/>
    <w:uiPriority w:val="99"/>
    <w:rsid w:val="008F3778"/>
    <w:rPr>
      <w:rFonts w:ascii="Arial" w:hAnsi="Arial"/>
      <w:sz w:val="20"/>
    </w:rPr>
  </w:style>
  <w:style w:type="paragraph" w:customStyle="1" w:styleId="Style1">
    <w:name w:val="Style1"/>
    <w:basedOn w:val="Normal"/>
    <w:autoRedefine/>
    <w:qFormat/>
    <w:rsid w:val="000F1B0B"/>
    <w:pPr>
      <w:tabs>
        <w:tab w:val="left" w:pos="3769"/>
      </w:tabs>
      <w:spacing w:line="276" w:lineRule="auto"/>
      <w:jc w:val="both"/>
    </w:pPr>
    <w:rPr>
      <w:rFonts w:ascii="Arial" w:hAnsi="Arial"/>
    </w:rPr>
  </w:style>
  <w:style w:type="character" w:styleId="FootnoteReference">
    <w:name w:val="footnote reference"/>
    <w:basedOn w:val="DefaultParagraphFont"/>
    <w:uiPriority w:val="99"/>
    <w:semiHidden/>
    <w:unhideWhenUsed/>
    <w:qFormat/>
    <w:rsid w:val="00986C48"/>
    <w:rPr>
      <w:rFonts w:ascii="Arial" w:hAnsi="Arial"/>
      <w:sz w:val="20"/>
      <w:vertAlign w:val="superscript"/>
    </w:rPr>
  </w:style>
  <w:style w:type="paragraph" w:customStyle="1" w:styleId="xxmsonormal">
    <w:name w:val="x_x_msonormal"/>
    <w:basedOn w:val="Normal"/>
    <w:rsid w:val="003347C9"/>
    <w:rPr>
      <w:rFonts w:ascii="Calibri" w:hAnsi="Calibri" w:cs="Calibri"/>
      <w:kern w:val="0"/>
      <w:sz w:val="22"/>
      <w:szCs w:val="22"/>
      <w:lang w:eastAsia="en-GB"/>
      <w14:ligatures w14:val="none"/>
    </w:rPr>
  </w:style>
  <w:style w:type="character" w:customStyle="1" w:styleId="xxcontentpasted1">
    <w:name w:val="x_x_contentpasted1"/>
    <w:basedOn w:val="DefaultParagraphFont"/>
    <w:rsid w:val="003347C9"/>
  </w:style>
  <w:style w:type="character" w:customStyle="1" w:styleId="xxcontentpasted2">
    <w:name w:val="x_x_contentpasted2"/>
    <w:basedOn w:val="DefaultParagraphFont"/>
    <w:rsid w:val="003347C9"/>
  </w:style>
  <w:style w:type="paragraph" w:styleId="ListParagraph">
    <w:name w:val="List Paragraph"/>
    <w:basedOn w:val="Normal"/>
    <w:uiPriority w:val="34"/>
    <w:qFormat/>
    <w:rsid w:val="00801D8E"/>
    <w:pPr>
      <w:ind w:left="720"/>
      <w:contextualSpacing/>
    </w:pPr>
  </w:style>
  <w:style w:type="character" w:styleId="Hyperlink">
    <w:name w:val="Hyperlink"/>
    <w:basedOn w:val="DefaultParagraphFont"/>
    <w:uiPriority w:val="99"/>
    <w:unhideWhenUsed/>
    <w:rsid w:val="00801D8E"/>
    <w:rPr>
      <w:color w:val="0000FF"/>
      <w:u w:val="single"/>
    </w:rPr>
  </w:style>
  <w:style w:type="character" w:customStyle="1" w:styleId="apple-converted-space">
    <w:name w:val="apple-converted-space"/>
    <w:basedOn w:val="DefaultParagraphFont"/>
    <w:rsid w:val="00801D8E"/>
  </w:style>
  <w:style w:type="character" w:styleId="CommentReference">
    <w:name w:val="annotation reference"/>
    <w:basedOn w:val="DefaultParagraphFont"/>
    <w:uiPriority w:val="99"/>
    <w:semiHidden/>
    <w:unhideWhenUsed/>
    <w:rsid w:val="00801D8E"/>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basedOn w:val="Normal"/>
    <w:link w:val="FootnoteTextChar"/>
    <w:uiPriority w:val="99"/>
    <w:unhideWhenUsed/>
    <w:rsid w:val="000B4369"/>
    <w:rPr>
      <w:kern w:val="0"/>
      <w:sz w:val="20"/>
      <w:szCs w:val="20"/>
      <w14:ligatures w14:val="none"/>
    </w:rPr>
  </w:style>
  <w:style w:type="character" w:customStyle="1" w:styleId="FootnoteTextChar">
    <w:name w:val="Footnote Text Char"/>
    <w:basedOn w:val="DefaultParagraphFont"/>
    <w:link w:val="FootnoteText"/>
    <w:uiPriority w:val="99"/>
    <w:rsid w:val="000B4369"/>
    <w:rPr>
      <w:kern w:val="0"/>
      <w:sz w:val="20"/>
      <w:szCs w:val="20"/>
      <w14:ligatures w14:val="none"/>
    </w:rPr>
  </w:style>
  <w:style w:type="table" w:styleId="TableGrid">
    <w:name w:val="Table Grid"/>
    <w:basedOn w:val="TableNormal"/>
    <w:uiPriority w:val="39"/>
    <w:rsid w:val="000B4369"/>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078D"/>
  </w:style>
  <w:style w:type="character" w:styleId="PageNumber">
    <w:name w:val="page number"/>
    <w:basedOn w:val="DefaultParagraphFont"/>
    <w:uiPriority w:val="99"/>
    <w:semiHidden/>
    <w:unhideWhenUsed/>
    <w:rsid w:val="00E62774"/>
  </w:style>
  <w:style w:type="paragraph" w:styleId="Header">
    <w:name w:val="header"/>
    <w:basedOn w:val="Normal"/>
    <w:link w:val="HeaderChar"/>
    <w:uiPriority w:val="99"/>
    <w:unhideWhenUsed/>
    <w:rsid w:val="00E62774"/>
    <w:pPr>
      <w:tabs>
        <w:tab w:val="center" w:pos="4513"/>
        <w:tab w:val="right" w:pos="9026"/>
      </w:tabs>
    </w:pPr>
  </w:style>
  <w:style w:type="character" w:customStyle="1" w:styleId="HeaderChar">
    <w:name w:val="Header Char"/>
    <w:basedOn w:val="DefaultParagraphFont"/>
    <w:link w:val="Header"/>
    <w:uiPriority w:val="99"/>
    <w:rsid w:val="00E62774"/>
  </w:style>
  <w:style w:type="character" w:styleId="FollowedHyperlink">
    <w:name w:val="FollowedHyperlink"/>
    <w:basedOn w:val="DefaultParagraphFont"/>
    <w:uiPriority w:val="99"/>
    <w:semiHidden/>
    <w:unhideWhenUsed/>
    <w:rsid w:val="003648A1"/>
    <w:rPr>
      <w:color w:val="954F72" w:themeColor="followedHyperlink"/>
      <w:u w:val="single"/>
    </w:rPr>
  </w:style>
  <w:style w:type="character" w:styleId="UnresolvedMention">
    <w:name w:val="Unresolved Mention"/>
    <w:basedOn w:val="DefaultParagraphFont"/>
    <w:uiPriority w:val="99"/>
    <w:semiHidden/>
    <w:unhideWhenUsed/>
    <w:rsid w:val="00242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ussex.ac.uk/mc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7</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Aguirre</dc:creator>
  <cp:keywords/>
  <dc:description/>
  <cp:lastModifiedBy>Beatriz Aguirre</cp:lastModifiedBy>
  <cp:revision>16</cp:revision>
  <dcterms:created xsi:type="dcterms:W3CDTF">2023-12-06T04:41:00Z</dcterms:created>
  <dcterms:modified xsi:type="dcterms:W3CDTF">2023-12-14T04:11:00Z</dcterms:modified>
</cp:coreProperties>
</file>