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0F28" w14:textId="1E5C185D"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proofErr w:type="spellStart"/>
      <w:r>
        <w:t>RoB</w:t>
      </w:r>
      <w:proofErr w:type="spellEnd"/>
      <w:r>
        <w:t xml:space="preserve"> 2</w:t>
      </w:r>
      <w:r w:rsidRPr="00C1728A">
        <w:t>)</w:t>
      </w:r>
    </w:p>
    <w:p w14:paraId="56807E56" w14:textId="6EAE7A1E" w:rsidR="00541655" w:rsidRPr="00541655" w:rsidRDefault="00541655" w:rsidP="00541655">
      <w:pPr>
        <w:pStyle w:val="Title"/>
      </w:pPr>
      <w:r>
        <w:t>TEMPLATE FOR COMPLETION</w:t>
      </w:r>
    </w:p>
    <w:p w14:paraId="18CE5736" w14:textId="2714D1E3" w:rsidR="00076212" w:rsidRPr="00076212" w:rsidRDefault="00076212" w:rsidP="00C62D50">
      <w:pPr>
        <w:jc w:val="center"/>
      </w:pPr>
      <w:r w:rsidRPr="00076212">
        <w:t xml:space="preserve">Edited by Julian PT Higgins, Jelena </w:t>
      </w:r>
      <w:proofErr w:type="spellStart"/>
      <w:r w:rsidRPr="00076212">
        <w:t>Savović</w:t>
      </w:r>
      <w:proofErr w:type="spellEnd"/>
      <w:r w:rsidRPr="00076212">
        <w:t>, Matthew J Page, Jonathan AC Sterne</w:t>
      </w:r>
      <w:r w:rsidRPr="00076212">
        <w:br/>
        <w:t>on behalf of the R</w:t>
      </w:r>
      <w:r w:rsidR="00507ECD">
        <w:t>o</w:t>
      </w:r>
      <w:r w:rsidRPr="00076212">
        <w:t>B2 Development Group</w:t>
      </w:r>
    </w:p>
    <w:p w14:paraId="3EF478C0" w14:textId="40844679" w:rsidR="00076212" w:rsidRDefault="00076212" w:rsidP="00C62D50">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2AF372A9" w:rsidR="00341861" w:rsidRDefault="00341861"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 xml:space="preserve">The development of the </w:t>
      </w:r>
      <w:proofErr w:type="spellStart"/>
      <w:r w:rsidRPr="008449E5">
        <w:t>RoB</w:t>
      </w:r>
      <w:proofErr w:type="spellEnd"/>
      <w:r w:rsidRPr="008449E5">
        <w:t xml:space="preserve"> 2 tool was supported by the MRC Network of Hubs for Trials Methodology Research (MR/L004933/2- N61), with the support of the host MRC </w:t>
      </w:r>
      <w:proofErr w:type="spellStart"/>
      <w:r w:rsidRPr="008449E5">
        <w:t>ConDuCT</w:t>
      </w:r>
      <w:proofErr w:type="spellEnd"/>
      <w:r w:rsidRPr="008449E5">
        <w:t xml:space="preserve">-II Hub (Collaboration and innovation for Difficult and Complex randomised controlled Trials </w:t>
      </w:r>
      <w:proofErr w:type="gramStart"/>
      <w:r w:rsidRPr="008449E5">
        <w:t>In</w:t>
      </w:r>
      <w:proofErr w:type="gramEnd"/>
      <w:r w:rsidRPr="008449E5">
        <w:t xml:space="preserve">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7DF48BB3" w:rsidR="004B666A" w:rsidRPr="00D9132B" w:rsidRDefault="00D9132B" w:rsidP="00E67260">
                  <w:pPr>
                    <w:rPr>
                      <w:rFonts w:cstheme="minorHAnsi"/>
                      <w:lang w:val="en-GB"/>
                    </w:rPr>
                  </w:pPr>
                  <w:r w:rsidRPr="00D9132B">
                    <w:rPr>
                      <w:rFonts w:cstheme="minorHAnsi"/>
                      <w:lang w:val="en-GB"/>
                    </w:rPr>
                    <w:t xml:space="preserve">Champion, L., Economides, M., &amp; Chandler, C. (2018). The efficacy of a brief app-based mindfulness intervention on psychosocial outcomes in healthy adults: A pilot randomised controlled trial. </w:t>
                  </w:r>
                  <w:proofErr w:type="spellStart"/>
                  <w:r w:rsidRPr="00D9132B">
                    <w:rPr>
                      <w:rFonts w:cstheme="minorHAnsi"/>
                      <w:lang w:val="en-GB"/>
                    </w:rPr>
                    <w:t>PLoS</w:t>
                  </w:r>
                  <w:proofErr w:type="spellEnd"/>
                  <w:r w:rsidRPr="00D9132B">
                    <w:rPr>
                      <w:rFonts w:cstheme="minorHAnsi"/>
                      <w:lang w:val="en-GB"/>
                    </w:rPr>
                    <w:t xml:space="preserve"> ONE, 13(12), e0209482. https://doi.org/10.1371/journal.pone.0209482</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23251F" w:rsidRPr="004B666A" w14:paraId="7A83D658" w14:textId="77777777" w:rsidTr="00730D7D">
              <w:tc>
                <w:tcPr>
                  <w:tcW w:w="675" w:type="dxa"/>
                  <w:tcBorders>
                    <w:top w:val="nil"/>
                    <w:left w:val="nil"/>
                    <w:bottom w:val="nil"/>
                    <w:right w:val="nil"/>
                  </w:tcBorders>
                  <w:vAlign w:val="center"/>
                </w:tcPr>
                <w:p w14:paraId="3341EAFC" w14:textId="295761F4" w:rsidR="0023251F" w:rsidRPr="004B666A" w:rsidRDefault="00E67260"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2E08610" w14:textId="77777777" w:rsidR="0023251F" w:rsidRPr="004B666A" w:rsidRDefault="0023251F" w:rsidP="003C3813">
                  <w:pPr>
                    <w:rPr>
                      <w:rFonts w:cstheme="minorHAnsi"/>
                    </w:rPr>
                  </w:pPr>
                  <w:proofErr w:type="gramStart"/>
                  <w:r w:rsidRPr="004B666A">
                    <w:rPr>
                      <w:rFonts w:cstheme="minorHAnsi"/>
                    </w:rPr>
                    <w:t>Individually-randomized</w:t>
                  </w:r>
                  <w:proofErr w:type="gramEnd"/>
                  <w:r w:rsidRPr="004B666A">
                    <w:rPr>
                      <w:rFonts w:cstheme="minorHAnsi"/>
                    </w:rPr>
                    <w:t xml:space="preserve"> parallel-group trial</w:t>
                  </w:r>
                </w:p>
              </w:tc>
            </w:tr>
            <w:tr w:rsidR="0023251F" w:rsidRPr="004B666A" w14:paraId="02CD611A" w14:textId="77777777" w:rsidTr="00730D7D">
              <w:tc>
                <w:tcPr>
                  <w:tcW w:w="675" w:type="dxa"/>
                  <w:tcBorders>
                    <w:top w:val="nil"/>
                    <w:left w:val="nil"/>
                    <w:bottom w:val="nil"/>
                    <w:right w:val="nil"/>
                  </w:tcBorders>
                  <w:vAlign w:val="center"/>
                </w:tcPr>
                <w:p w14:paraId="2EC2F990"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8ECE301" w14:textId="77777777" w:rsidR="0023251F" w:rsidRPr="004B666A" w:rsidRDefault="0023251F" w:rsidP="003C3813">
                  <w:pPr>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1AD082F6" w14:textId="77777777" w:rsidR="0023251F" w:rsidRPr="004B666A" w:rsidRDefault="0023251F" w:rsidP="003C3813">
                  <w:pPr>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8"/>
              <w:gridCol w:w="1430"/>
              <w:gridCol w:w="3077"/>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2A591CD5" w:rsidR="00895457" w:rsidRPr="00165C67" w:rsidRDefault="00E109DA" w:rsidP="00895457">
                  <w:r>
                    <w:t>‘Headspace’ mindfulness meditation app</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77CBD108" w:rsidR="00895457" w:rsidRPr="00165C67" w:rsidRDefault="00E109DA" w:rsidP="00895457">
                  <w:r>
                    <w:t>Waitlist control</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75F4EAFC" w:rsidR="00895457" w:rsidRPr="008F2AD3" w:rsidRDefault="008F2AD3" w:rsidP="00895457">
                  <w:pPr>
                    <w:rPr>
                      <w:rFonts w:cstheme="minorHAnsi"/>
                      <w:lang w:val="en-GB"/>
                    </w:rPr>
                  </w:pPr>
                  <w:r>
                    <w:rPr>
                      <w:rFonts w:cstheme="minorHAnsi"/>
                      <w:lang w:val="en-GB"/>
                    </w:rPr>
                    <w:t xml:space="preserve">Subjective well-being - </w:t>
                  </w:r>
                  <w:r w:rsidRPr="008F2AD3">
                    <w:rPr>
                      <w:rFonts w:cstheme="minorHAnsi"/>
                      <w:lang w:val="en-GB"/>
                    </w:rPr>
                    <w:t xml:space="preserve">Satisfaction </w:t>
                  </w:r>
                  <w:proofErr w:type="gramStart"/>
                  <w:r w:rsidRPr="008F2AD3">
                    <w:rPr>
                      <w:rFonts w:cstheme="minorHAnsi"/>
                      <w:lang w:val="en-GB"/>
                    </w:rPr>
                    <w:t>With</w:t>
                  </w:r>
                  <w:proofErr w:type="gramEnd"/>
                  <w:r w:rsidRPr="008F2AD3">
                    <w:rPr>
                      <w:rFonts w:cstheme="minorHAnsi"/>
                      <w:lang w:val="en-GB"/>
                    </w:rPr>
                    <w:t xml:space="preserve"> Life Scale (Diener, 1975)</w:t>
                  </w:r>
                </w:p>
              </w:tc>
            </w:tr>
          </w:tbl>
          <w:p w14:paraId="67C59E65"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w:t>
                  </w:r>
                  <w:proofErr w:type="gramStart"/>
                  <w:r w:rsidRPr="00165C67">
                    <w:rPr>
                      <w:rFonts w:cstheme="minorHAnsi"/>
                    </w:rPr>
                    <w:t>e.g.</w:t>
                  </w:r>
                  <w:proofErr w:type="gramEnd"/>
                  <w:r w:rsidRPr="00165C67">
                    <w:rPr>
                      <w:rFonts w:cstheme="minorHAnsi"/>
                    </w:rPr>
                    <w:t xml:space="preserve"> RR = 1.52 (95% CI 0.83 to 2.77) and/or a reference (e.g. to a table, figure or paragraph) that uniquely defines the result being assessed.</w:t>
                  </w:r>
                </w:p>
              </w:tc>
              <w:tc>
                <w:tcPr>
                  <w:tcW w:w="6228" w:type="dxa"/>
                  <w:tcBorders>
                    <w:left w:val="single" w:sz="4" w:space="0" w:color="auto"/>
                  </w:tcBorders>
                </w:tcPr>
                <w:p w14:paraId="5F03FBBF" w14:textId="37863C24" w:rsidR="00895457" w:rsidRPr="00165C67" w:rsidRDefault="004945CF" w:rsidP="00895457">
                  <w:pPr>
                    <w:rPr>
                      <w:rFonts w:cstheme="minorHAnsi"/>
                    </w:rPr>
                  </w:pPr>
                  <w:r>
                    <w:rPr>
                      <w:rFonts w:cstheme="minorHAnsi"/>
                    </w:rPr>
                    <w:t>Both completers only and imputed v</w:t>
                  </w:r>
                  <w:r w:rsidR="003A2F5E">
                    <w:rPr>
                      <w:rFonts w:cstheme="minorHAnsi"/>
                    </w:rPr>
                    <w:t xml:space="preserve">alues for experimental and control at baseline, day 10 and day 30 (post-intervention), see table </w:t>
                  </w:r>
                  <w:r w:rsidR="00F06A58">
                    <w:rPr>
                      <w:rFonts w:cstheme="minorHAnsi"/>
                    </w:rPr>
                    <w:t>2, p.10 in journal paper.</w:t>
                  </w:r>
                </w:p>
              </w:tc>
            </w:tr>
          </w:tbl>
          <w:p w14:paraId="73F5636D" w14:textId="77777777" w:rsidR="00895457" w:rsidRPr="00165C67" w:rsidRDefault="00895457" w:rsidP="00895457">
            <w:pPr>
              <w:rPr>
                <w:rFonts w:cstheme="minorHAnsi"/>
              </w:rPr>
            </w:pPr>
          </w:p>
          <w:p w14:paraId="27F4332D" w14:textId="77777777" w:rsidR="00895457" w:rsidRPr="00165C67" w:rsidRDefault="00895457" w:rsidP="0089545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07FAE21D" w:rsidR="00895457" w:rsidRPr="00165C67" w:rsidRDefault="00D9132B" w:rsidP="00895457">
                  <w:pPr>
                    <w:jc w:val="center"/>
                    <w:rPr>
                      <w:rFonts w:cstheme="minorHAnsi"/>
                    </w:rPr>
                  </w:pPr>
                  <w:r>
                    <w:rPr>
                      <w:rFonts w:cstheme="minorHAnsi"/>
                    </w:rPr>
                    <w:t>X</w:t>
                  </w:r>
                </w:p>
              </w:tc>
              <w:tc>
                <w:tcPr>
                  <w:tcW w:w="12813" w:type="dxa"/>
                  <w:tcBorders>
                    <w:top w:val="nil"/>
                    <w:left w:val="nil"/>
                    <w:bottom w:val="nil"/>
                    <w:right w:val="nil"/>
                  </w:tcBorders>
                  <w:vAlign w:val="center"/>
                </w:tcPr>
                <w:p w14:paraId="0D3C9C19"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26399DF6" w:rsidR="00895457" w:rsidRPr="00165C67" w:rsidRDefault="00B03CF5" w:rsidP="00895457">
                  <w:pPr>
                    <w:jc w:val="center"/>
                    <w:rPr>
                      <w:rFonts w:cstheme="minorHAnsi"/>
                    </w:rPr>
                  </w:pPr>
                  <w:r w:rsidRPr="00517FCF">
                    <w:rPr>
                      <w:rFonts w:ascii="Wingdings 2" w:eastAsia="Wingdings 2" w:hAnsi="Wingdings 2" w:cstheme="minorHAnsi"/>
                      <w:lang w:val="en-GB"/>
                    </w:rPr>
                    <w:t>£</w:t>
                  </w:r>
                </w:p>
              </w:tc>
              <w:tc>
                <w:tcPr>
                  <w:tcW w:w="12813" w:type="dxa"/>
                  <w:tcBorders>
                    <w:top w:val="nil"/>
                    <w:left w:val="nil"/>
                    <w:bottom w:val="nil"/>
                    <w:right w:val="nil"/>
                  </w:tcBorders>
                  <w:vAlign w:val="center"/>
                </w:tcPr>
                <w:p w14:paraId="51471028"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0903EA81" w:rsidR="00895457" w:rsidRPr="00165C67" w:rsidRDefault="00B03CF5" w:rsidP="00895457">
            <w:r w:rsidRPr="00517FCF">
              <w:rPr>
                <w:rFonts w:ascii="Wingdings 2" w:eastAsia="Wingdings 2" w:hAnsi="Wingdings 2" w:cstheme="minorHAnsi"/>
                <w:lang w:val="en-GB"/>
              </w:rPr>
              <w:t>£</w:t>
            </w:r>
            <w:r w:rsidR="00895457" w:rsidRPr="00165C67">
              <w:rPr>
                <w:szCs w:val="20"/>
              </w:rPr>
              <w:tab/>
              <w:t>occurrence of non-protocol interventions</w:t>
            </w:r>
          </w:p>
          <w:p w14:paraId="0EBE061D" w14:textId="43F28697" w:rsidR="00895457" w:rsidRPr="00165C67" w:rsidRDefault="00B03CF5" w:rsidP="00895457">
            <w:r w:rsidRPr="00517FCF">
              <w:rPr>
                <w:rFonts w:ascii="Wingdings 2" w:eastAsia="Wingdings 2" w:hAnsi="Wingdings 2" w:cstheme="minorHAnsi"/>
                <w:lang w:val="en-GB"/>
              </w:rPr>
              <w:t>£</w:t>
            </w:r>
            <w:r w:rsidR="00895457" w:rsidRPr="00165C67">
              <w:rPr>
                <w:szCs w:val="20"/>
              </w:rPr>
              <w:tab/>
            </w:r>
            <w:r w:rsidR="00895457" w:rsidRPr="00165C67">
              <w:t>failures in implementing the intervention that could have affected the outcome</w:t>
            </w:r>
          </w:p>
          <w:p w14:paraId="2AFD3E35" w14:textId="19ED9872" w:rsidR="00895457" w:rsidRPr="00165C67" w:rsidRDefault="00B03CF5" w:rsidP="00895457">
            <w:r w:rsidRPr="00517FCF">
              <w:rPr>
                <w:rFonts w:cstheme="minorHAnsi"/>
                <w:lang w:val="en-GB"/>
              </w:rPr>
              <w:lastRenderedPageBreak/>
              <w:t>£</w:t>
            </w:r>
            <w:r w:rsidR="00895457" w:rsidRPr="00165C67">
              <w:rPr>
                <w:szCs w:val="20"/>
              </w:rPr>
              <w:tab/>
            </w:r>
            <w:r w:rsidR="00895457"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w:t>
            </w:r>
            <w:proofErr w:type="gramStart"/>
            <w:r w:rsidRPr="004B666A">
              <w:rPr>
                <w:rFonts w:cstheme="minorHAnsi"/>
                <w:b/>
              </w:rPr>
              <w:t>tick</w:t>
            </w:r>
            <w:proofErr w:type="gramEnd"/>
            <w:r w:rsidRPr="004B666A">
              <w:rPr>
                <w:rFonts w:cstheme="minorHAnsi"/>
                <w:b/>
              </w:rPr>
              <w:t xml:space="preserve"> as many as apply)</w:t>
            </w:r>
          </w:p>
          <w:p w14:paraId="3B6C228E" w14:textId="12CDB369" w:rsidR="0023251F" w:rsidRPr="004B666A" w:rsidRDefault="00D9132B" w:rsidP="003C3813">
            <w:pPr>
              <w:rPr>
                <w:rFonts w:cstheme="minorHAnsi"/>
              </w:rPr>
            </w:pPr>
            <w:r>
              <w:rPr>
                <w:rFonts w:cstheme="minorHAnsi"/>
              </w:rPr>
              <w:t>X</w:t>
            </w:r>
            <w:r w:rsidR="0023251F" w:rsidRPr="004B666A">
              <w:rPr>
                <w:rFonts w:cstheme="minorHAnsi"/>
              </w:rPr>
              <w:tab/>
              <w:t>Journal article(s) with results of the trial</w:t>
            </w:r>
          </w:p>
          <w:p w14:paraId="3E767F9F" w14:textId="57EDC2E4" w:rsidR="0023251F" w:rsidRPr="004B666A" w:rsidRDefault="00B03CF5" w:rsidP="003C3813">
            <w:pPr>
              <w:rPr>
                <w:rFonts w:cstheme="minorHAnsi"/>
              </w:rPr>
            </w:pPr>
            <w:r w:rsidRPr="00517FCF">
              <w:rPr>
                <w:rFonts w:ascii="Wingdings 2" w:eastAsia="Wingdings 2" w:hAnsi="Wingdings 2" w:cstheme="minorHAnsi"/>
                <w:lang w:val="en-GB"/>
              </w:rPr>
              <w:t>£</w:t>
            </w:r>
            <w:r w:rsidR="0023251F" w:rsidRPr="004B666A">
              <w:rPr>
                <w:rFonts w:cstheme="minorHAnsi"/>
              </w:rPr>
              <w:tab/>
              <w:t>Trial protocol</w:t>
            </w:r>
          </w:p>
          <w:p w14:paraId="630ACF0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Statistical analysis plan (SAP)</w:t>
            </w:r>
          </w:p>
          <w:p w14:paraId="30B51856" w14:textId="5DA0C0A5" w:rsidR="0023251F" w:rsidRPr="004B666A" w:rsidRDefault="00D9132B" w:rsidP="003C3813">
            <w:pPr>
              <w:rPr>
                <w:rFonts w:cstheme="minorHAnsi"/>
              </w:rPr>
            </w:pPr>
            <w:r>
              <w:rPr>
                <w:rFonts w:cstheme="minorHAnsi"/>
              </w:rPr>
              <w:t>X</w:t>
            </w:r>
            <w:r w:rsidR="0023251F" w:rsidRPr="004B666A">
              <w:rPr>
                <w:rFonts w:cstheme="minorHAnsi"/>
              </w:rPr>
              <w:tab/>
              <w:t>Non-commercial trial registry record (</w:t>
            </w:r>
            <w:proofErr w:type="gramStart"/>
            <w:r w:rsidR="0023251F" w:rsidRPr="004B666A">
              <w:rPr>
                <w:rFonts w:cstheme="minorHAnsi"/>
              </w:rPr>
              <w:t>e.g.</w:t>
            </w:r>
            <w:proofErr w:type="gramEnd"/>
            <w:r w:rsidR="0023251F" w:rsidRPr="004B666A">
              <w:rPr>
                <w:rFonts w:cstheme="minorHAnsi"/>
              </w:rPr>
              <w:t xml:space="preserve"> ClinicalTrials.gov record)</w:t>
            </w:r>
          </w:p>
          <w:p w14:paraId="2E73581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Company-owned trial registry record (</w:t>
            </w:r>
            <w:proofErr w:type="gramStart"/>
            <w:r w:rsidRPr="004B666A">
              <w:rPr>
                <w:rFonts w:cstheme="minorHAnsi"/>
              </w:rPr>
              <w:t>e.g.</w:t>
            </w:r>
            <w:proofErr w:type="gramEnd"/>
            <w:r w:rsidRPr="004B666A">
              <w:rPr>
                <w:rFonts w:cstheme="minorHAnsi"/>
              </w:rPr>
              <w:t xml:space="preserve"> GSK Clinical Study Register record)</w:t>
            </w:r>
          </w:p>
          <w:p w14:paraId="1A070A5A"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 xml:space="preserve"> </w:t>
            </w:r>
            <w:r w:rsidRPr="004B666A">
              <w:rPr>
                <w:rFonts w:cstheme="minorHAnsi"/>
              </w:rPr>
              <w:tab/>
              <w:t>“Grey literature” (</w:t>
            </w:r>
            <w:proofErr w:type="gramStart"/>
            <w:r w:rsidRPr="004B666A">
              <w:rPr>
                <w:rFonts w:cstheme="minorHAnsi"/>
              </w:rPr>
              <w:t>e.g.</w:t>
            </w:r>
            <w:proofErr w:type="gramEnd"/>
            <w:r w:rsidRPr="004B666A">
              <w:rPr>
                <w:rFonts w:cstheme="minorHAnsi"/>
              </w:rPr>
              <w:t xml:space="preserve"> unpublished thesis)</w:t>
            </w:r>
          </w:p>
          <w:p w14:paraId="1B24E7AE"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Conference abstract(s) about the trial</w:t>
            </w:r>
          </w:p>
          <w:p w14:paraId="71D8AE89"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Regulatory document (</w:t>
            </w:r>
            <w:proofErr w:type="gramStart"/>
            <w:r w:rsidRPr="004B666A">
              <w:rPr>
                <w:rFonts w:cstheme="minorHAnsi"/>
              </w:rPr>
              <w:t>e.g.</w:t>
            </w:r>
            <w:proofErr w:type="gramEnd"/>
            <w:r w:rsidRPr="004B666A">
              <w:rPr>
                <w:rFonts w:cstheme="minorHAnsi"/>
              </w:rPr>
              <w:t xml:space="preserve"> Clinical Study Report, Drug Approval Package)</w:t>
            </w:r>
          </w:p>
          <w:p w14:paraId="20ACC40B"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Research ethics application</w:t>
            </w:r>
          </w:p>
          <w:p w14:paraId="1EE9A0A8"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Grant database summary (</w:t>
            </w:r>
            <w:proofErr w:type="gramStart"/>
            <w:r w:rsidRPr="004B666A">
              <w:rPr>
                <w:rFonts w:cstheme="minorHAnsi"/>
              </w:rPr>
              <w:t>e.g.</w:t>
            </w:r>
            <w:proofErr w:type="gramEnd"/>
            <w:r w:rsidRPr="004B666A">
              <w:rPr>
                <w:rFonts w:cstheme="minorHAnsi"/>
              </w:rPr>
              <w:t xml:space="preserve"> </w:t>
            </w:r>
            <w:r w:rsidRPr="004B666A">
              <w:rPr>
                <w:rFonts w:cstheme="minorHAnsi"/>
                <w:lang w:val="en-AU"/>
              </w:rPr>
              <w:t xml:space="preserve">NIH </w:t>
            </w:r>
            <w:proofErr w:type="spellStart"/>
            <w:r w:rsidRPr="004B666A">
              <w:rPr>
                <w:rFonts w:cstheme="minorHAnsi"/>
                <w:lang w:val="en-AU"/>
              </w:rPr>
              <w:t>RePORTER</w:t>
            </w:r>
            <w:proofErr w:type="spellEnd"/>
            <w:r w:rsidRPr="004B666A">
              <w:rPr>
                <w:rFonts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trialist</w:t>
            </w:r>
          </w:p>
          <w:p w14:paraId="3957D9E3"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the sponsor</w:t>
            </w:r>
          </w:p>
        </w:tc>
      </w:tr>
    </w:tbl>
    <w:p w14:paraId="1EBA5370" w14:textId="0FE6D8A1" w:rsidR="00B64463" w:rsidRDefault="00B64463">
      <w:pPr>
        <w:spacing w:after="160" w:line="259" w:lineRule="auto"/>
        <w:rPr>
          <w:rStyle w:val="Strong"/>
        </w:rPr>
      </w:pPr>
    </w:p>
    <w:p w14:paraId="13826757" w14:textId="77777777" w:rsidR="00895457" w:rsidRDefault="00895457">
      <w:pPr>
        <w:spacing w:after="160" w:line="259" w:lineRule="auto"/>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lastRenderedPageBreak/>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46F9B226" w14:textId="77777777" w:rsidR="00CA084F" w:rsidRPr="003C3813" w:rsidRDefault="004B666A" w:rsidP="003C3813">
      <w:pPr>
        <w:pStyle w:val="Subtitle"/>
        <w:rPr>
          <w:rStyle w:val="Strong"/>
        </w:rPr>
      </w:pPr>
      <w:r w:rsidRPr="003C3813">
        <w:rPr>
          <w:rStyle w:val="Strong"/>
        </w:rPr>
        <w:t xml:space="preserve">Domain 1: </w:t>
      </w:r>
      <w:r w:rsidR="00CA084F" w:rsidRPr="003C3813">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CA084F" w:rsidRPr="004B666A" w14:paraId="748B71B3"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43079" w14:textId="77777777" w:rsidR="00CA084F" w:rsidRPr="004B666A" w:rsidRDefault="00CA084F" w:rsidP="003C3813">
            <w:pPr>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4758A" w14:textId="140563DF" w:rsidR="00CA084F" w:rsidRPr="004B666A" w:rsidRDefault="00966081" w:rsidP="003C3813">
            <w:pPr>
              <w:keepLines/>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DF20C" w14:textId="77777777" w:rsidR="00CA084F" w:rsidRPr="004B666A" w:rsidRDefault="00CA084F" w:rsidP="003C3813">
            <w:pPr>
              <w:jc w:val="center"/>
              <w:rPr>
                <w:rFonts w:cstheme="minorHAnsi"/>
                <w:b/>
              </w:rPr>
            </w:pPr>
            <w:r w:rsidRPr="004B666A">
              <w:rPr>
                <w:rFonts w:cstheme="minorHAnsi"/>
                <w:b/>
              </w:rPr>
              <w:t>Response options</w:t>
            </w:r>
          </w:p>
        </w:tc>
      </w:tr>
      <w:tr w:rsidR="00076212" w:rsidRPr="004B666A" w14:paraId="39B9900B" w14:textId="77777777" w:rsidTr="0079530F">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5DAD6" w14:textId="77777777" w:rsidR="00076212" w:rsidRPr="004B666A" w:rsidRDefault="00076212" w:rsidP="003C3813">
            <w:pPr>
              <w:rPr>
                <w:rFonts w:cstheme="minorHAnsi"/>
                <w:b/>
              </w:rPr>
            </w:pPr>
            <w:r w:rsidRPr="004B666A">
              <w:rPr>
                <w:rFonts w:cstheme="minorHAnsi"/>
                <w:b/>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4F1C16DB" w14:textId="77777777" w:rsidR="00FD50F4" w:rsidRDefault="00343345" w:rsidP="005B2F56">
            <w:pPr>
              <w:rPr>
                <w:lang w:val="en-GB"/>
              </w:rPr>
            </w:pPr>
            <w:r>
              <w:rPr>
                <w:lang w:val="en-GB"/>
              </w:rPr>
              <w:t>“</w:t>
            </w:r>
            <w:r w:rsidR="009329A4" w:rsidRPr="009329A4">
              <w:rPr>
                <w:lang w:val="en-GB"/>
              </w:rPr>
              <w:t>The remaining participants were randomised (using simple randomization) via a computer-generated sequence with equal weight to the MM group or WL control group. Sequence generation and randomization was performed by the research team, who were not formally blinded to group allocation</w:t>
            </w:r>
            <w:r w:rsidR="00A61E6E">
              <w:rPr>
                <w:lang w:val="en-GB"/>
              </w:rPr>
              <w:t>”.</w:t>
            </w:r>
          </w:p>
          <w:p w14:paraId="05D93A4C" w14:textId="77777777" w:rsidR="00A61E6E" w:rsidRDefault="00A61E6E" w:rsidP="005B2F56">
            <w:pPr>
              <w:rPr>
                <w:lang w:val="en-GB"/>
              </w:rPr>
            </w:pPr>
          </w:p>
          <w:p w14:paraId="23F9127E" w14:textId="70BEB3C2" w:rsidR="00A61E6E" w:rsidRPr="004B24A7" w:rsidRDefault="00A61E6E" w:rsidP="005B2F56">
            <w:r>
              <w:rPr>
                <w:lang w:val="en-GB"/>
              </w:rPr>
              <w:t>Although the research team wasn’t blinded, a remote internet-based randomisation was performed.</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1B9C5436" w14:textId="3FB276E1" w:rsidR="00076212" w:rsidRDefault="004D722D" w:rsidP="003C3813">
            <w:pPr>
              <w:jc w:val="center"/>
              <w:rPr>
                <w:rFonts w:cstheme="minorHAnsi"/>
                <w:color w:val="00B050"/>
                <w:u w:val="single"/>
              </w:rPr>
            </w:pPr>
            <w:r w:rsidRPr="00076212">
              <w:rPr>
                <w:rFonts w:cstheme="minorHAnsi"/>
                <w:color w:val="00B050"/>
                <w:u w:val="single"/>
              </w:rPr>
              <w:t>Y</w:t>
            </w:r>
          </w:p>
          <w:p w14:paraId="4CDB0DDF" w14:textId="77777777" w:rsidR="00600AE8" w:rsidRDefault="00600AE8" w:rsidP="00600AE8">
            <w:pPr>
              <w:rPr>
                <w:rFonts w:cstheme="minorHAnsi"/>
                <w:color w:val="00B050"/>
                <w:u w:val="single"/>
              </w:rPr>
            </w:pPr>
          </w:p>
          <w:p w14:paraId="7C1320C8" w14:textId="77777777" w:rsidR="00600AE8" w:rsidRPr="00600AE8" w:rsidRDefault="00600AE8" w:rsidP="00600AE8">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14:paraId="449CDD53" w14:textId="77777777" w:rsidR="00600AE8" w:rsidRPr="00600AE8" w:rsidRDefault="00600AE8" w:rsidP="00600AE8">
            <w:pPr>
              <w:rPr>
                <w:rFonts w:cstheme="minorHAnsi"/>
                <w:sz w:val="18"/>
                <w:szCs w:val="18"/>
                <w:shd w:val="clear" w:color="auto" w:fill="FAF9F8"/>
              </w:rPr>
            </w:pPr>
          </w:p>
          <w:p w14:paraId="48176E97" w14:textId="77777777" w:rsidR="00600AE8" w:rsidRPr="00600AE8" w:rsidRDefault="00600AE8" w:rsidP="00600AE8">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14:paraId="317AA897" w14:textId="77777777" w:rsidR="00600AE8" w:rsidRPr="00600AE8" w:rsidRDefault="00600AE8" w:rsidP="00600AE8">
            <w:pPr>
              <w:rPr>
                <w:rFonts w:cstheme="minorHAnsi"/>
                <w:sz w:val="18"/>
                <w:szCs w:val="18"/>
              </w:rPr>
            </w:pPr>
          </w:p>
          <w:p w14:paraId="254741F1" w14:textId="49A27AD4" w:rsidR="00600AE8" w:rsidRPr="00600AE8" w:rsidRDefault="00600AE8" w:rsidP="00600AE8">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00076212" w:rsidRPr="004B666A" w14:paraId="0999E4F1" w14:textId="77777777" w:rsidTr="0079530F">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7D981" w14:textId="77777777" w:rsidR="00076212" w:rsidRPr="004B666A" w:rsidRDefault="00076212" w:rsidP="003C3813">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9BFE5BB" w14:textId="77777777" w:rsidR="00076212" w:rsidRPr="004B666A" w:rsidRDefault="00076212"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CF159D3" w14:textId="15619582" w:rsidR="00076212" w:rsidRDefault="004D722D" w:rsidP="003C3813">
            <w:pPr>
              <w:tabs>
                <w:tab w:val="left" w:pos="960"/>
              </w:tabs>
              <w:autoSpaceDE w:val="0"/>
              <w:autoSpaceDN w:val="0"/>
              <w:adjustRightInd w:val="0"/>
              <w:jc w:val="center"/>
              <w:rPr>
                <w:rFonts w:cstheme="minorHAnsi"/>
              </w:rPr>
            </w:pPr>
            <w:r w:rsidRPr="00076212">
              <w:rPr>
                <w:rFonts w:cstheme="minorHAnsi"/>
                <w:color w:val="00B050"/>
                <w:u w:val="single"/>
              </w:rPr>
              <w:t>Y</w:t>
            </w:r>
          </w:p>
          <w:p w14:paraId="13C9A6C2" w14:textId="77777777" w:rsidR="00600AE8" w:rsidRDefault="00600AE8" w:rsidP="00600AE8">
            <w:pPr>
              <w:tabs>
                <w:tab w:val="left" w:pos="960"/>
              </w:tabs>
              <w:autoSpaceDE w:val="0"/>
              <w:autoSpaceDN w:val="0"/>
              <w:adjustRightInd w:val="0"/>
              <w:rPr>
                <w:rFonts w:cstheme="minorHAnsi"/>
              </w:rPr>
            </w:pPr>
          </w:p>
          <w:p w14:paraId="0C105986" w14:textId="2BC28930" w:rsidR="00600AE8" w:rsidRPr="00600AE8" w:rsidRDefault="00600AE8" w:rsidP="00600AE8">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14:paraId="223EA4F6" w14:textId="77777777" w:rsidR="00600AE8" w:rsidRDefault="00600AE8" w:rsidP="00600AE8">
            <w:pPr>
              <w:rPr>
                <w:lang w:val="en-GB"/>
              </w:rPr>
            </w:pPr>
          </w:p>
          <w:p w14:paraId="31DD15CB" w14:textId="4095EF0D" w:rsidR="001B385C" w:rsidRPr="001B385C" w:rsidRDefault="001B385C" w:rsidP="00600AE8">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00CA084F" w:rsidRPr="004B666A" w14:paraId="7EB046FC" w14:textId="77777777" w:rsidTr="0079530F">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09D02" w14:textId="77777777" w:rsidR="00CA084F" w:rsidRPr="004B666A" w:rsidRDefault="00CA084F" w:rsidP="003C3813">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B149083" w14:textId="77777777" w:rsidR="006F703C" w:rsidRDefault="006F703C" w:rsidP="005B2F56">
            <w:pPr>
              <w:rPr>
                <w:rFonts w:cstheme="minorHAnsi"/>
                <w:lang w:val="en-GB"/>
              </w:rPr>
            </w:pPr>
            <w:r>
              <w:rPr>
                <w:rFonts w:cstheme="minorHAnsi"/>
                <w:lang w:val="en-GB"/>
              </w:rPr>
              <w:t>“</w:t>
            </w:r>
            <w:r w:rsidRPr="006F703C">
              <w:rPr>
                <w:rFonts w:cstheme="minorHAnsi"/>
                <w:lang w:val="en-GB"/>
              </w:rPr>
              <w:t xml:space="preserve">Age ranged from 25–59 years (M = 39.13, SD = 5.70, 37 females and 25 males; see Table 1 for characteristics of the sample). Note that whilst mean age was similar between groups, randomisation resulted in a larger proportion of females than males in the wait-list group, likely reflecting a limitation of simple randomisation. </w:t>
            </w:r>
          </w:p>
          <w:p w14:paraId="5762267F" w14:textId="77777777" w:rsidR="006F703C" w:rsidRDefault="006F703C" w:rsidP="005B2F56">
            <w:pPr>
              <w:rPr>
                <w:rFonts w:cstheme="minorHAnsi"/>
                <w:lang w:val="en-GB"/>
              </w:rPr>
            </w:pPr>
          </w:p>
          <w:p w14:paraId="7CC43D0D" w14:textId="6EF8BC71" w:rsidR="00FD50F4" w:rsidRPr="00A2022F" w:rsidRDefault="006F703C" w:rsidP="005B2F56">
            <w:pPr>
              <w:rPr>
                <w:rFonts w:cstheme="minorHAnsi"/>
                <w:lang w:val="en-GB"/>
              </w:rPr>
            </w:pPr>
            <w:r w:rsidRPr="006F703C">
              <w:rPr>
                <w:rFonts w:cstheme="minorHAnsi"/>
                <w:lang w:val="en-GB"/>
              </w:rPr>
              <w:t>Baseline scores suggest that participants in both groups had average levels of satisfaction with life (c.f. [37]), average to high levels of stress (c.f. [40]), and moderate levels of resilience (c.f. [48]) prior to engaging with the study. Mean GHQ-28 scores at baseline were 3.72 (SD = 3.03) in the MM group and 3.36 (SD = 3.16) in the WL group. These scores are below the general threshold for possible psychological distress [49</w:t>
            </w:r>
            <w:proofErr w:type="gramStart"/>
            <w:r w:rsidRPr="006F703C">
              <w:rPr>
                <w:rFonts w:cstheme="minorHAnsi"/>
                <w:lang w:val="en-GB"/>
              </w:rPr>
              <w:t>], but</w:t>
            </w:r>
            <w:proofErr w:type="gramEnd"/>
            <w:r w:rsidRPr="006F703C">
              <w:rPr>
                <w:rFonts w:cstheme="minorHAnsi"/>
                <w:lang w:val="en-GB"/>
              </w:rPr>
              <w:t xml:space="preserve"> suggest that at least some of the participants may have been candidates for distress. Scores did not differ between groups at baseline on any measures (two-sample t-tests, all p &gt; 0.05).</w:t>
            </w:r>
            <w:r>
              <w:rPr>
                <w:rFonts w:cstheme="minorHAnsi"/>
                <w:lang w:val="en-GB"/>
              </w:rPr>
              <w:t>”</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60E6AB3D" w14:textId="56C3BCD1" w:rsidR="00CA084F" w:rsidRDefault="004D722D" w:rsidP="003C3813">
            <w:pPr>
              <w:jc w:val="center"/>
              <w:rPr>
                <w:rFonts w:cstheme="minorHAnsi"/>
              </w:rPr>
            </w:pPr>
            <w:r w:rsidRPr="004B666A">
              <w:rPr>
                <w:rFonts w:cstheme="minorHAnsi"/>
                <w:color w:val="FF0000"/>
              </w:rPr>
              <w:t>Y</w:t>
            </w:r>
          </w:p>
          <w:p w14:paraId="2E9D3DB4" w14:textId="77777777" w:rsidR="00BA3A9A" w:rsidRDefault="00BA3A9A" w:rsidP="00BA3A9A">
            <w:pPr>
              <w:rPr>
                <w:rFonts w:cstheme="minorHAnsi"/>
              </w:rPr>
            </w:pPr>
          </w:p>
          <w:p w14:paraId="6905A570" w14:textId="77777777"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14:paraId="192FF130" w14:textId="5F447DAD"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14:paraId="5B70B06F" w14:textId="77777777" w:rsidR="00BA3A9A" w:rsidRPr="00BA3A9A" w:rsidRDefault="00BA3A9A" w:rsidP="00BA3A9A">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14:paraId="0F670826" w14:textId="0D2D7502" w:rsidR="00BA3A9A" w:rsidRPr="00BA3A9A" w:rsidRDefault="00BA3A9A" w:rsidP="00BA3A9A">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00CA084F" w:rsidRPr="004B666A" w14:paraId="3A218744" w14:textId="77777777" w:rsidTr="0079530F">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A01FB1"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8ECA3BD" w14:textId="77777777" w:rsidR="00CA084F" w:rsidRPr="004B666A" w:rsidRDefault="00CA084F"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526CB8" w14:textId="69694616" w:rsidR="00CA084F"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9D63825"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F0CED" w14:textId="77777777" w:rsidR="0079530F" w:rsidRPr="004B666A" w:rsidRDefault="0079530F" w:rsidP="0079530F">
            <w:pPr>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AAFB60A" w14:textId="77777777" w:rsidR="0079530F" w:rsidRPr="004B666A" w:rsidRDefault="0079530F" w:rsidP="0079530F">
            <w:pPr>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1E78496" w14:textId="06B2A54B" w:rsidR="0079530F" w:rsidRPr="004B666A" w:rsidRDefault="005B2F56" w:rsidP="0079530F">
            <w:pPr>
              <w:jc w:val="center"/>
              <w:rPr>
                <w:rFonts w:cstheme="minorHAnsi"/>
              </w:rPr>
            </w:pPr>
            <w:r>
              <w:rPr>
                <w:rFonts w:cstheme="minorHAnsi"/>
              </w:rPr>
              <w:t>Unpredictable</w:t>
            </w:r>
          </w:p>
        </w:tc>
      </w:tr>
    </w:tbl>
    <w:p w14:paraId="5A34D27C" w14:textId="7ADCEDB8" w:rsidR="00730D7D" w:rsidRDefault="00730D7D">
      <w:pPr>
        <w:spacing w:after="160" w:line="259" w:lineRule="auto"/>
      </w:pPr>
      <w:r>
        <w:br w:type="page"/>
      </w:r>
    </w:p>
    <w:p w14:paraId="67016D04" w14:textId="77777777" w:rsidR="00F6447A" w:rsidRPr="00122896" w:rsidRDefault="00F6447A" w:rsidP="00F6447A">
      <w:pPr>
        <w:spacing w:after="160" w:line="259" w:lineRule="auto"/>
        <w:rPr>
          <w:rFonts w:eastAsiaTheme="minorEastAsia"/>
          <w:color w:val="5A5A5A" w:themeColor="text1" w:themeTint="A5"/>
          <w:spacing w:val="15"/>
        </w:rPr>
      </w:pPr>
      <w:r w:rsidRPr="00122896">
        <w:lastRenderedPageBreak/>
        <w:t>Domain 2: Risk of bias due to deviations from the intended interventions (</w:t>
      </w:r>
      <w:r w:rsidRPr="00122896">
        <w:rPr>
          <w:i/>
        </w:rPr>
        <w:t>effect of adhering to intervention</w:t>
      </w:r>
      <w:r w:rsidRP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00F6447A" w:rsidRPr="00122896" w14:paraId="2319663F" w14:textId="77777777" w:rsidTr="26569B00">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CC031AF" w14:textId="77777777" w:rsidR="00F6447A" w:rsidRPr="00122896" w:rsidRDefault="00F6447A" w:rsidP="00DA3C6E">
            <w:pPr>
              <w:keepNext w:val="0"/>
              <w:spacing w:after="160" w:line="259" w:lineRule="auto"/>
              <w:rPr>
                <w:b/>
              </w:rPr>
            </w:pPr>
            <w:r w:rsidRPr="00122896">
              <w:rPr>
                <w:b/>
              </w:rPr>
              <w:t>Signalling questions</w:t>
            </w:r>
          </w:p>
        </w:tc>
        <w:tc>
          <w:tcPr>
            <w:tcW w:w="751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43ECA63" w14:textId="77777777" w:rsidR="00F6447A" w:rsidRPr="00122896" w:rsidRDefault="00F6447A" w:rsidP="00DA3C6E">
            <w:pPr>
              <w:keepNext w:val="0"/>
              <w:spacing w:after="160" w:line="259" w:lineRule="auto"/>
              <w:rPr>
                <w:b/>
              </w:rPr>
            </w:pPr>
            <w:r w:rsidRPr="00122896">
              <w:rPr>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7E6FA33" w14:textId="77777777" w:rsidR="00F6447A" w:rsidRPr="00122896" w:rsidRDefault="00F6447A" w:rsidP="00DA3C6E">
            <w:pPr>
              <w:keepNext w:val="0"/>
              <w:spacing w:after="160" w:line="259" w:lineRule="auto"/>
              <w:rPr>
                <w:b/>
              </w:rPr>
            </w:pPr>
            <w:r w:rsidRPr="00122896">
              <w:rPr>
                <w:b/>
              </w:rPr>
              <w:t>Response options</w:t>
            </w:r>
          </w:p>
        </w:tc>
      </w:tr>
      <w:tr w:rsidR="00F6447A" w:rsidRPr="00122896" w14:paraId="118A6531" w14:textId="77777777" w:rsidTr="26569B00">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074520F" w14:textId="77777777" w:rsidR="00F6447A" w:rsidRPr="00122896" w:rsidRDefault="00F6447A" w:rsidP="00DA3C6E">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tcPr>
          <w:p w14:paraId="734B550A" w14:textId="188CD897" w:rsidR="00F6447A" w:rsidRPr="00F6447A" w:rsidRDefault="00F6447A" w:rsidP="00F6447A">
            <w:pPr>
              <w:keepNext w:val="0"/>
              <w:spacing w:after="160" w:line="259" w:lineRule="auto"/>
              <w:rPr>
                <w:lang w:val="en-GB"/>
              </w:rPr>
            </w:pPr>
            <w:r w:rsidRPr="00F6447A">
              <w:rPr>
                <w:lang w:val="en-GB"/>
              </w:rPr>
              <w:t xml:space="preserve">2.1 Supplementary materials, study protocol, invitation email: </w:t>
            </w:r>
          </w:p>
          <w:p w14:paraId="226603C5" w14:textId="710EE1F4" w:rsidR="00F6447A" w:rsidRPr="00F6447A" w:rsidRDefault="00F6447A" w:rsidP="00F6447A">
            <w:pPr>
              <w:keepNext w:val="0"/>
              <w:spacing w:after="160" w:line="259" w:lineRule="auto"/>
              <w:rPr>
                <w:lang w:val="en-GB"/>
              </w:rPr>
            </w:pPr>
            <w:r w:rsidRPr="00F6447A">
              <w:rPr>
                <w:lang w:val="en-GB"/>
              </w:rPr>
              <w:t xml:space="preserve">“Participants will be randomly allocated to either group A or group B. Group A will be asked to listen to Headspace for ideally 10 minutes a day (or every other day) on the tube, at home, or anywhere else for 30 days, and complete a 10-minute questionnaire at the start of the </w:t>
            </w:r>
            <w:proofErr w:type="gramStart"/>
            <w:r w:rsidRPr="00F6447A">
              <w:rPr>
                <w:lang w:val="en-GB"/>
              </w:rPr>
              <w:t>study, and</w:t>
            </w:r>
            <w:proofErr w:type="gramEnd"/>
            <w:r w:rsidRPr="00F6447A">
              <w:rPr>
                <w:lang w:val="en-GB"/>
              </w:rPr>
              <w:t xml:space="preserve"> following 10 and 30 days.</w:t>
            </w:r>
          </w:p>
          <w:p w14:paraId="3EAB53DD" w14:textId="77777777" w:rsidR="00F6447A" w:rsidRPr="00F6447A" w:rsidRDefault="00F6447A" w:rsidP="00F6447A">
            <w:pPr>
              <w:keepNext w:val="0"/>
              <w:spacing w:after="160" w:line="259" w:lineRule="auto"/>
              <w:rPr>
                <w:lang w:val="en-GB"/>
              </w:rPr>
            </w:pPr>
            <w:r w:rsidRPr="00F6447A">
              <w:rPr>
                <w:lang w:val="en-GB"/>
              </w:rPr>
              <w:t>Group B will be asked to carry on with their everyday lives as usual, not listening to Headspace, but completing a questionnaire at the start of the study, and again following 10 and 30 days. When group B have completed the final questionnaire at day 30, they will have free access to Headspace for the following 30 days.”</w:t>
            </w:r>
          </w:p>
          <w:p w14:paraId="4DBD2112" w14:textId="77777777" w:rsidR="00F6447A" w:rsidRPr="00F6447A" w:rsidRDefault="00F6447A" w:rsidP="00F6447A">
            <w:pPr>
              <w:keepNext w:val="0"/>
              <w:spacing w:after="160" w:line="259" w:lineRule="auto"/>
              <w:rPr>
                <w:lang w:val="en-GB"/>
              </w:rPr>
            </w:pPr>
          </w:p>
          <w:p w14:paraId="297CD4C1" w14:textId="6BAA9CEF" w:rsidR="00F6447A" w:rsidRPr="00122896" w:rsidRDefault="00F6447A" w:rsidP="00F6447A">
            <w:pPr>
              <w:keepNext w:val="0"/>
              <w:spacing w:after="160" w:line="259" w:lineRule="auto"/>
            </w:pPr>
            <w:r w:rsidRPr="00F6447A">
              <w:rPr>
                <w:lang w:val="en-GB"/>
              </w:rPr>
              <w:t>2.2 Intervention is delivered by autonomous digital technology.</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34FAB8A5" w14:textId="75DBDA7D" w:rsidR="00F6447A" w:rsidRPr="00122896" w:rsidRDefault="00F6447A" w:rsidP="00DA3C6E">
            <w:pPr>
              <w:keepNext w:val="0"/>
              <w:spacing w:after="160" w:line="259" w:lineRule="auto"/>
              <w:rPr>
                <w:lang w:val="es-ES"/>
              </w:rPr>
            </w:pPr>
            <w:r w:rsidRPr="00122896">
              <w:t>Y</w:t>
            </w:r>
          </w:p>
        </w:tc>
      </w:tr>
      <w:tr w:rsidR="00F6447A" w:rsidRPr="00122896" w14:paraId="7969BC81" w14:textId="77777777" w:rsidTr="26569B00">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558B4B6" w14:textId="77777777" w:rsidR="00F6447A" w:rsidRPr="00122896" w:rsidRDefault="00F6447A" w:rsidP="00DA3C6E">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vAlign w:val="center"/>
            <w:hideMark/>
          </w:tcPr>
          <w:p w14:paraId="37196E87" w14:textId="77777777" w:rsidR="00F6447A" w:rsidRPr="00122896" w:rsidRDefault="00F6447A"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65B204A9" w14:textId="09F719AB" w:rsidR="00F6447A" w:rsidRPr="00122896" w:rsidRDefault="00F6447A" w:rsidP="00DA3C6E">
            <w:pPr>
              <w:keepNext w:val="0"/>
              <w:spacing w:after="160" w:line="259" w:lineRule="auto"/>
              <w:rPr>
                <w:lang w:val="es-ES"/>
              </w:rPr>
            </w:pPr>
            <w:r w:rsidRPr="00122896">
              <w:rPr>
                <w:u w:val="single"/>
              </w:rPr>
              <w:t>N</w:t>
            </w:r>
          </w:p>
        </w:tc>
      </w:tr>
      <w:tr w:rsidR="00F6447A" w:rsidRPr="00122896" w14:paraId="6E2F22C7" w14:textId="77777777" w:rsidTr="26569B00">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8719D64" w14:textId="77777777" w:rsidR="00F6447A" w:rsidRPr="00122896" w:rsidRDefault="00F6447A" w:rsidP="00DA3C6E">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9B00155" w14:textId="68E75C65" w:rsidR="00F6447A" w:rsidRPr="00122896" w:rsidRDefault="00F20F23" w:rsidP="00DA3C6E">
            <w:pPr>
              <w:keepNext w:val="0"/>
              <w:spacing w:after="160" w:line="259" w:lineRule="auto"/>
            </w:pPr>
            <w:r w:rsidRPr="00F20F23">
              <w:rPr>
                <w:lang w:val="en-GB"/>
              </w:rPr>
              <w:t xml:space="preserve">There is no </w:t>
            </w:r>
            <w:r>
              <w:rPr>
                <w:lang w:val="en-GB"/>
              </w:rPr>
              <w:t>information</w:t>
            </w:r>
            <w:r w:rsidRPr="00F20F23">
              <w:rPr>
                <w:lang w:val="en-GB"/>
              </w:rPr>
              <w:t xml:space="preserve"> to </w:t>
            </w:r>
            <w:r>
              <w:rPr>
                <w:lang w:val="en-GB"/>
              </w:rPr>
              <w:t>regarding whether</w:t>
            </w:r>
            <w:r w:rsidRPr="00F20F23">
              <w:rPr>
                <w:lang w:val="en-GB"/>
              </w:rPr>
              <w:t xml:space="preserve"> participants deviated from the intended intervention due to the trial context.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20300B53" w14:textId="0ED07546" w:rsidR="00F6447A" w:rsidRPr="00122896" w:rsidRDefault="00F6447A" w:rsidP="00DA3C6E">
            <w:pPr>
              <w:keepNext w:val="0"/>
              <w:spacing w:after="160" w:line="259" w:lineRule="auto"/>
              <w:rPr>
                <w:lang w:val="es-ES"/>
              </w:rPr>
            </w:pPr>
            <w:r w:rsidRPr="00122896">
              <w:rPr>
                <w:lang w:val="es-ES"/>
              </w:rPr>
              <w:t>NI</w:t>
            </w:r>
          </w:p>
        </w:tc>
      </w:tr>
      <w:tr w:rsidR="00F6447A" w:rsidRPr="00122896" w14:paraId="55A00A07" w14:textId="77777777" w:rsidTr="26569B00">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1560BE7" w14:textId="77777777" w:rsidR="00F6447A" w:rsidRPr="00122896" w:rsidRDefault="00F6447A" w:rsidP="00DA3C6E">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D136E10" w14:textId="77777777" w:rsidR="00F6447A" w:rsidRPr="00122896" w:rsidRDefault="00F6447A"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6D725126" w14:textId="34DD5912" w:rsidR="00F6447A" w:rsidRPr="00122896" w:rsidRDefault="00F6447A" w:rsidP="00DA3C6E">
            <w:pPr>
              <w:keepNext w:val="0"/>
              <w:spacing w:after="160" w:line="259" w:lineRule="auto"/>
              <w:rPr>
                <w:lang w:val="es-ES"/>
              </w:rPr>
            </w:pPr>
            <w:r w:rsidRPr="00122896">
              <w:rPr>
                <w:lang w:val="es-ES"/>
              </w:rPr>
              <w:t>NA</w:t>
            </w:r>
          </w:p>
        </w:tc>
      </w:tr>
      <w:tr w:rsidR="00F6447A" w:rsidRPr="00122896" w14:paraId="492DEDF5" w14:textId="77777777" w:rsidTr="26569B00">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7AD85AE" w14:textId="77777777" w:rsidR="00F6447A" w:rsidRPr="00122896" w:rsidRDefault="00F6447A" w:rsidP="00DA3C6E">
            <w:pPr>
              <w:keepNext w:val="0"/>
              <w:spacing w:after="160" w:line="259" w:lineRule="auto"/>
              <w:rPr>
                <w:b/>
              </w:rPr>
            </w:pPr>
            <w:r w:rsidRPr="00122896">
              <w:rPr>
                <w:b/>
              </w:rPr>
              <w:t xml:space="preserve">2.5. [If applicable:] Was there non-adherence to the assigned intervention </w:t>
            </w:r>
            <w:r w:rsidRPr="00122896">
              <w:rPr>
                <w:b/>
              </w:rPr>
              <w:lastRenderedPageBreak/>
              <w:t>regimen that could have affected participants’ outcomes?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DA24345" w14:textId="77777777" w:rsidR="00F6447A" w:rsidRDefault="00535CAD" w:rsidP="00DA3C6E">
            <w:pPr>
              <w:keepNext w:val="0"/>
              <w:spacing w:after="160" w:line="259" w:lineRule="auto"/>
              <w:rPr>
                <w:lang w:val="en-GB"/>
              </w:rPr>
            </w:pPr>
            <w:r w:rsidRPr="00535CAD">
              <w:rPr>
                <w:lang w:val="en-GB"/>
              </w:rPr>
              <w:lastRenderedPageBreak/>
              <w:t xml:space="preserve">Participants in the MM group reported engaging with the app an average of 6.21 times (SD = 2.65) between baseline and day 10 (min = 1, max = 10), with 22 out of 29 participants completing 5 or more out of the 10 sessions. </w:t>
            </w:r>
            <w:r w:rsidRPr="00535CAD">
              <w:rPr>
                <w:lang w:val="en-GB"/>
              </w:rPr>
              <w:lastRenderedPageBreak/>
              <w:t>Participants reported engaging with the MM app 11.66 times (SD = 6.16) between day 11 and 30 (min = 1, max = 20), with 17 out of 29 participants completing 10 or more out of the 20 sessions. Six participants completed 25 or more out of a maximum of 30 sessions.</w:t>
            </w:r>
          </w:p>
          <w:p w14:paraId="56EE6DEE" w14:textId="1BAEAEBD" w:rsidR="006A00A2" w:rsidRPr="00122896" w:rsidRDefault="006A00A2" w:rsidP="00DA3C6E">
            <w:pPr>
              <w:keepNext w:val="0"/>
              <w:spacing w:after="160" w:line="259" w:lineRule="auto"/>
            </w:pPr>
            <w:r>
              <w:t xml:space="preserve">Participants that rated the intervention as being relatively easy between days 10 and 30 were likely to have larger increases in satisfaction with life (ß = 1.264, p = 0.006), larger decreases in stress (ß = 1.471, p = 0.015), and larger increases in resilience (ß = 2.570, p = 0.003) over the same </w:t>
            </w:r>
            <w:proofErr w:type="gramStart"/>
            <w:r>
              <w:t>time period</w:t>
            </w:r>
            <w:proofErr w:type="gramEnd"/>
            <w:r>
              <w:t>. Further, participants with higher GHQ-28 scores at baseline (higher levels of baseline distress) were likely to have larger increases in satisfaction with life (ß = 0.508, p = 0.041) and larger increases in resilience (ß = 1.231, p = 0.009) between days 10 and 30 of the MM intervention. Lastly, older participants were likely to have a larger increase in satisfaction with life between baseline and day 10 (ß = 0.323, p = 0.049), whilst females were likely to experience larger decreases in stress between day 10 and day 30 than males (ß = 4.794, p = 0.019).”</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13FC17E8" w14:textId="152FA3C5" w:rsidR="00F6447A" w:rsidRPr="00122896" w:rsidRDefault="00F6447A" w:rsidP="00DA3C6E">
            <w:pPr>
              <w:keepNext w:val="0"/>
              <w:spacing w:after="160" w:line="259" w:lineRule="auto"/>
              <w:rPr>
                <w:lang w:val="es-ES"/>
              </w:rPr>
            </w:pPr>
            <w:r w:rsidRPr="00122896">
              <w:rPr>
                <w:lang w:val="es-ES"/>
              </w:rPr>
              <w:lastRenderedPageBreak/>
              <w:t>PY</w:t>
            </w:r>
          </w:p>
        </w:tc>
      </w:tr>
      <w:tr w:rsidR="00F6447A" w:rsidRPr="00122896" w14:paraId="1DDAE706" w14:textId="77777777" w:rsidTr="26569B00">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20E9F35" w14:textId="77777777" w:rsidR="00F6447A" w:rsidRPr="00122896" w:rsidRDefault="00F6447A" w:rsidP="00DA3C6E">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8C2524E" w14:textId="4A8AAEA3" w:rsidR="00F6447A" w:rsidRPr="00122896" w:rsidRDefault="00A60690" w:rsidP="00DA3C6E">
            <w:pPr>
              <w:keepNext w:val="0"/>
              <w:spacing w:after="160" w:line="259" w:lineRule="auto"/>
            </w:pPr>
            <w:r w:rsidRPr="26569B00">
              <w:rPr>
                <w:lang w:val="en-GB"/>
              </w:rPr>
              <w:t xml:space="preserve">“The present study included both an intention-to-treat (ITT) and complete-case analysis. For the former, outcome scores at baseline, day 10, and day 30 were analysed using linear mixed effects models, as these </w:t>
            </w:r>
            <w:proofErr w:type="gramStart"/>
            <w:r w:rsidRPr="26569B00">
              <w:rPr>
                <w:lang w:val="en-GB"/>
              </w:rPr>
              <w:t>have the ability to</w:t>
            </w:r>
            <w:proofErr w:type="gramEnd"/>
            <w:r w:rsidRPr="26569B00">
              <w:rPr>
                <w:lang w:val="en-GB"/>
              </w:rPr>
              <w:t xml:space="preserve"> handle missing data and are considered to be superior to other ITT approaches such as ‘last observation carried forward’ [42,43]. </w:t>
            </w:r>
            <w:proofErr w:type="gramStart"/>
            <w:r w:rsidRPr="26569B00">
              <w:rPr>
                <w:lang w:val="en-GB"/>
              </w:rPr>
              <w:t>A number of</w:t>
            </w:r>
            <w:proofErr w:type="gramEnd"/>
            <w:r w:rsidRPr="26569B00">
              <w:rPr>
                <w:lang w:val="en-GB"/>
              </w:rPr>
              <w:t xml:space="preserve"> nested models were fit using maximum likelihood and compared using likelihood ratio tests. For all outcomes, the winning model included time (coded as 0, 10 &amp; 30), group (coded as 1 &amp; 0) and their interaction as fixed effects variables, and random intercepts and slopes across participants. Covariance between the random intercept and slope was modelled for outcomes in which this improved the model fit”.</w:t>
            </w:r>
          </w:p>
          <w:p w14:paraId="05FE6782" w14:textId="0ECBECB4" w:rsidR="00F6447A" w:rsidRPr="00122896" w:rsidRDefault="26569B00" w:rsidP="26569B00">
            <w:pPr>
              <w:keepNext w:val="0"/>
              <w:spacing w:after="160" w:line="259" w:lineRule="auto"/>
              <w:rPr>
                <w:lang w:val="en-GB"/>
              </w:rPr>
            </w:pPr>
            <w:r w:rsidRPr="26569B00">
              <w:rPr>
                <w:lang w:val="en-GB"/>
              </w:rPr>
              <w:lastRenderedPageBreak/>
              <w:t>“Exploratory multiple regressions were performed to investigate the influence of demographics, self-rated intervention enjoyment / level of difficulty, and intervention engagement on change in outcome scores from pre to post intervention (in the MM group only).”</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2C8513F2" w14:textId="77777777" w:rsidR="00F6447A" w:rsidRDefault="00F6447A" w:rsidP="00DA3C6E">
            <w:pPr>
              <w:keepNext w:val="0"/>
              <w:spacing w:after="160" w:line="259" w:lineRule="auto"/>
              <w:rPr>
                <w:u w:val="single"/>
                <w:lang w:val="es-ES"/>
              </w:rPr>
            </w:pPr>
            <w:r w:rsidRPr="00122896">
              <w:rPr>
                <w:u w:val="single"/>
                <w:lang w:val="es-ES"/>
              </w:rPr>
              <w:lastRenderedPageBreak/>
              <w:t>P</w:t>
            </w:r>
            <w:r w:rsidR="009B5A84">
              <w:rPr>
                <w:u w:val="single"/>
                <w:lang w:val="es-ES"/>
              </w:rPr>
              <w:t>N</w:t>
            </w:r>
          </w:p>
          <w:p w14:paraId="0BD5A300" w14:textId="70CBF3DE" w:rsidR="00C66B08" w:rsidRPr="00C66B08" w:rsidRDefault="00C66B08" w:rsidP="00DA3C6E">
            <w:pPr>
              <w:keepNext w:val="0"/>
              <w:spacing w:after="160" w:line="259" w:lineRule="auto"/>
              <w:rPr>
                <w:lang w:val="es-ES"/>
              </w:rPr>
            </w:pPr>
            <w:r w:rsidRPr="00C66B08">
              <w:rPr>
                <w:lang w:val="es-ES"/>
              </w:rPr>
              <w:t>(</w:t>
            </w:r>
            <w:proofErr w:type="spellStart"/>
            <w:r w:rsidRPr="00C66B08">
              <w:rPr>
                <w:lang w:val="es-ES"/>
              </w:rPr>
              <w:t>Due</w:t>
            </w:r>
            <w:proofErr w:type="spellEnd"/>
            <w:r w:rsidRPr="00C66B08">
              <w:rPr>
                <w:lang w:val="es-ES"/>
              </w:rPr>
              <w:t xml:space="preserve"> </w:t>
            </w:r>
            <w:proofErr w:type="spellStart"/>
            <w:r w:rsidRPr="00C66B08">
              <w:rPr>
                <w:lang w:val="es-ES"/>
              </w:rPr>
              <w:t>to</w:t>
            </w:r>
            <w:proofErr w:type="spellEnd"/>
            <w:r w:rsidRPr="00C66B08">
              <w:rPr>
                <w:lang w:val="es-ES"/>
              </w:rPr>
              <w:t xml:space="preserve"> </w:t>
            </w:r>
            <w:proofErr w:type="spellStart"/>
            <w:r w:rsidRPr="00C66B08">
              <w:rPr>
                <w:lang w:val="es-ES"/>
              </w:rPr>
              <w:t>exploratory</w:t>
            </w:r>
            <w:proofErr w:type="spellEnd"/>
            <w:r w:rsidRPr="00C66B08">
              <w:rPr>
                <w:lang w:val="es-ES"/>
              </w:rPr>
              <w:t xml:space="preserve"> </w:t>
            </w:r>
            <w:proofErr w:type="spellStart"/>
            <w:r w:rsidRPr="00C66B08">
              <w:rPr>
                <w:lang w:val="es-ES"/>
              </w:rPr>
              <w:t>nature</w:t>
            </w:r>
            <w:proofErr w:type="spellEnd"/>
            <w:r w:rsidRPr="00C66B08">
              <w:rPr>
                <w:lang w:val="es-ES"/>
              </w:rPr>
              <w:t xml:space="preserve"> </w:t>
            </w:r>
            <w:proofErr w:type="spellStart"/>
            <w:r w:rsidRPr="00C66B08">
              <w:rPr>
                <w:lang w:val="es-ES"/>
              </w:rPr>
              <w:t>of</w:t>
            </w:r>
            <w:proofErr w:type="spellEnd"/>
            <w:r w:rsidRPr="00C66B08">
              <w:rPr>
                <w:lang w:val="es-ES"/>
              </w:rPr>
              <w:t xml:space="preserve"> </w:t>
            </w:r>
            <w:proofErr w:type="spellStart"/>
            <w:r w:rsidRPr="00C66B08">
              <w:rPr>
                <w:lang w:val="es-ES"/>
              </w:rPr>
              <w:t>analysis</w:t>
            </w:r>
            <w:proofErr w:type="spellEnd"/>
            <w:r w:rsidRPr="00C66B08">
              <w:rPr>
                <w:lang w:val="es-ES"/>
              </w:rPr>
              <w:t>)</w:t>
            </w:r>
          </w:p>
        </w:tc>
      </w:tr>
      <w:tr w:rsidR="00F6447A" w:rsidRPr="00122896" w14:paraId="0CB89163" w14:textId="77777777" w:rsidTr="26569B00">
        <w:trPr>
          <w:cantSplit/>
          <w:trHeight w:val="784"/>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1DD85F4" w14:textId="77777777" w:rsidR="00F6447A" w:rsidRPr="00122896" w:rsidRDefault="00F6447A" w:rsidP="00DA3C6E">
            <w:pPr>
              <w:keepNext w:val="0"/>
              <w:spacing w:after="160" w:line="259" w:lineRule="auto"/>
            </w:pPr>
            <w:r w:rsidRPr="00122896">
              <w:rPr>
                <w:b/>
              </w:rPr>
              <w:t>Risk-of-bias judgement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A68E477" w14:textId="77777777" w:rsidR="00F6447A" w:rsidRPr="00122896" w:rsidRDefault="00F6447A"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051188C5" w14:textId="2856CE6A" w:rsidR="00F6447A" w:rsidRPr="00122896" w:rsidRDefault="00C66B08" w:rsidP="00DA3C6E">
            <w:pPr>
              <w:keepNext w:val="0"/>
              <w:spacing w:after="160" w:line="259" w:lineRule="auto"/>
            </w:pPr>
            <w:r>
              <w:t>High</w:t>
            </w:r>
          </w:p>
        </w:tc>
      </w:tr>
      <w:tr w:rsidR="00F6447A" w:rsidRPr="00122896" w14:paraId="116B61A3" w14:textId="77777777" w:rsidTr="26569B00">
        <w:trPr>
          <w:cantSplit/>
          <w:trHeight w:val="591"/>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FAE2FB3" w14:textId="77777777" w:rsidR="00F6447A" w:rsidRPr="00122896" w:rsidRDefault="00F6447A" w:rsidP="00DA3C6E">
            <w:pPr>
              <w:keepNext w:val="0"/>
              <w:spacing w:after="160" w:line="259" w:lineRule="auto"/>
            </w:pPr>
            <w:r w:rsidRPr="00122896">
              <w:t>Optional: What is the predicted direction of bias due to deviations from intended interventions?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868AA5C" w14:textId="6074015F" w:rsidR="00F6447A" w:rsidRPr="00122896" w:rsidRDefault="004168A7" w:rsidP="00DA3C6E">
            <w:pPr>
              <w:keepNext w:val="0"/>
              <w:spacing w:after="160" w:line="259" w:lineRule="auto"/>
            </w:pPr>
            <w:r>
              <w:t xml:space="preserve">Due to failure to adhere to intervention. </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625C7E6F" w14:textId="3975246F" w:rsidR="00F6447A" w:rsidRPr="00122896" w:rsidRDefault="00F6447A" w:rsidP="00DA3C6E">
            <w:pPr>
              <w:keepNext w:val="0"/>
              <w:spacing w:after="160" w:line="259" w:lineRule="auto"/>
            </w:pPr>
            <w:r w:rsidRPr="00122896">
              <w:t>Towards null</w:t>
            </w:r>
          </w:p>
        </w:tc>
      </w:tr>
    </w:tbl>
    <w:p w14:paraId="54E3B37E" w14:textId="1A99B134" w:rsidR="00851D4D" w:rsidRPr="00DB0289" w:rsidRDefault="00851D4D">
      <w:pPr>
        <w:spacing w:after="160" w:line="259" w:lineRule="auto"/>
      </w:pPr>
      <w:r>
        <w:br w:type="page"/>
      </w:r>
    </w:p>
    <w:p w14:paraId="50905808" w14:textId="77777777" w:rsidR="00CA084F" w:rsidRPr="004B666A" w:rsidRDefault="004B666A" w:rsidP="003C3813">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jc w:val="center"/>
              <w:rPr>
                <w:rFonts w:cstheme="minorHAnsi"/>
                <w:b/>
              </w:rPr>
            </w:pPr>
            <w:r w:rsidRPr="004B666A">
              <w:rPr>
                <w:rFonts w:cstheme="minorHAnsi"/>
                <w:b/>
              </w:rPr>
              <w:t>Response options</w:t>
            </w:r>
          </w:p>
        </w:tc>
      </w:tr>
      <w:tr w:rsidR="00C153C1" w:rsidRPr="004B666A" w14:paraId="2F4CB16E" w14:textId="77777777" w:rsidTr="0079530F">
        <w:trPr>
          <w:cantSplit/>
          <w:trHeight w:val="1002"/>
        </w:trPr>
        <w:tc>
          <w:tcPr>
            <w:tcW w:w="4248" w:type="dxa"/>
            <w:shd w:val="clear" w:color="auto" w:fill="D9D9D9" w:themeFill="background1" w:themeFillShade="D9"/>
          </w:tcPr>
          <w:p w14:paraId="1D64BB68" w14:textId="7CE5A9AA" w:rsidR="00C153C1" w:rsidRPr="004B666A" w:rsidRDefault="00C153C1" w:rsidP="00C153C1">
            <w:pPr>
              <w:rPr>
                <w:rFonts w:cstheme="minorHAnsi"/>
                <w:b/>
              </w:rPr>
            </w:pPr>
            <w:bookmarkStart w:id="1" w:name="_Hlk516121468"/>
            <w:r w:rsidRPr="00924B2E">
              <w:rPr>
                <w:b/>
                <w:szCs w:val="20"/>
                <w:lang w:val="en-US"/>
              </w:rPr>
              <w:t>3.1 Were data for this outcome available for all, or nearly all, participants randomized?</w:t>
            </w:r>
          </w:p>
        </w:tc>
        <w:tc>
          <w:tcPr>
            <w:tcW w:w="7512" w:type="dxa"/>
            <w:shd w:val="clear" w:color="auto" w:fill="auto"/>
          </w:tcPr>
          <w:p w14:paraId="1181DEC0" w14:textId="77777777" w:rsidR="00C153C1" w:rsidRDefault="00114C14" w:rsidP="005B2F56">
            <w:pPr>
              <w:rPr>
                <w:rFonts w:cstheme="minorHAnsi"/>
                <w:lang w:val="en-GB"/>
              </w:rPr>
            </w:pPr>
            <w:r>
              <w:rPr>
                <w:rFonts w:cstheme="minorHAnsi"/>
                <w:lang w:val="en-GB"/>
              </w:rPr>
              <w:t xml:space="preserve">Figure 1. p.8, journal article: </w:t>
            </w:r>
          </w:p>
          <w:p w14:paraId="63EE1ABF" w14:textId="77777777" w:rsidR="00114C14" w:rsidRDefault="00114C14" w:rsidP="005B2F56">
            <w:pPr>
              <w:rPr>
                <w:rFonts w:cstheme="minorHAnsi"/>
                <w:lang w:val="en-GB"/>
              </w:rPr>
            </w:pPr>
          </w:p>
          <w:p w14:paraId="253BF234" w14:textId="77777777" w:rsidR="00114C14" w:rsidRDefault="00423589" w:rsidP="005B2F56">
            <w:pPr>
              <w:rPr>
                <w:rFonts w:cstheme="minorHAnsi"/>
                <w:lang w:val="en-GB"/>
              </w:rPr>
            </w:pPr>
            <w:r>
              <w:rPr>
                <w:rFonts w:cstheme="minorHAnsi"/>
                <w:lang w:val="en-GB"/>
              </w:rPr>
              <w:t>74 randomised, 38 to headspace and 36 to Waitlist control.</w:t>
            </w:r>
          </w:p>
          <w:p w14:paraId="3C765747" w14:textId="12DFB994" w:rsidR="00423589" w:rsidRPr="00495C3A" w:rsidRDefault="001162C8" w:rsidP="005B2F56">
            <w:pPr>
              <w:rPr>
                <w:rFonts w:cstheme="minorHAnsi"/>
                <w:lang w:val="en-GB"/>
              </w:rPr>
            </w:pPr>
            <w:r>
              <w:rPr>
                <w:rFonts w:cstheme="minorHAnsi"/>
                <w:lang w:val="en-GB"/>
              </w:rPr>
              <w:t>9 are missing in the headspace condition and 3 in the waitlist control.</w:t>
            </w:r>
          </w:p>
        </w:tc>
        <w:tc>
          <w:tcPr>
            <w:tcW w:w="2836" w:type="dxa"/>
            <w:shd w:val="clear" w:color="auto" w:fill="auto"/>
          </w:tcPr>
          <w:p w14:paraId="4AFA6BAC" w14:textId="373286C3" w:rsidR="00C153C1" w:rsidRDefault="004D722D" w:rsidP="00C153C1">
            <w:pPr>
              <w:jc w:val="center"/>
              <w:rPr>
                <w:rFonts w:cstheme="minorHAnsi"/>
                <w:color w:val="FF0000"/>
              </w:rPr>
            </w:pPr>
            <w:r w:rsidRPr="004B666A">
              <w:rPr>
                <w:rFonts w:cstheme="minorHAnsi"/>
                <w:color w:val="FF0000"/>
              </w:rPr>
              <w:t>N</w:t>
            </w:r>
          </w:p>
          <w:p w14:paraId="466A9CC0" w14:textId="77777777" w:rsidR="00792157" w:rsidRDefault="00792157" w:rsidP="00792157">
            <w:pPr>
              <w:rPr>
                <w:rFonts w:cstheme="minorHAnsi"/>
                <w:color w:val="FF0000"/>
              </w:rPr>
            </w:pPr>
          </w:p>
          <w:p w14:paraId="22FF181C" w14:textId="5358B1AE" w:rsidR="00792157" w:rsidRPr="00792157" w:rsidRDefault="00792157" w:rsidP="00792157">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w:t>
            </w:r>
            <w:proofErr w:type="spellStart"/>
            <w:proofErr w:type="gramStart"/>
            <w:r w:rsidRPr="00792157">
              <w:rPr>
                <w:rFonts w:cstheme="minorHAnsi"/>
                <w:sz w:val="18"/>
                <w:szCs w:val="18"/>
                <w:shd w:val="clear" w:color="auto" w:fill="FAF9F8"/>
              </w:rPr>
              <w:t>participants.“</w:t>
            </w:r>
            <w:proofErr w:type="gramEnd"/>
            <w:r w:rsidRPr="00792157">
              <w:rPr>
                <w:rFonts w:cstheme="minorHAnsi"/>
                <w:sz w:val="18"/>
                <w:szCs w:val="18"/>
                <w:shd w:val="clear" w:color="auto" w:fill="FAF9F8"/>
              </w:rPr>
              <w:t>Nearly</w:t>
            </w:r>
            <w:proofErr w:type="spellEnd"/>
            <w:r w:rsidRPr="00792157">
              <w:rPr>
                <w:rFonts w:cstheme="minorHAnsi"/>
                <w:sz w:val="18"/>
                <w:szCs w:val="18"/>
                <w:shd w:val="clear" w:color="auto" w:fill="FAF9F8"/>
              </w:rPr>
              <w:t xml:space="preserve"> all” should be interpreted as that the number of participants with missing outcome data is sufficiently small that their outcomes, whatever they were, could have made no important difference to the estimated effect of </w:t>
            </w:r>
            <w:proofErr w:type="spellStart"/>
            <w:r w:rsidRPr="00792157">
              <w:rPr>
                <w:rFonts w:cstheme="minorHAnsi"/>
                <w:sz w:val="18"/>
                <w:szCs w:val="18"/>
                <w:shd w:val="clear" w:color="auto" w:fill="FAF9F8"/>
              </w:rPr>
              <w:t>intervention.For</w:t>
            </w:r>
            <w:proofErr w:type="spellEnd"/>
            <w:r w:rsidRPr="00792157">
              <w:rPr>
                <w:rFonts w:cstheme="minorHAnsi"/>
                <w:sz w:val="18"/>
                <w:szCs w:val="18"/>
                <w:shd w:val="clear" w:color="auto" w:fill="FAF9F8"/>
              </w:rPr>
              <w:t xml:space="preserve">  continuous  outcomes,  availability  of  data  from  95%  of  the  participants  will  often  be  sufficient. </w:t>
            </w:r>
          </w:p>
        </w:tc>
      </w:tr>
      <w:tr w:rsidR="00C153C1" w:rsidRPr="004B666A" w14:paraId="7EECE6A2" w14:textId="77777777" w:rsidTr="0079530F">
        <w:trPr>
          <w:cantSplit/>
          <w:trHeight w:val="1042"/>
        </w:trPr>
        <w:tc>
          <w:tcPr>
            <w:tcW w:w="4248" w:type="dxa"/>
            <w:shd w:val="clear" w:color="auto" w:fill="D9D9D9" w:themeFill="background1" w:themeFillShade="D9"/>
          </w:tcPr>
          <w:p w14:paraId="2C3F98D6" w14:textId="62C83A15" w:rsidR="00C153C1" w:rsidRPr="004B666A" w:rsidRDefault="00C153C1" w:rsidP="00C153C1">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14:paraId="00605E3E" w14:textId="77777777" w:rsidR="004568D8" w:rsidRDefault="00EA647A" w:rsidP="00E90BF4">
            <w:pPr>
              <w:rPr>
                <w:lang w:val="en-GB"/>
              </w:rPr>
            </w:pPr>
            <w:r>
              <w:rPr>
                <w:lang w:val="en-GB"/>
              </w:rPr>
              <w:t>“</w:t>
            </w:r>
            <w:r w:rsidRPr="00EA647A">
              <w:rPr>
                <w:lang w:val="en-GB"/>
              </w:rPr>
              <w:t>In order to rule out the possibility that attrition could have influenced our estimates of Cohen’s d, we used multiple imputation (MI) to impute missing values and re-calculated Cohen’s d using the full imputed dataset [45]. The MI procedure used the data augmentation method [46], with default values of 10 independent chains of length 100. 95% confidence intervals (CIs) were calculated for all Cohen’s d values using equations 15 and 18 (for within-group effect sizes) and equations 15 and 16 (for between-group effect sizes) from Nakagawa and Cuthill, 2007 [47].</w:t>
            </w:r>
            <w:r w:rsidR="004568D8">
              <w:rPr>
                <w:lang w:val="en-GB"/>
              </w:rPr>
              <w:t xml:space="preserve"> … </w:t>
            </w:r>
            <w:r w:rsidR="004568D8" w:rsidRPr="004568D8">
              <w:rPr>
                <w:lang w:val="en-GB"/>
              </w:rPr>
              <w:t>For each outcome, we used multiple imputation to impute missing values and then calculated a between-group Cohen’s d effect size between baseline and day 30. This revealed a</w:t>
            </w:r>
            <w:r w:rsidR="00DE1B0F">
              <w:rPr>
                <w:lang w:val="en-GB"/>
              </w:rPr>
              <w:t xml:space="preserve"> </w:t>
            </w:r>
            <w:r w:rsidR="00DE1B0F" w:rsidRPr="00DE1B0F">
              <w:rPr>
                <w:lang w:val="en-GB"/>
              </w:rPr>
              <w:t>Cohen’s d of 0.57 (95% CI: 0.10 to 1.04) for satisfaction with life, 1.42 (95% CI: 0.90 to 1.94) for perceived stress, and 0.63 (95% CI: 0.16 to 1.10) for resilience (see Table 2).</w:t>
            </w:r>
            <w:r w:rsidR="00DE1B0F">
              <w:rPr>
                <w:lang w:val="en-GB"/>
              </w:rPr>
              <w:t>”</w:t>
            </w:r>
          </w:p>
          <w:p w14:paraId="491002B3" w14:textId="77777777" w:rsidR="001F04C2" w:rsidRDefault="001F04C2" w:rsidP="00E90BF4">
            <w:pPr>
              <w:rPr>
                <w:lang w:val="en-GB"/>
              </w:rPr>
            </w:pPr>
          </w:p>
          <w:p w14:paraId="1ED71559" w14:textId="0A87DAD3" w:rsidR="001F04C2" w:rsidRPr="004568D8" w:rsidRDefault="001F04C2" w:rsidP="00E90BF4">
            <w:pPr>
              <w:rPr>
                <w:lang w:val="en-GB"/>
              </w:rPr>
            </w:pPr>
            <w:r>
              <w:rPr>
                <w:lang w:val="en-GB"/>
              </w:rPr>
              <w:t xml:space="preserve">Visual inspection of table 2. Indicates very minor differences. </w:t>
            </w:r>
          </w:p>
        </w:tc>
        <w:tc>
          <w:tcPr>
            <w:tcW w:w="2836" w:type="dxa"/>
            <w:shd w:val="clear" w:color="auto" w:fill="auto"/>
          </w:tcPr>
          <w:p w14:paraId="39D91496" w14:textId="7BDE6C5D" w:rsidR="00C153C1" w:rsidRDefault="001F04C2" w:rsidP="00C153C1">
            <w:pPr>
              <w:jc w:val="center"/>
              <w:rPr>
                <w:rFonts w:cstheme="minorHAnsi"/>
                <w:color w:val="FF0000"/>
              </w:rPr>
            </w:pPr>
            <w:r w:rsidRPr="00076212">
              <w:rPr>
                <w:rFonts w:cstheme="minorHAnsi"/>
                <w:color w:val="00B050"/>
                <w:u w:val="single"/>
              </w:rPr>
              <w:t>Y</w:t>
            </w:r>
          </w:p>
          <w:p w14:paraId="4DA4E8B1" w14:textId="77777777" w:rsidR="00792157" w:rsidRDefault="00792157" w:rsidP="00792157">
            <w:pPr>
              <w:rPr>
                <w:rFonts w:cstheme="minorHAnsi"/>
                <w:color w:val="FF0000"/>
              </w:rPr>
            </w:pPr>
          </w:p>
          <w:p w14:paraId="3C5AB560" w14:textId="3F4DAB14" w:rsidR="00792157" w:rsidRPr="00792157" w:rsidRDefault="00792157" w:rsidP="00792157">
            <w:r w:rsidRPr="00792157">
              <w:rPr>
                <w:rFonts w:cstheme="minorHAnsi"/>
                <w:sz w:val="18"/>
                <w:szCs w:val="18"/>
                <w:shd w:val="clear" w:color="auto" w:fill="FAF9F8"/>
              </w:rPr>
              <w:t xml:space="preserve">Evidence that the result was not biased by missing outcome data may come from: (1) analysis methods that correct for bias; </w:t>
            </w:r>
            <w:proofErr w:type="gramStart"/>
            <w:r w:rsidRPr="00792157">
              <w:rPr>
                <w:rFonts w:cstheme="minorHAnsi"/>
                <w:sz w:val="18"/>
                <w:szCs w:val="18"/>
                <w:shd w:val="clear" w:color="auto" w:fill="FAF9F8"/>
              </w:rPr>
              <w:t>or  (</w:t>
            </w:r>
            <w:proofErr w:type="gramEnd"/>
            <w:r w:rsidRPr="00792157">
              <w:rPr>
                <w:rFonts w:cstheme="minorHAnsi"/>
                <w:sz w:val="18"/>
                <w:szCs w:val="18"/>
                <w:shd w:val="clear" w:color="auto" w:fill="FAF9F8"/>
              </w:rPr>
              <w:t>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 xml:space="preserve">its  true  value.  </w:t>
            </w:r>
            <w:proofErr w:type="gramStart"/>
            <w:r w:rsidRPr="00792157">
              <w:rPr>
                <w:rFonts w:cstheme="minorHAnsi"/>
                <w:sz w:val="18"/>
                <w:szCs w:val="18"/>
                <w:shd w:val="clear" w:color="auto" w:fill="FAF9F8"/>
              </w:rPr>
              <w:t>However,  imputing</w:t>
            </w:r>
            <w:proofErr w:type="gramEnd"/>
            <w:r w:rsidRPr="00792157">
              <w:rPr>
                <w:rFonts w:cstheme="minorHAnsi"/>
                <w:sz w:val="18"/>
                <w:szCs w:val="18"/>
                <w:shd w:val="clear" w:color="auto" w:fill="FAF9F8"/>
              </w:rPr>
              <w:t xml:space="preserve">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00C153C1" w:rsidRPr="00C14F66" w14:paraId="374DC83B" w14:textId="77777777" w:rsidTr="0079530F">
        <w:trPr>
          <w:cantSplit/>
          <w:trHeight w:val="939"/>
        </w:trPr>
        <w:tc>
          <w:tcPr>
            <w:tcW w:w="4248" w:type="dxa"/>
            <w:shd w:val="clear" w:color="auto" w:fill="D9D9D9" w:themeFill="background1" w:themeFillShade="D9"/>
          </w:tcPr>
          <w:p w14:paraId="6158CEFC" w14:textId="78D58E7E" w:rsidR="00C153C1" w:rsidRPr="004B666A" w:rsidRDefault="00C153C1" w:rsidP="00C153C1">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14:paraId="27097663" w14:textId="3148ABCD" w:rsidR="00C14F66" w:rsidRPr="004B666A" w:rsidRDefault="00C14F66" w:rsidP="00C153C1">
            <w:pPr>
              <w:rPr>
                <w:rFonts w:cstheme="minorHAnsi"/>
              </w:rPr>
            </w:pPr>
          </w:p>
        </w:tc>
        <w:tc>
          <w:tcPr>
            <w:tcW w:w="2836" w:type="dxa"/>
            <w:shd w:val="clear" w:color="auto" w:fill="auto"/>
          </w:tcPr>
          <w:p w14:paraId="5AC043F2" w14:textId="2597CC06" w:rsidR="00C153C1" w:rsidRDefault="004D722D" w:rsidP="00C153C1">
            <w:pPr>
              <w:jc w:val="center"/>
              <w:rPr>
                <w:rFonts w:cstheme="minorHAnsi"/>
                <w:lang w:val="es-ES"/>
              </w:rPr>
            </w:pPr>
            <w:r w:rsidRPr="006B1069">
              <w:rPr>
                <w:rFonts w:cstheme="minorHAnsi"/>
                <w:lang w:val="es-ES"/>
              </w:rPr>
              <w:t>NA</w:t>
            </w:r>
          </w:p>
          <w:p w14:paraId="75730504" w14:textId="77777777" w:rsidR="00E90BF4" w:rsidRDefault="00E90BF4" w:rsidP="00E90BF4">
            <w:pPr>
              <w:rPr>
                <w:rFonts w:cstheme="minorHAnsi"/>
                <w:lang w:val="es-ES"/>
              </w:rPr>
            </w:pPr>
          </w:p>
          <w:p w14:paraId="310F6977" w14:textId="61E69A54" w:rsidR="00E90BF4" w:rsidRPr="00C14F66" w:rsidRDefault="00C14F66" w:rsidP="00C14F66">
            <w:proofErr w:type="gramStart"/>
            <w:r w:rsidRPr="00C14F66">
              <w:rPr>
                <w:rFonts w:cstheme="minorHAnsi"/>
                <w:sz w:val="18"/>
                <w:szCs w:val="18"/>
                <w:shd w:val="clear" w:color="auto" w:fill="FAF9F8"/>
              </w:rPr>
              <w:t>If  loss</w:t>
            </w:r>
            <w:proofErr w:type="gramEnd"/>
            <w:r w:rsidRPr="00C14F66">
              <w:rPr>
                <w:rFonts w:cstheme="minorHAnsi"/>
                <w:sz w:val="18"/>
                <w:szCs w:val="18"/>
                <w:shd w:val="clear" w:color="auto" w:fill="FAF9F8"/>
              </w:rPr>
              <w:t xml:space="preserve">  to  follow  up,  or  withdrawal  from  the  study,  could  be  related  to  participants’  health  status,  then  it  is  possible  </w:t>
            </w:r>
            <w:proofErr w:type="spellStart"/>
            <w:r w:rsidRPr="00C14F66">
              <w:rPr>
                <w:rFonts w:cstheme="minorHAnsi"/>
                <w:sz w:val="18"/>
                <w:szCs w:val="18"/>
                <w:shd w:val="clear" w:color="auto" w:fill="FAF9F8"/>
              </w:rPr>
              <w:t>thatmissingness</w:t>
            </w:r>
            <w:proofErr w:type="spellEnd"/>
            <w:r w:rsidRPr="00C14F66">
              <w:rPr>
                <w:rFonts w:cstheme="minorHAnsi"/>
                <w:sz w:val="18"/>
                <w:szCs w:val="18"/>
                <w:shd w:val="clear" w:color="auto" w:fill="FAF9F8"/>
              </w:rPr>
              <w:t xml:space="preserve">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00C153C1" w:rsidRPr="00C14F66" w14:paraId="3FD87FB0" w14:textId="77777777" w:rsidTr="0079530F">
        <w:trPr>
          <w:cantSplit/>
          <w:trHeight w:val="973"/>
        </w:trPr>
        <w:tc>
          <w:tcPr>
            <w:tcW w:w="4248" w:type="dxa"/>
            <w:shd w:val="clear" w:color="auto" w:fill="D9D9D9" w:themeFill="background1" w:themeFillShade="D9"/>
          </w:tcPr>
          <w:p w14:paraId="3F453674" w14:textId="2DE8D566" w:rsidR="00C153C1" w:rsidRPr="004B666A" w:rsidRDefault="00C153C1" w:rsidP="00C153C1">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14:paraId="5D46C599" w14:textId="77777777" w:rsidR="00C153C1" w:rsidRPr="004B666A" w:rsidRDefault="00C153C1" w:rsidP="00C153C1">
            <w:pPr>
              <w:rPr>
                <w:rFonts w:cstheme="minorHAnsi"/>
              </w:rPr>
            </w:pPr>
          </w:p>
        </w:tc>
        <w:tc>
          <w:tcPr>
            <w:tcW w:w="2836" w:type="dxa"/>
            <w:shd w:val="clear" w:color="auto" w:fill="auto"/>
          </w:tcPr>
          <w:p w14:paraId="0B21AD33" w14:textId="3E7235E0" w:rsidR="00C153C1" w:rsidRDefault="004D722D" w:rsidP="00C153C1">
            <w:pPr>
              <w:jc w:val="center"/>
              <w:rPr>
                <w:rFonts w:cstheme="minorHAnsi"/>
                <w:lang w:val="es-ES"/>
              </w:rPr>
            </w:pPr>
            <w:r w:rsidRPr="006B1069">
              <w:rPr>
                <w:rFonts w:cstheme="minorHAnsi"/>
                <w:lang w:val="es-ES"/>
              </w:rPr>
              <w:t>NA</w:t>
            </w:r>
          </w:p>
          <w:p w14:paraId="21EA5936" w14:textId="77777777" w:rsidR="00C14F66" w:rsidRDefault="00C14F66" w:rsidP="00C14F66">
            <w:pPr>
              <w:rPr>
                <w:rFonts w:cstheme="minorHAnsi"/>
                <w:lang w:val="es-ES"/>
              </w:rPr>
            </w:pPr>
          </w:p>
          <w:p w14:paraId="17EF9605" w14:textId="77777777"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Reasons for answering ‘Yes’ are:</w:t>
            </w:r>
          </w:p>
          <w:p w14:paraId="54DC217C" w14:textId="5D5AF496"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14:paraId="0566163B" w14:textId="3F931419" w:rsidR="00C14F66" w:rsidRPr="00C14F66" w:rsidRDefault="00C14F66" w:rsidP="00C14F66">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14:paraId="0876D26F" w14:textId="6C291DF3" w:rsidR="00C14F66" w:rsidRPr="00C14F66" w:rsidRDefault="00C14F66" w:rsidP="00C14F66">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14:paraId="0A434EDF" w14:textId="77777777" w:rsidR="00C14F66" w:rsidRPr="00C14F66" w:rsidRDefault="00C14F66" w:rsidP="00C14F66">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14:paraId="006EE16D" w14:textId="389A6464" w:rsidR="00C14F66" w:rsidRPr="00C14F66" w:rsidRDefault="00C14F66" w:rsidP="00C14F66">
            <w:pPr>
              <w:rPr>
                <w:rFonts w:cstheme="minorHAnsi"/>
                <w:sz w:val="18"/>
                <w:szCs w:val="18"/>
                <w:lang w:val="en-GB"/>
              </w:rPr>
            </w:pPr>
          </w:p>
          <w:p w14:paraId="7F176707" w14:textId="5FF89568" w:rsidR="00C14F66" w:rsidRPr="00C14F66" w:rsidRDefault="00C14F66" w:rsidP="00C14F66">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00CA084F" w:rsidRPr="004B666A" w14:paraId="598167F3" w14:textId="77777777" w:rsidTr="0079530F">
        <w:trPr>
          <w:cantSplit/>
          <w:trHeight w:val="1001"/>
        </w:trPr>
        <w:tc>
          <w:tcPr>
            <w:tcW w:w="4248" w:type="dxa"/>
            <w:shd w:val="clear" w:color="auto" w:fill="D9D9D9" w:themeFill="background1" w:themeFillShade="D9"/>
          </w:tcPr>
          <w:p w14:paraId="6FA75E6C"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14:paraId="02DE4D20" w14:textId="7DB05D54" w:rsidR="00CA084F" w:rsidRPr="004B666A" w:rsidRDefault="00CA084F" w:rsidP="003C3813">
            <w:pPr>
              <w:tabs>
                <w:tab w:val="left" w:pos="960"/>
              </w:tabs>
              <w:autoSpaceDE w:val="0"/>
              <w:autoSpaceDN w:val="0"/>
              <w:adjustRightInd w:val="0"/>
              <w:rPr>
                <w:rFonts w:cstheme="minorHAnsi"/>
              </w:rPr>
            </w:pPr>
          </w:p>
        </w:tc>
        <w:tc>
          <w:tcPr>
            <w:tcW w:w="2836" w:type="dxa"/>
            <w:shd w:val="clear" w:color="auto" w:fill="auto"/>
          </w:tcPr>
          <w:p w14:paraId="254169B7" w14:textId="419DD74B" w:rsidR="00CA084F" w:rsidRPr="004B666A" w:rsidRDefault="00AE432F" w:rsidP="003C3813">
            <w:pPr>
              <w:tabs>
                <w:tab w:val="left" w:pos="960"/>
              </w:tabs>
              <w:autoSpaceDE w:val="0"/>
              <w:autoSpaceDN w:val="0"/>
              <w:adjustRightInd w:val="0"/>
              <w:jc w:val="center"/>
              <w:rPr>
                <w:rFonts w:cstheme="minorHAnsi"/>
              </w:rPr>
            </w:pPr>
            <w:r>
              <w:rPr>
                <w:rFonts w:cstheme="minorHAnsi"/>
              </w:rPr>
              <w:t>Low</w:t>
            </w:r>
          </w:p>
        </w:tc>
      </w:tr>
      <w:tr w:rsidR="0079530F" w:rsidRPr="004B666A" w14:paraId="52A93D70" w14:textId="77777777" w:rsidTr="0079530F">
        <w:trPr>
          <w:cantSplit/>
          <w:trHeight w:val="20"/>
        </w:trPr>
        <w:tc>
          <w:tcPr>
            <w:tcW w:w="4248" w:type="dxa"/>
            <w:shd w:val="clear" w:color="auto" w:fill="D9D9D9" w:themeFill="background1" w:themeFillShade="D9"/>
          </w:tcPr>
          <w:p w14:paraId="547DB748" w14:textId="77777777" w:rsidR="0079530F" w:rsidRPr="004B666A" w:rsidRDefault="0079530F" w:rsidP="0079530F">
            <w:pPr>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5F0A631F" w:rsidR="0079530F" w:rsidRPr="004B666A" w:rsidRDefault="0079530F" w:rsidP="0079530F">
            <w:pPr>
              <w:rPr>
                <w:rFonts w:cstheme="minorHAnsi"/>
              </w:rPr>
            </w:pPr>
          </w:p>
        </w:tc>
        <w:tc>
          <w:tcPr>
            <w:tcW w:w="2836" w:type="dxa"/>
            <w:shd w:val="clear" w:color="auto" w:fill="auto"/>
          </w:tcPr>
          <w:p w14:paraId="28294783" w14:textId="5F5924E5" w:rsidR="0079530F" w:rsidRPr="004B666A" w:rsidRDefault="005B2F56" w:rsidP="0079530F">
            <w:pPr>
              <w:jc w:val="center"/>
              <w:rPr>
                <w:rFonts w:cstheme="minorHAnsi"/>
              </w:rPr>
            </w:pPr>
            <w:r>
              <w:rPr>
                <w:rFonts w:cstheme="minorHAnsi"/>
              </w:rPr>
              <w:t xml:space="preserve">NA </w:t>
            </w:r>
          </w:p>
        </w:tc>
      </w:tr>
    </w:tbl>
    <w:p w14:paraId="41A6CB27" w14:textId="77777777" w:rsidR="003C3813" w:rsidRDefault="003C3813" w:rsidP="003C3813">
      <w:pPr>
        <w:spacing w:after="200" w:line="276" w:lineRule="auto"/>
        <w:rPr>
          <w:rFonts w:cstheme="minorHAnsi"/>
        </w:rPr>
      </w:pPr>
    </w:p>
    <w:p w14:paraId="36CC6C5D" w14:textId="77777777" w:rsidR="00730D7D" w:rsidRDefault="00730D7D">
      <w:pPr>
        <w:spacing w:after="160" w:line="259" w:lineRule="auto"/>
        <w:rPr>
          <w:rFonts w:eastAsiaTheme="minorEastAsia"/>
          <w:color w:val="5A5A5A" w:themeColor="text1" w:themeTint="A5"/>
          <w:spacing w:val="15"/>
        </w:rPr>
      </w:pPr>
      <w:r>
        <w:br w:type="page"/>
      </w:r>
    </w:p>
    <w:p w14:paraId="5B65F36A" w14:textId="77777777" w:rsidR="00E677C1" w:rsidRPr="003C3813" w:rsidRDefault="004B666A" w:rsidP="003C3813">
      <w:pPr>
        <w:pStyle w:val="Subtitle"/>
      </w:pPr>
      <w:r w:rsidRPr="003C3813">
        <w:lastRenderedPageBreak/>
        <w:t xml:space="preserve">Domain 4: </w:t>
      </w:r>
      <w:r w:rsidR="00E677C1" w:rsidRPr="003C3813">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26569B00">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jc w:val="center"/>
              <w:rPr>
                <w:rFonts w:cstheme="minorHAnsi"/>
                <w:b/>
              </w:rPr>
            </w:pPr>
            <w:r w:rsidRPr="004B666A">
              <w:rPr>
                <w:rFonts w:cstheme="minorHAnsi"/>
                <w:b/>
              </w:rPr>
              <w:t>Response options</w:t>
            </w:r>
          </w:p>
        </w:tc>
      </w:tr>
      <w:tr w:rsidR="00C153C1" w:rsidRPr="004B666A" w14:paraId="4331B2FD" w14:textId="77777777" w:rsidTr="26569B00">
        <w:trPr>
          <w:cantSplit/>
          <w:trHeight w:val="860"/>
        </w:trPr>
        <w:tc>
          <w:tcPr>
            <w:tcW w:w="4248" w:type="dxa"/>
            <w:shd w:val="clear" w:color="auto" w:fill="D9D9D9" w:themeFill="background1" w:themeFillShade="D9"/>
          </w:tcPr>
          <w:p w14:paraId="7D2BFBA4" w14:textId="38B33FB5" w:rsidR="00C153C1" w:rsidRPr="004B666A" w:rsidRDefault="00C153C1" w:rsidP="00C153C1">
            <w:pPr>
              <w:rPr>
                <w:rFonts w:cstheme="minorHAnsi"/>
                <w:b/>
              </w:rPr>
            </w:pPr>
            <w:r>
              <w:rPr>
                <w:b/>
              </w:rPr>
              <w:t>4.1 Was the method of measuring the outcome inappropriate?</w:t>
            </w:r>
          </w:p>
        </w:tc>
        <w:tc>
          <w:tcPr>
            <w:tcW w:w="7512" w:type="dxa"/>
            <w:shd w:val="clear" w:color="auto" w:fill="auto"/>
          </w:tcPr>
          <w:p w14:paraId="1B61CFBF" w14:textId="461F4EDB" w:rsidR="0001232C" w:rsidRPr="0001232C" w:rsidRDefault="00A366B0" w:rsidP="0001232C">
            <w:r>
              <w:rPr>
                <w:lang w:val="en-GB"/>
              </w:rPr>
              <w:t>“</w:t>
            </w:r>
            <w:r w:rsidRPr="00A366B0">
              <w:rPr>
                <w:lang w:val="en-GB"/>
              </w:rPr>
              <w:t>Satisfaction with Life Scale. The Satisfaction with Life Scale (SWLS; [37]) is a 5-item scale that assesses global satisfaction (</w:t>
            </w:r>
            <w:proofErr w:type="gramStart"/>
            <w:r w:rsidRPr="00A366B0">
              <w:rPr>
                <w:lang w:val="en-GB"/>
              </w:rPr>
              <w:t>e.g.</w:t>
            </w:r>
            <w:proofErr w:type="gramEnd"/>
            <w:r w:rsidRPr="00A366B0">
              <w:rPr>
                <w:lang w:val="en-GB"/>
              </w:rPr>
              <w:t xml:space="preserve"> ‘so far I have gotten the important things I want in my life’). Individuals indicate their degree of agreement or disagreement with the items using a 7-point Likert scale (1 = strongly disagree to 7 = strongly agree). The scale is shown to have strong psychometric properties [38] including internal consistency (α = .87) and a high </w:t>
            </w:r>
            <w:proofErr w:type="spellStart"/>
            <w:r w:rsidRPr="00A366B0">
              <w:rPr>
                <w:lang w:val="en-GB"/>
              </w:rPr>
              <w:t>testretest</w:t>
            </w:r>
            <w:proofErr w:type="spellEnd"/>
            <w:r w:rsidRPr="00A366B0">
              <w:rPr>
                <w:lang w:val="en-GB"/>
              </w:rPr>
              <w:t xml:space="preserve"> reliability (α = .82; [39]).</w:t>
            </w:r>
            <w:r>
              <w:rPr>
                <w:lang w:val="en-GB"/>
              </w:rPr>
              <w:t>”</w:t>
            </w:r>
          </w:p>
        </w:tc>
        <w:tc>
          <w:tcPr>
            <w:tcW w:w="2836" w:type="dxa"/>
            <w:shd w:val="clear" w:color="auto" w:fill="auto"/>
          </w:tcPr>
          <w:p w14:paraId="4B76B9FD" w14:textId="3F93AB76" w:rsidR="00C153C1" w:rsidRDefault="004D722D" w:rsidP="00C153C1">
            <w:pPr>
              <w:jc w:val="center"/>
              <w:rPr>
                <w:rFonts w:cstheme="minorHAnsi"/>
              </w:rPr>
            </w:pPr>
            <w:r w:rsidRPr="00076212">
              <w:rPr>
                <w:rFonts w:cstheme="minorHAnsi"/>
                <w:color w:val="00B050"/>
                <w:u w:val="single"/>
              </w:rPr>
              <w:t>N</w:t>
            </w:r>
          </w:p>
          <w:p w14:paraId="76440DCB" w14:textId="77777777" w:rsidR="0001232C" w:rsidRDefault="0001232C" w:rsidP="0001232C">
            <w:pPr>
              <w:rPr>
                <w:rFonts w:cstheme="minorHAnsi"/>
              </w:rPr>
            </w:pPr>
          </w:p>
          <w:p w14:paraId="07C6A69C" w14:textId="77777777"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14:paraId="301515E8" w14:textId="6AF275ED"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w:t>
            </w:r>
            <w:proofErr w:type="gramStart"/>
            <w:r w:rsidRPr="0001232C">
              <w:rPr>
                <w:rFonts w:cstheme="minorHAnsi"/>
                <w:sz w:val="18"/>
                <w:szCs w:val="18"/>
                <w:shd w:val="clear" w:color="auto" w:fill="FAF9F8"/>
              </w:rPr>
              <w:t>e.g.</w:t>
            </w:r>
            <w:proofErr w:type="gramEnd"/>
            <w:r w:rsidRPr="0001232C">
              <w:rPr>
                <w:rFonts w:cstheme="minorHAnsi"/>
                <w:sz w:val="18"/>
                <w:szCs w:val="18"/>
                <w:shd w:val="clear" w:color="auto" w:fill="FAF9F8"/>
              </w:rPr>
              <w:t xml:space="preserve"> important ranges of outcome values fall outside levels that are detectable using the measurement method); or</w:t>
            </w:r>
          </w:p>
          <w:p w14:paraId="126B8DF5" w14:textId="72A2FB55" w:rsidR="0001232C" w:rsidRPr="0001232C" w:rsidRDefault="0001232C" w:rsidP="0001232C">
            <w:r w:rsidRPr="0001232C">
              <w:rPr>
                <w:rFonts w:cstheme="minorHAnsi"/>
                <w:sz w:val="18"/>
                <w:szCs w:val="18"/>
                <w:shd w:val="clear" w:color="auto" w:fill="FAF9F8"/>
              </w:rPr>
              <w:t>(2) the measurement instrument has been demonstrated to have poor validity.</w:t>
            </w:r>
          </w:p>
        </w:tc>
      </w:tr>
      <w:tr w:rsidR="00C153C1" w:rsidRPr="004B666A" w14:paraId="058F6880" w14:textId="77777777" w:rsidTr="26569B00">
        <w:trPr>
          <w:cantSplit/>
          <w:trHeight w:val="20"/>
        </w:trPr>
        <w:tc>
          <w:tcPr>
            <w:tcW w:w="4248" w:type="dxa"/>
            <w:shd w:val="clear" w:color="auto" w:fill="D9D9D9" w:themeFill="background1" w:themeFillShade="D9"/>
          </w:tcPr>
          <w:p w14:paraId="64AC7C95" w14:textId="419C9360" w:rsidR="00C153C1" w:rsidRPr="004B666A" w:rsidRDefault="00C153C1" w:rsidP="00C153C1">
            <w:pPr>
              <w:rPr>
                <w:rFonts w:cstheme="minorHAnsi"/>
                <w:b/>
              </w:rPr>
            </w:pPr>
            <w:r>
              <w:rPr>
                <w:b/>
              </w:rPr>
              <w:t>4.2 Could measurement or ascertainment of the outcome have differed between intervention groups?</w:t>
            </w:r>
          </w:p>
        </w:tc>
        <w:tc>
          <w:tcPr>
            <w:tcW w:w="7512" w:type="dxa"/>
            <w:shd w:val="clear" w:color="auto" w:fill="auto"/>
          </w:tcPr>
          <w:p w14:paraId="43F03DCF" w14:textId="6F18CAF7" w:rsidR="00EA20E4" w:rsidRDefault="00EA20E4" w:rsidP="006B499C">
            <w:pPr>
              <w:spacing w:after="120"/>
              <w:rPr>
                <w:rFonts w:cstheme="minorHAnsi"/>
                <w:lang w:val="en-GB"/>
              </w:rPr>
            </w:pPr>
            <w:r>
              <w:rPr>
                <w:rFonts w:cstheme="minorHAnsi"/>
                <w:lang w:val="en-GB"/>
              </w:rPr>
              <w:t xml:space="preserve">Standardised digital measures </w:t>
            </w:r>
            <w:r w:rsidR="00F10514">
              <w:rPr>
                <w:rFonts w:cstheme="minorHAnsi"/>
                <w:lang w:val="en-GB"/>
              </w:rPr>
              <w:t>were conducted the same across groups:</w:t>
            </w:r>
          </w:p>
          <w:p w14:paraId="6124E78C" w14:textId="67F52DF0" w:rsidR="006B499C" w:rsidRDefault="00EA20E4" w:rsidP="006B499C">
            <w:pPr>
              <w:spacing w:after="120"/>
              <w:rPr>
                <w:rFonts w:cstheme="minorHAnsi"/>
              </w:rPr>
            </w:pPr>
            <w:r>
              <w:rPr>
                <w:rFonts w:cstheme="minorHAnsi"/>
                <w:lang w:val="en-GB"/>
              </w:rPr>
              <w:t>“</w:t>
            </w:r>
            <w:r w:rsidR="00174697" w:rsidRPr="00174697">
              <w:rPr>
                <w:rFonts w:cstheme="minorHAnsi"/>
                <w:lang w:val="en-GB"/>
              </w:rPr>
              <w:t>Participants were then emailed a link to the baseline questionnaires (see Measures below), which they were instructed to complete immediately, and provided with a description of what to expect from the study over the following 30 days</w:t>
            </w:r>
            <w:r w:rsidR="00174697">
              <w:rPr>
                <w:rFonts w:cstheme="minorHAnsi"/>
                <w:lang w:val="en-GB"/>
              </w:rPr>
              <w:t>. …</w:t>
            </w:r>
          </w:p>
          <w:p w14:paraId="4F4BCF5C" w14:textId="77777777" w:rsidR="009B296B" w:rsidRDefault="00174697" w:rsidP="006B499C">
            <w:pPr>
              <w:spacing w:after="120"/>
              <w:rPr>
                <w:rFonts w:cstheme="minorHAnsi"/>
                <w:lang w:val="en-GB"/>
              </w:rPr>
            </w:pPr>
            <w:r>
              <w:rPr>
                <w:rFonts w:cstheme="minorHAnsi"/>
                <w:lang w:val="en-GB"/>
              </w:rPr>
              <w:t xml:space="preserve">[MM </w:t>
            </w:r>
            <w:r w:rsidR="006D6107">
              <w:rPr>
                <w:rFonts w:cstheme="minorHAnsi"/>
                <w:lang w:val="en-GB"/>
              </w:rPr>
              <w:t xml:space="preserve">group] </w:t>
            </w:r>
            <w:r w:rsidR="009B296B" w:rsidRPr="009B296B">
              <w:rPr>
                <w:rFonts w:cstheme="minorHAnsi"/>
                <w:lang w:val="en-GB"/>
              </w:rPr>
              <w:t>Participants were emailed the study questionnaires again following 10 days, which included a set of user experience questions and a note encouraging them to continue using the app each day until the third and final set of questionnaires, which was sent to participants on day 30. Participants that did not complete the final set of questionnaires were sent up to three reminder emails, after which they were considered to have withdrawn.</w:t>
            </w:r>
          </w:p>
          <w:p w14:paraId="483456D1" w14:textId="2C23E2EA" w:rsidR="006D6107" w:rsidRPr="006B499C" w:rsidRDefault="00EA20E4" w:rsidP="006B499C">
            <w:pPr>
              <w:spacing w:after="120"/>
              <w:rPr>
                <w:rFonts w:cstheme="minorHAnsi"/>
              </w:rPr>
            </w:pPr>
            <w:r w:rsidRPr="00EA20E4">
              <w:rPr>
                <w:rFonts w:cstheme="minorHAnsi"/>
                <w:lang w:val="en-GB"/>
              </w:rPr>
              <w:t xml:space="preserve">The WL group were informed that they would not be engaging with any MM content until day 30 of the study (see appendix of ‘S1 Protocol’ for briefing email). As with the MM group, </w:t>
            </w:r>
            <w:r>
              <w:rPr>
                <w:rFonts w:cstheme="minorHAnsi"/>
                <w:lang w:val="en-GB"/>
              </w:rPr>
              <w:t>t</w:t>
            </w:r>
            <w:r w:rsidRPr="00EA20E4">
              <w:rPr>
                <w:rFonts w:cstheme="minorHAnsi"/>
                <w:lang w:val="en-GB"/>
              </w:rPr>
              <w:t xml:space="preserve">hey were instructed to complete </w:t>
            </w:r>
            <w:r w:rsidRPr="00EA20E4">
              <w:rPr>
                <w:rFonts w:cstheme="minorHAnsi"/>
                <w:lang w:val="en-GB"/>
              </w:rPr>
              <w:lastRenderedPageBreak/>
              <w:t xml:space="preserve">follow-up questionnaires at days 10 and </w:t>
            </w:r>
            <w:proofErr w:type="gramStart"/>
            <w:r w:rsidRPr="00EA20E4">
              <w:rPr>
                <w:rFonts w:cstheme="minorHAnsi"/>
                <w:lang w:val="en-GB"/>
              </w:rPr>
              <w:t>30, and</w:t>
            </w:r>
            <w:proofErr w:type="gramEnd"/>
            <w:r w:rsidRPr="00EA20E4">
              <w:rPr>
                <w:rFonts w:cstheme="minorHAnsi"/>
                <w:lang w:val="en-GB"/>
              </w:rPr>
              <w:t xml:space="preserve"> received up to three follow-up emails if they failed to do so</w:t>
            </w:r>
            <w:r>
              <w:rPr>
                <w:rFonts w:cstheme="minorHAnsi"/>
                <w:lang w:val="en-GB"/>
              </w:rPr>
              <w:t>.”</w:t>
            </w:r>
          </w:p>
        </w:tc>
        <w:tc>
          <w:tcPr>
            <w:tcW w:w="2836" w:type="dxa"/>
            <w:shd w:val="clear" w:color="auto" w:fill="auto"/>
          </w:tcPr>
          <w:p w14:paraId="340276E7" w14:textId="7EFA4628" w:rsidR="00C153C1" w:rsidRDefault="004D722D" w:rsidP="00C153C1">
            <w:pPr>
              <w:jc w:val="center"/>
              <w:rPr>
                <w:rFonts w:cstheme="minorHAnsi"/>
              </w:rPr>
            </w:pPr>
            <w:r w:rsidRPr="00076212">
              <w:rPr>
                <w:rFonts w:cstheme="minorHAnsi"/>
                <w:color w:val="00B050"/>
                <w:u w:val="single"/>
              </w:rPr>
              <w:lastRenderedPageBreak/>
              <w:t>N</w:t>
            </w:r>
          </w:p>
          <w:p w14:paraId="33CEF6D0" w14:textId="77777777" w:rsidR="00623C1A" w:rsidRDefault="00623C1A" w:rsidP="00623C1A">
            <w:pPr>
              <w:rPr>
                <w:rFonts w:cstheme="minorHAnsi"/>
              </w:rPr>
            </w:pPr>
          </w:p>
          <w:p w14:paraId="1AF35EFA" w14:textId="60C7664A" w:rsidR="00623C1A" w:rsidRPr="00623C1A" w:rsidRDefault="00623C1A" w:rsidP="00623C1A">
            <w:r w:rsidRPr="00623C1A">
              <w:rPr>
                <w:rFonts w:cstheme="minorHAnsi"/>
                <w:sz w:val="18"/>
                <w:szCs w:val="18"/>
                <w:shd w:val="clear" w:color="auto" w:fill="FAF9F8"/>
              </w:rPr>
              <w:t xml:space="preserve">Comparable methods of outcome measurement (data collection) involve the same measurement methods and thresholds, used at comparable time points. Differences between intervention groups may arise because of ‘diagnostic detection </w:t>
            </w:r>
            <w:proofErr w:type="spellStart"/>
            <w:r w:rsidRPr="00623C1A">
              <w:rPr>
                <w:rFonts w:cstheme="minorHAnsi"/>
                <w:sz w:val="18"/>
                <w:szCs w:val="18"/>
                <w:shd w:val="clear" w:color="auto" w:fill="FAF9F8"/>
              </w:rPr>
              <w:t>bias’</w:t>
            </w:r>
            <w:proofErr w:type="spellEnd"/>
            <w:r w:rsidRPr="00623C1A">
              <w:rPr>
                <w:rFonts w:cstheme="minorHAnsi"/>
                <w:sz w:val="18"/>
                <w:szCs w:val="18"/>
                <w:shd w:val="clear" w:color="auto" w:fill="FAF9F8"/>
              </w:rPr>
              <w:t xml:space="preserve">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00C153C1" w:rsidRPr="001D18A8" w14:paraId="00132CEF" w14:textId="77777777" w:rsidTr="26569B00">
        <w:trPr>
          <w:cantSplit/>
          <w:trHeight w:val="20"/>
        </w:trPr>
        <w:tc>
          <w:tcPr>
            <w:tcW w:w="4248" w:type="dxa"/>
            <w:shd w:val="clear" w:color="auto" w:fill="D9D9D9" w:themeFill="background1" w:themeFillShade="D9"/>
          </w:tcPr>
          <w:p w14:paraId="69A8BB82" w14:textId="488833DC" w:rsidR="00C153C1" w:rsidRPr="004B666A" w:rsidRDefault="00C153C1" w:rsidP="00C153C1">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14:paraId="092E4F3C" w14:textId="13D4D549" w:rsidR="005C1F01" w:rsidRPr="004B666A" w:rsidRDefault="005C1F01" w:rsidP="00C153C1">
            <w:pPr>
              <w:rPr>
                <w:rFonts w:cstheme="minorHAnsi"/>
              </w:rPr>
            </w:pPr>
            <w:r>
              <w:t xml:space="preserve"> </w:t>
            </w:r>
            <w:r w:rsidR="00F10514">
              <w:t>Participants (assessors) were aware:</w:t>
            </w:r>
            <w:r w:rsidR="00F10514" w:rsidRPr="00F10514">
              <w:rPr>
                <w:rFonts w:cstheme="minorHAnsi"/>
                <w:lang w:val="en-GB"/>
              </w:rPr>
              <w:t xml:space="preserve"> </w:t>
            </w:r>
            <w:r w:rsidR="00F10514">
              <w:rPr>
                <w:rFonts w:cstheme="minorHAnsi"/>
                <w:lang w:val="en-GB"/>
              </w:rPr>
              <w:t>“</w:t>
            </w:r>
            <w:r w:rsidR="00F10514" w:rsidRPr="00F10514">
              <w:rPr>
                <w:lang w:val="en-GB"/>
              </w:rPr>
              <w:t>The WL group were informed that they would not be engaging with any MM content until day 30 of the study (see appendix of ‘S1 Protocol’ for briefing email).</w:t>
            </w:r>
            <w:r w:rsidR="00F10514">
              <w:rPr>
                <w:lang w:val="en-GB"/>
              </w:rPr>
              <w:t>”</w:t>
            </w:r>
          </w:p>
        </w:tc>
        <w:tc>
          <w:tcPr>
            <w:tcW w:w="2836" w:type="dxa"/>
            <w:shd w:val="clear" w:color="auto" w:fill="auto"/>
          </w:tcPr>
          <w:p w14:paraId="3BC3A928" w14:textId="5F8E9C39" w:rsidR="00C153C1" w:rsidRDefault="004D722D" w:rsidP="00C153C1">
            <w:pPr>
              <w:jc w:val="center"/>
              <w:rPr>
                <w:rFonts w:cstheme="minorHAnsi"/>
                <w:color w:val="00B050"/>
                <w:u w:val="single"/>
                <w:lang w:val="es-ES"/>
              </w:rPr>
            </w:pPr>
            <w:r w:rsidRPr="003B36FC">
              <w:rPr>
                <w:rFonts w:cstheme="minorHAnsi"/>
                <w:color w:val="FF0000"/>
                <w:lang w:val="es-ES"/>
              </w:rPr>
              <w:t>Y</w:t>
            </w:r>
          </w:p>
          <w:p w14:paraId="3487D5C3" w14:textId="77777777" w:rsidR="001D18A8" w:rsidRDefault="001D18A8" w:rsidP="001D18A8">
            <w:pPr>
              <w:rPr>
                <w:rFonts w:cstheme="minorHAnsi"/>
                <w:color w:val="00B050"/>
                <w:u w:val="single"/>
                <w:lang w:val="es-ES"/>
              </w:rPr>
            </w:pPr>
          </w:p>
          <w:p w14:paraId="50A25E94" w14:textId="6C2FC14C" w:rsidR="001D18A8" w:rsidRPr="001D18A8" w:rsidRDefault="001D18A8" w:rsidP="001D18A8">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00C153C1" w:rsidRPr="001D18A8" w14:paraId="369F3D20" w14:textId="77777777" w:rsidTr="26569B00">
        <w:trPr>
          <w:cantSplit/>
          <w:trHeight w:val="20"/>
        </w:trPr>
        <w:tc>
          <w:tcPr>
            <w:tcW w:w="4248" w:type="dxa"/>
            <w:shd w:val="clear" w:color="auto" w:fill="D9D9D9" w:themeFill="background1" w:themeFillShade="D9"/>
          </w:tcPr>
          <w:p w14:paraId="7AAF8624" w14:textId="54ED8833" w:rsidR="00C153C1" w:rsidRPr="004B666A" w:rsidRDefault="00C153C1" w:rsidP="00C153C1">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14:paraId="3ABA118F" w14:textId="757BD571" w:rsidR="00C153C1" w:rsidRPr="004B666A" w:rsidRDefault="00F10514" w:rsidP="00C153C1">
            <w:pPr>
              <w:rPr>
                <w:rFonts w:cstheme="minorHAnsi"/>
              </w:rPr>
            </w:pPr>
            <w:r>
              <w:rPr>
                <w:rFonts w:cstheme="minorHAnsi"/>
              </w:rPr>
              <w:t>Self-</w:t>
            </w:r>
            <w:r w:rsidR="00CD30C2">
              <w:rPr>
                <w:rFonts w:cstheme="minorHAnsi"/>
              </w:rPr>
              <w:t>report</w:t>
            </w:r>
            <w:r>
              <w:rPr>
                <w:rFonts w:cstheme="minorHAnsi"/>
              </w:rPr>
              <w:t xml:space="preserve"> by participants</w:t>
            </w:r>
            <w:r w:rsidR="00CD30C2">
              <w:rPr>
                <w:rFonts w:cstheme="minorHAnsi"/>
              </w:rPr>
              <w:t xml:space="preserve"> (assessors).</w:t>
            </w:r>
          </w:p>
        </w:tc>
        <w:tc>
          <w:tcPr>
            <w:tcW w:w="2836" w:type="dxa"/>
            <w:shd w:val="clear" w:color="auto" w:fill="auto"/>
          </w:tcPr>
          <w:p w14:paraId="3FA7CC12" w14:textId="633C6494" w:rsidR="00C153C1" w:rsidRDefault="004D722D" w:rsidP="00C153C1">
            <w:pPr>
              <w:jc w:val="center"/>
              <w:rPr>
                <w:rFonts w:cstheme="minorHAnsi"/>
                <w:lang w:val="es-ES"/>
              </w:rPr>
            </w:pPr>
            <w:r w:rsidRPr="003B36FC">
              <w:rPr>
                <w:rFonts w:cstheme="minorHAnsi"/>
                <w:color w:val="FF0000"/>
                <w:lang w:val="es-ES"/>
              </w:rPr>
              <w:t>PY</w:t>
            </w:r>
          </w:p>
          <w:p w14:paraId="4FA7DA1E" w14:textId="77777777" w:rsidR="001D18A8" w:rsidRDefault="001D18A8" w:rsidP="001D18A8">
            <w:pPr>
              <w:rPr>
                <w:rFonts w:cstheme="minorHAnsi"/>
                <w:lang w:val="es-ES"/>
              </w:rPr>
            </w:pPr>
          </w:p>
          <w:p w14:paraId="0F407398" w14:textId="660F2068" w:rsidR="001D18A8" w:rsidRPr="001D18A8" w:rsidRDefault="001D18A8" w:rsidP="001D18A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00C153C1" w:rsidRPr="001D18A8" w14:paraId="76B43D82" w14:textId="77777777" w:rsidTr="26569B00">
        <w:trPr>
          <w:cantSplit/>
          <w:trHeight w:val="20"/>
        </w:trPr>
        <w:tc>
          <w:tcPr>
            <w:tcW w:w="4248" w:type="dxa"/>
            <w:shd w:val="clear" w:color="auto" w:fill="D9D9D9" w:themeFill="background1" w:themeFillShade="D9"/>
          </w:tcPr>
          <w:p w14:paraId="15F8C33A" w14:textId="0444867E" w:rsidR="00C153C1" w:rsidRPr="004B666A" w:rsidRDefault="00C153C1" w:rsidP="00C153C1">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id="2" w:name="_Hlk521515519"/>
            <w:r>
              <w:rPr>
                <w:b/>
              </w:rPr>
              <w:t>Is it likely that assessment of the outcome was influenced by knowledge of intervention received?</w:t>
            </w:r>
            <w:bookmarkEnd w:id="2"/>
          </w:p>
        </w:tc>
        <w:tc>
          <w:tcPr>
            <w:tcW w:w="7512" w:type="dxa"/>
            <w:vMerge/>
          </w:tcPr>
          <w:p w14:paraId="0366504E" w14:textId="77777777" w:rsidR="00C153C1" w:rsidRPr="004B666A" w:rsidRDefault="00C153C1" w:rsidP="00C153C1">
            <w:pPr>
              <w:rPr>
                <w:rFonts w:cstheme="minorHAnsi"/>
              </w:rPr>
            </w:pPr>
          </w:p>
        </w:tc>
        <w:tc>
          <w:tcPr>
            <w:tcW w:w="2836" w:type="dxa"/>
            <w:shd w:val="clear" w:color="auto" w:fill="auto"/>
          </w:tcPr>
          <w:p w14:paraId="5BAF1EB2" w14:textId="5215A212" w:rsidR="00C153C1" w:rsidRDefault="004D722D" w:rsidP="00C153C1">
            <w:pPr>
              <w:jc w:val="center"/>
              <w:rPr>
                <w:rFonts w:cstheme="minorHAnsi"/>
                <w:lang w:val="es-ES"/>
              </w:rPr>
            </w:pPr>
            <w:r w:rsidRPr="003B36FC">
              <w:rPr>
                <w:rFonts w:cstheme="minorHAnsi"/>
                <w:color w:val="00B050"/>
                <w:u w:val="single"/>
                <w:lang w:val="es-ES"/>
              </w:rPr>
              <w:t>PN</w:t>
            </w:r>
          </w:p>
          <w:p w14:paraId="018AF9EE" w14:textId="77777777" w:rsidR="001D18A8" w:rsidRDefault="001D18A8" w:rsidP="001D18A8">
            <w:pPr>
              <w:rPr>
                <w:rFonts w:cstheme="minorHAnsi"/>
                <w:lang w:val="es-ES"/>
              </w:rPr>
            </w:pPr>
          </w:p>
          <w:p w14:paraId="072377B6" w14:textId="6629424E" w:rsidR="001D18A8" w:rsidRPr="001D18A8" w:rsidRDefault="001D18A8" w:rsidP="001D18A8">
            <w:pPr>
              <w:keepNext w:val="0"/>
              <w:rPr>
                <w:lang w:val="en-GB"/>
              </w:rPr>
            </w:pPr>
            <w:r w:rsidRPr="001D18A8">
              <w:rPr>
                <w:rFonts w:cstheme="minorHAnsi"/>
                <w:sz w:val="18"/>
                <w:szCs w:val="18"/>
                <w:shd w:val="clear" w:color="auto" w:fill="FAF9F8"/>
              </w:rPr>
              <w:t>This question distinguishes between situations in which (</w:t>
            </w:r>
            <w:proofErr w:type="spellStart"/>
            <w:r w:rsidRPr="001D18A8">
              <w:rPr>
                <w:rFonts w:cstheme="minorHAnsi"/>
                <w:sz w:val="18"/>
                <w:szCs w:val="18"/>
                <w:shd w:val="clear" w:color="auto" w:fill="FAF9F8"/>
              </w:rPr>
              <w:t>i</w:t>
            </w:r>
            <w:proofErr w:type="spellEnd"/>
            <w:r w:rsidRPr="001D18A8">
              <w:rPr>
                <w:rFonts w:cstheme="minorHAnsi"/>
                <w:sz w:val="18"/>
                <w:szCs w:val="18"/>
                <w:shd w:val="clear" w:color="auto" w:fill="FAF9F8"/>
              </w:rPr>
              <w:t>)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 xml:space="preserve">When there are strong levels of belief in either beneficial or harmful effects of the intervention, it is more likely that the outcome was influenced by knowledge of the intervention received. Examples may include </w:t>
            </w:r>
            <w:r w:rsidRPr="001D18A8">
              <w:rPr>
                <w:rFonts w:cstheme="minorHAnsi"/>
                <w:sz w:val="18"/>
                <w:szCs w:val="18"/>
                <w:shd w:val="clear" w:color="auto" w:fill="FAF9F8"/>
              </w:rPr>
              <w:lastRenderedPageBreak/>
              <w:t>patient-reported symptoms in trials of homeopathy, or assessments of recovery of function by a physiotherapist who delivered the intervention.</w:t>
            </w:r>
          </w:p>
        </w:tc>
      </w:tr>
      <w:tr w:rsidR="00E677C1" w:rsidRPr="004B666A" w14:paraId="2CA9CD77" w14:textId="77777777" w:rsidTr="26569B00">
        <w:trPr>
          <w:cantSplit/>
          <w:trHeight w:val="943"/>
        </w:trPr>
        <w:tc>
          <w:tcPr>
            <w:tcW w:w="4248" w:type="dxa"/>
            <w:shd w:val="clear" w:color="auto" w:fill="D9D9D9" w:themeFill="background1" w:themeFillShade="D9"/>
          </w:tcPr>
          <w:p w14:paraId="7BA88D7F" w14:textId="77777777" w:rsidR="00E677C1" w:rsidRPr="004B666A" w:rsidRDefault="00E677C1" w:rsidP="003C3813">
            <w:pPr>
              <w:rPr>
                <w:rFonts w:cstheme="minorHAnsi"/>
                <w:b/>
              </w:rPr>
            </w:pPr>
            <w:r w:rsidRPr="004B666A">
              <w:rPr>
                <w:rFonts w:cstheme="minorHAnsi"/>
                <w:b/>
              </w:rPr>
              <w:lastRenderedPageBreak/>
              <w:t>Risk-of-bias judgement</w:t>
            </w:r>
          </w:p>
        </w:tc>
        <w:tc>
          <w:tcPr>
            <w:tcW w:w="7512" w:type="dxa"/>
            <w:shd w:val="clear" w:color="auto" w:fill="auto"/>
          </w:tcPr>
          <w:p w14:paraId="0C494949" w14:textId="6A0BB9AF" w:rsidR="00E677C1" w:rsidRPr="004B666A" w:rsidRDefault="00E677C1" w:rsidP="003C3813">
            <w:pPr>
              <w:rPr>
                <w:rFonts w:cstheme="minorHAnsi"/>
              </w:rPr>
            </w:pPr>
          </w:p>
        </w:tc>
        <w:tc>
          <w:tcPr>
            <w:tcW w:w="2836" w:type="dxa"/>
            <w:shd w:val="clear" w:color="auto" w:fill="auto"/>
          </w:tcPr>
          <w:p w14:paraId="728D2AA4" w14:textId="28E3E2F8" w:rsidR="00E677C1"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941ED05" w14:textId="77777777" w:rsidTr="26569B00">
        <w:trPr>
          <w:cantSplit/>
          <w:trHeight w:val="20"/>
        </w:trPr>
        <w:tc>
          <w:tcPr>
            <w:tcW w:w="4248" w:type="dxa"/>
            <w:shd w:val="clear" w:color="auto" w:fill="D9D9D9" w:themeFill="background1" w:themeFillShade="D9"/>
          </w:tcPr>
          <w:p w14:paraId="093C19B0" w14:textId="77777777" w:rsidR="0079530F" w:rsidRPr="004B666A" w:rsidRDefault="0079530F" w:rsidP="0079530F">
            <w:pPr>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79530F" w:rsidRPr="004B666A" w:rsidRDefault="0079530F" w:rsidP="0079530F">
            <w:pPr>
              <w:rPr>
                <w:rFonts w:cstheme="minorHAnsi"/>
              </w:rPr>
            </w:pPr>
          </w:p>
        </w:tc>
        <w:tc>
          <w:tcPr>
            <w:tcW w:w="2836" w:type="dxa"/>
            <w:shd w:val="clear" w:color="auto" w:fill="auto"/>
          </w:tcPr>
          <w:p w14:paraId="0A43E201" w14:textId="259AA6EB" w:rsidR="0079530F" w:rsidRPr="004B666A" w:rsidRDefault="26569B00" w:rsidP="26569B00">
            <w:pPr>
              <w:jc w:val="center"/>
            </w:pPr>
            <w:r w:rsidRPr="26569B00">
              <w:rPr>
                <w:rFonts w:cstheme="minorBidi"/>
              </w:rPr>
              <w:t>Unpredictable</w:t>
            </w:r>
          </w:p>
        </w:tc>
      </w:tr>
    </w:tbl>
    <w:p w14:paraId="212EBC8C" w14:textId="77777777" w:rsidR="00730D7D" w:rsidRDefault="00730D7D" w:rsidP="003C3813">
      <w:pPr>
        <w:pStyle w:val="Subtitle"/>
      </w:pPr>
    </w:p>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4B666A" w:rsidRDefault="003C3813" w:rsidP="003C3813">
      <w:pPr>
        <w:pStyle w:val="Subtitle"/>
      </w:pPr>
      <w:r>
        <w:lastRenderedPageBreak/>
        <w:t xml:space="preserve">Domain 5: </w:t>
      </w:r>
      <w:r w:rsidR="00E677C1" w:rsidRPr="004B666A">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2860F0B" w14:textId="77777777" w:rsidTr="0079530F">
        <w:trPr>
          <w:cantSplit/>
          <w:trHeight w:val="20"/>
        </w:trPr>
        <w:tc>
          <w:tcPr>
            <w:tcW w:w="4248"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rPr>
                <w:rFonts w:cstheme="minorHAnsi"/>
              </w:rPr>
            </w:pPr>
            <w:r w:rsidRPr="004B666A">
              <w:rPr>
                <w:rFonts w:cstheme="minorHAnsi"/>
                <w:b/>
              </w:rPr>
              <w:t>Signalling questions</w:t>
            </w:r>
          </w:p>
        </w:tc>
        <w:tc>
          <w:tcPr>
            <w:tcW w:w="7512"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79530F">
        <w:trPr>
          <w:cantSplit/>
          <w:trHeight w:val="20"/>
        </w:trPr>
        <w:tc>
          <w:tcPr>
            <w:tcW w:w="4248"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rPr>
                <w:rFonts w:cstheme="minorHAnsi"/>
                <w:b/>
              </w:rPr>
            </w:pPr>
            <w:r w:rsidRPr="00165C67">
              <w:rPr>
                <w:rFonts w:cstheme="minorHAnsi"/>
                <w:b/>
                <w:lang w:val="en-US"/>
              </w:rPr>
              <w:t xml:space="preserve">5.1 Were the data that produced this result </w:t>
            </w:r>
            <w:proofErr w:type="spellStart"/>
            <w:r w:rsidRPr="00165C67">
              <w:rPr>
                <w:rFonts w:cstheme="minorHAnsi"/>
                <w:b/>
                <w:lang w:val="en-US"/>
              </w:rPr>
              <w:t>analysed</w:t>
            </w:r>
            <w:proofErr w:type="spellEnd"/>
            <w:r w:rsidRPr="00165C67">
              <w:rPr>
                <w:rFonts w:cstheme="minorHAnsi"/>
                <w:b/>
                <w:lang w:val="en-US"/>
              </w:rPr>
              <w:t xml:space="preserve"> in accordance with a pre-specified analysis plan that was finalized before unblinded outcome data were available for analysis?</w:t>
            </w:r>
          </w:p>
        </w:tc>
        <w:tc>
          <w:tcPr>
            <w:tcW w:w="7512" w:type="dxa"/>
            <w:tcBorders>
              <w:top w:val="nil"/>
              <w:bottom w:val="single" w:sz="4" w:space="0" w:color="auto"/>
            </w:tcBorders>
            <w:shd w:val="clear" w:color="auto" w:fill="auto"/>
          </w:tcPr>
          <w:p w14:paraId="37755D66" w14:textId="5A987445" w:rsidR="006869FF" w:rsidRPr="00B81979" w:rsidRDefault="008E608B" w:rsidP="00C153C1">
            <w:pPr>
              <w:rPr>
                <w:rFonts w:cstheme="minorHAnsi"/>
                <w:lang w:val="en-US"/>
              </w:rPr>
            </w:pPr>
            <w:r>
              <w:rPr>
                <w:rFonts w:cstheme="minorHAnsi"/>
                <w:lang w:val="en-US"/>
              </w:rPr>
              <w:t xml:space="preserve">The study protocol includes a pre-specified analysis plan, information about the aims and objectives as well as outcome measures/timepoints. Although there’s no clear date of this study protocol and registration of the study was done retrospectively, it is assumed this study protocol was used to obtain ethical approval prior to the study and was therefore </w:t>
            </w:r>
            <w:r w:rsidR="003A0D3F">
              <w:rPr>
                <w:rFonts w:cstheme="minorHAnsi"/>
                <w:lang w:val="en-US"/>
              </w:rPr>
              <w:t>prospective.</w:t>
            </w:r>
            <w:r w:rsidR="00B44D3B">
              <w:rPr>
                <w:rFonts w:cstheme="minorHAnsi"/>
                <w:lang w:val="en-US"/>
              </w:rPr>
              <w:t xml:space="preserve"> </w:t>
            </w:r>
          </w:p>
        </w:tc>
        <w:tc>
          <w:tcPr>
            <w:tcW w:w="2836" w:type="dxa"/>
            <w:tcBorders>
              <w:top w:val="nil"/>
              <w:bottom w:val="single" w:sz="4" w:space="0" w:color="auto"/>
              <w:right w:val="single" w:sz="4" w:space="0" w:color="auto"/>
            </w:tcBorders>
            <w:shd w:val="clear" w:color="auto" w:fill="auto"/>
          </w:tcPr>
          <w:p w14:paraId="50676A0A" w14:textId="5A87D7CF" w:rsidR="00C153C1" w:rsidRDefault="004D722D" w:rsidP="00C153C1">
            <w:pPr>
              <w:jc w:val="center"/>
              <w:rPr>
                <w:rFonts w:cstheme="minorHAnsi"/>
                <w:color w:val="00B050"/>
                <w:u w:val="single"/>
              </w:rPr>
            </w:pPr>
            <w:r w:rsidRPr="00076212">
              <w:rPr>
                <w:rFonts w:cstheme="minorHAnsi"/>
                <w:color w:val="00B050"/>
                <w:u w:val="single"/>
              </w:rPr>
              <w:t>PY</w:t>
            </w:r>
          </w:p>
          <w:p w14:paraId="73CC11CA" w14:textId="77777777" w:rsidR="00A563C9" w:rsidRDefault="00A563C9" w:rsidP="00A563C9">
            <w:pPr>
              <w:rPr>
                <w:rFonts w:asciiTheme="minorHAnsi" w:hAnsiTheme="minorHAnsi" w:cstheme="minorHAnsi"/>
                <w:sz w:val="18"/>
                <w:szCs w:val="18"/>
                <w:shd w:val="clear" w:color="auto" w:fill="FAF9F8"/>
              </w:rPr>
            </w:pPr>
          </w:p>
          <w:p w14:paraId="2C8CD677" w14:textId="39AE6E59" w:rsidR="00A563C9" w:rsidRPr="00A563C9" w:rsidRDefault="00A563C9" w:rsidP="00A563C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00C153C1" w:rsidRPr="004B666A" w14:paraId="3175C4C5" w14:textId="77777777" w:rsidTr="0079530F">
        <w:trPr>
          <w:cantSplit/>
          <w:trHeight w:val="20"/>
        </w:trPr>
        <w:tc>
          <w:tcPr>
            <w:tcW w:w="4248"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rPr>
                <w:rFonts w:cstheme="minorHAnsi"/>
                <w:b/>
              </w:rPr>
            </w:pPr>
            <w:r w:rsidRPr="00165C67">
              <w:rPr>
                <w:rFonts w:cstheme="minorHAnsi"/>
                <w:b/>
                <w:lang w:val="en-US"/>
              </w:rPr>
              <w:t xml:space="preserve">Is the numerical result being assessed likely to have been selected, </w:t>
            </w:r>
            <w:proofErr w:type="gramStart"/>
            <w:r w:rsidRPr="00165C67">
              <w:rPr>
                <w:rFonts w:cstheme="minorHAnsi"/>
                <w:b/>
                <w:lang w:val="en-US"/>
              </w:rPr>
              <w:t>on the basis of</w:t>
            </w:r>
            <w:proofErr w:type="gramEnd"/>
            <w:r w:rsidRPr="00165C67">
              <w:rPr>
                <w:rFonts w:cstheme="minorHAnsi"/>
                <w:b/>
                <w:lang w:val="en-US"/>
              </w:rPr>
              <w:t xml:space="preserve"> the results, from...</w:t>
            </w:r>
          </w:p>
        </w:tc>
        <w:tc>
          <w:tcPr>
            <w:tcW w:w="7512"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79530F">
        <w:trPr>
          <w:cantSplit/>
          <w:trHeight w:val="1145"/>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rPr>
                <w:rFonts w:cstheme="minorHAnsi"/>
                <w:b/>
              </w:rPr>
            </w:pPr>
            <w:r w:rsidRPr="00165C67">
              <w:rPr>
                <w:rFonts w:cstheme="minorHAnsi"/>
                <w:b/>
                <w:lang w:val="en-US"/>
              </w:rPr>
              <w:t>5.2. ... multiple eligible outcome measurements (</w:t>
            </w:r>
            <w:proofErr w:type="gramStart"/>
            <w:r w:rsidRPr="00165C67">
              <w:rPr>
                <w:rFonts w:cstheme="minorHAnsi"/>
                <w:b/>
                <w:lang w:val="en-US"/>
              </w:rPr>
              <w:t>e.g.</w:t>
            </w:r>
            <w:proofErr w:type="gramEnd"/>
            <w:r w:rsidRPr="00165C67">
              <w:rPr>
                <w:rFonts w:cstheme="minorHAnsi"/>
                <w:b/>
                <w:lang w:val="en-US"/>
              </w:rPr>
              <w:t xml:space="preserve"> scales, definitions, time points) within the outcome domain?</w:t>
            </w:r>
          </w:p>
        </w:tc>
        <w:tc>
          <w:tcPr>
            <w:tcW w:w="7512" w:type="dxa"/>
            <w:tcBorders>
              <w:top w:val="single" w:sz="4" w:space="0" w:color="auto"/>
              <w:bottom w:val="single" w:sz="4" w:space="0" w:color="auto"/>
            </w:tcBorders>
            <w:shd w:val="clear" w:color="auto" w:fill="auto"/>
          </w:tcPr>
          <w:p w14:paraId="4248022F" w14:textId="014AEDD1" w:rsidR="00C153C1" w:rsidRPr="004B3802" w:rsidRDefault="0015765C" w:rsidP="00C153C1">
            <w:pPr>
              <w:rPr>
                <w:rFonts w:cstheme="minorHAnsi"/>
                <w:lang w:val="en-US"/>
              </w:rPr>
            </w:pPr>
            <w:r>
              <w:rPr>
                <w:rFonts w:cstheme="minorHAnsi"/>
                <w:lang w:val="en-US"/>
              </w:rPr>
              <w:t>Protocol includes all relevant measures and timepoints reported in final research paper.</w:t>
            </w:r>
          </w:p>
        </w:tc>
        <w:tc>
          <w:tcPr>
            <w:tcW w:w="2836" w:type="dxa"/>
            <w:tcBorders>
              <w:top w:val="single" w:sz="4" w:space="0" w:color="auto"/>
              <w:bottom w:val="single" w:sz="4" w:space="0" w:color="auto"/>
              <w:right w:val="single" w:sz="4" w:space="0" w:color="auto"/>
            </w:tcBorders>
            <w:shd w:val="clear" w:color="auto" w:fill="auto"/>
          </w:tcPr>
          <w:p w14:paraId="30EAD677" w14:textId="4AC87843" w:rsidR="00C153C1" w:rsidRPr="00E23A46" w:rsidRDefault="004D722D" w:rsidP="00C153C1">
            <w:pPr>
              <w:jc w:val="center"/>
              <w:rPr>
                <w:rFonts w:cstheme="minorHAnsi"/>
                <w:lang w:val="en-US"/>
              </w:rPr>
            </w:pPr>
            <w:r w:rsidRPr="00076212">
              <w:rPr>
                <w:rFonts w:cstheme="minorHAnsi"/>
                <w:color w:val="00B050"/>
                <w:u w:val="single"/>
              </w:rPr>
              <w:t>PN</w:t>
            </w:r>
          </w:p>
          <w:p w14:paraId="25507F50" w14:textId="77777777" w:rsidR="00A563C9" w:rsidRDefault="00A563C9" w:rsidP="001D18A8">
            <w:pPr>
              <w:rPr>
                <w:rFonts w:asciiTheme="minorHAnsi" w:hAnsiTheme="minorHAnsi" w:cstheme="minorHAnsi"/>
                <w:sz w:val="18"/>
                <w:szCs w:val="18"/>
                <w:shd w:val="clear" w:color="auto" w:fill="FAF9F8"/>
              </w:rPr>
            </w:pPr>
          </w:p>
          <w:p w14:paraId="49A43C5E" w14:textId="76D35AD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14:paraId="48CBA552" w14:textId="3CACC188"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Selection</w:t>
            </w:r>
            <w:r>
              <w:rPr>
                <w:rFonts w:ascii="Arial" w:hAnsi="Arial" w:cs="Arial"/>
                <w:sz w:val="25"/>
                <w:szCs w:val="25"/>
                <w:shd w:val="clear" w:color="auto" w:fill="FAF9F8"/>
              </w:rPr>
              <w:t xml:space="preserve">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14:paraId="1A860BE8" w14:textId="77777777" w:rsidR="00A563C9" w:rsidRDefault="00A563C9" w:rsidP="001D18A8">
            <w:pPr>
              <w:rPr>
                <w:rFonts w:asciiTheme="minorHAnsi" w:hAnsiTheme="minorHAnsi" w:cstheme="minorHAnsi"/>
                <w:sz w:val="18"/>
                <w:szCs w:val="18"/>
                <w:shd w:val="clear" w:color="auto" w:fill="FAF9F8"/>
              </w:rPr>
            </w:pPr>
          </w:p>
          <w:p w14:paraId="4861C500" w14:textId="1C30E320"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14:paraId="68B3766D" w14:textId="449FFAB5" w:rsidR="001D18A8" w:rsidRPr="00D27846" w:rsidRDefault="001D18A8" w:rsidP="001D18A8">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14:paraId="0266D11D" w14:textId="315B81C9" w:rsidR="00D27846" w:rsidRDefault="00D27846" w:rsidP="001D18A8">
            <w:pPr>
              <w:rPr>
                <w:rFonts w:cstheme="minorHAnsi"/>
                <w:sz w:val="18"/>
                <w:szCs w:val="18"/>
                <w:shd w:val="clear" w:color="auto" w:fill="FAF9F8"/>
              </w:rPr>
            </w:pPr>
            <w:r w:rsidRPr="00D27846">
              <w:rPr>
                <w:rFonts w:cstheme="minorHAnsi"/>
                <w:sz w:val="18"/>
                <w:szCs w:val="18"/>
                <w:shd w:val="clear" w:color="auto" w:fill="FAF9F8"/>
              </w:rPr>
              <w:t>O</w:t>
            </w:r>
            <w:r w:rsidR="001D18A8" w:rsidRPr="00D27846">
              <w:rPr>
                <w:rFonts w:asciiTheme="minorHAnsi" w:hAnsiTheme="minorHAnsi" w:cstheme="minorHAnsi"/>
                <w:sz w:val="18"/>
                <w:szCs w:val="18"/>
                <w:shd w:val="clear" w:color="auto" w:fill="FAF9F8"/>
              </w:rPr>
              <w:t>r</w:t>
            </w:r>
          </w:p>
          <w:p w14:paraId="249AAAD5"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14:paraId="645C7C62" w14:textId="4B1CA2B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14:paraId="6262E2B2"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14:paraId="37138D0F" w14:textId="77777777" w:rsidR="00D27846" w:rsidRDefault="00D27846" w:rsidP="001D18A8">
            <w:pPr>
              <w:rPr>
                <w:rFonts w:cstheme="minorHAnsi"/>
                <w:sz w:val="18"/>
                <w:szCs w:val="18"/>
                <w:shd w:val="clear" w:color="auto" w:fill="FAF9F8"/>
              </w:rPr>
            </w:pPr>
          </w:p>
          <w:p w14:paraId="0CBCDE11"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14:paraId="30DBA261" w14:textId="04174BA0" w:rsidR="001D18A8" w:rsidRPr="00D27846" w:rsidRDefault="001D18A8" w:rsidP="001D18A8">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00D27846" w:rsidRPr="00D27846">
              <w:rPr>
                <w:rFonts w:asciiTheme="minorHAnsi" w:hAnsiTheme="minorHAnsi" w:cstheme="minorHAnsi"/>
                <w:sz w:val="18"/>
                <w:szCs w:val="18"/>
                <w:shd w:val="clear" w:color="auto" w:fill="FAF9F8"/>
              </w:rPr>
              <w:t>t.</w:t>
            </w:r>
          </w:p>
          <w:p w14:paraId="5F889D43" w14:textId="6463EE22" w:rsidR="001D18A8" w:rsidRPr="001D18A8" w:rsidRDefault="001D18A8" w:rsidP="001D18A8"/>
        </w:tc>
      </w:tr>
      <w:tr w:rsidR="00C153C1" w:rsidRPr="004B666A" w14:paraId="57CD2BB2" w14:textId="77777777" w:rsidTr="0079530F">
        <w:trPr>
          <w:cantSplit/>
          <w:trHeight w:val="1261"/>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rPr>
                <w:rFonts w:cstheme="minorHAnsi"/>
                <w:b/>
              </w:rPr>
            </w:pPr>
            <w:r w:rsidRPr="00165C67">
              <w:rPr>
                <w:rFonts w:cstheme="minorHAnsi"/>
                <w:b/>
                <w:lang w:val="en-US"/>
              </w:rPr>
              <w:lastRenderedPageBreak/>
              <w:t>5.3 ... multiple eligible analyses of the data?</w:t>
            </w:r>
          </w:p>
        </w:tc>
        <w:tc>
          <w:tcPr>
            <w:tcW w:w="7512" w:type="dxa"/>
            <w:tcBorders>
              <w:top w:val="single" w:sz="4" w:space="0" w:color="auto"/>
              <w:bottom w:val="single" w:sz="4" w:space="0" w:color="auto"/>
            </w:tcBorders>
            <w:shd w:val="clear" w:color="auto" w:fill="auto"/>
          </w:tcPr>
          <w:p w14:paraId="1A4E41B6" w14:textId="124DD898" w:rsidR="00C153C1" w:rsidRPr="004B666A" w:rsidRDefault="0015765C" w:rsidP="005B2F56">
            <w:pPr>
              <w:rPr>
                <w:rFonts w:cstheme="minorHAnsi"/>
              </w:rPr>
            </w:pPr>
            <w:r>
              <w:rPr>
                <w:rFonts w:cstheme="minorHAnsi"/>
              </w:rPr>
              <w:t>Analysis of the data was pre-specified in study protocol and received ethical approval – everything was fully reported.</w:t>
            </w:r>
          </w:p>
        </w:tc>
        <w:tc>
          <w:tcPr>
            <w:tcW w:w="2836" w:type="dxa"/>
            <w:tcBorders>
              <w:top w:val="single" w:sz="4" w:space="0" w:color="auto"/>
              <w:bottom w:val="single" w:sz="4" w:space="0" w:color="auto"/>
              <w:right w:val="single" w:sz="4" w:space="0" w:color="auto"/>
            </w:tcBorders>
            <w:shd w:val="clear" w:color="auto" w:fill="auto"/>
          </w:tcPr>
          <w:p w14:paraId="165678FA" w14:textId="10A9E315" w:rsidR="00C153C1" w:rsidRDefault="004D722D" w:rsidP="00C153C1">
            <w:pPr>
              <w:jc w:val="center"/>
              <w:rPr>
                <w:rFonts w:cstheme="minorHAnsi"/>
              </w:rPr>
            </w:pPr>
            <w:r w:rsidRPr="00076212">
              <w:rPr>
                <w:rFonts w:cstheme="minorHAnsi"/>
                <w:color w:val="00B050"/>
                <w:u w:val="single"/>
              </w:rPr>
              <w:t>PN</w:t>
            </w:r>
          </w:p>
          <w:p w14:paraId="09245779" w14:textId="77777777" w:rsidR="00A563C9" w:rsidRDefault="00A563C9" w:rsidP="00D27846">
            <w:pPr>
              <w:rPr>
                <w:rFonts w:asciiTheme="minorHAnsi" w:hAnsiTheme="minorHAnsi" w:cstheme="minorHAnsi"/>
                <w:sz w:val="18"/>
                <w:szCs w:val="18"/>
                <w:shd w:val="clear" w:color="auto" w:fill="FAF9F8"/>
              </w:rPr>
            </w:pPr>
          </w:p>
          <w:p w14:paraId="473BAF9E" w14:textId="23838F7C" w:rsidR="001D18A8" w:rsidRPr="00D27846" w:rsidRDefault="001D18A8" w:rsidP="00D27846">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 xml:space="preserve">that a measurement was analysed in multiple eligible ways, but data for only one or a subset of analyses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w:t>
            </w:r>
          </w:p>
        </w:tc>
      </w:tr>
      <w:tr w:rsidR="00E677C1" w:rsidRPr="004B666A" w14:paraId="7ADF0A36" w14:textId="77777777" w:rsidTr="0079530F">
        <w:trPr>
          <w:cantSplit/>
          <w:trHeight w:val="113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E677C1" w:rsidRPr="004B666A" w:rsidRDefault="00E677C1" w:rsidP="003C3813">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sz="4" w:space="0" w:color="auto"/>
              <w:bottom w:val="single" w:sz="4" w:space="0" w:color="auto"/>
            </w:tcBorders>
            <w:shd w:val="clear" w:color="auto" w:fill="auto"/>
          </w:tcPr>
          <w:p w14:paraId="54D6904B" w14:textId="77777777" w:rsidR="00E677C1" w:rsidRPr="004B666A" w:rsidRDefault="00E677C1" w:rsidP="003C3813">
            <w:pPr>
              <w:tabs>
                <w:tab w:val="left" w:pos="960"/>
              </w:tabs>
              <w:autoSpaceDE w:val="0"/>
              <w:autoSpaceDN w:val="0"/>
              <w:adjustRightInd w:val="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4F7AE8E1" w:rsidR="00E677C1" w:rsidRPr="004B666A" w:rsidRDefault="00E677C1" w:rsidP="003C3813">
            <w:pPr>
              <w:tabs>
                <w:tab w:val="left" w:pos="960"/>
              </w:tabs>
              <w:autoSpaceDE w:val="0"/>
              <w:autoSpaceDN w:val="0"/>
              <w:adjustRightInd w:val="0"/>
              <w:jc w:val="center"/>
              <w:rPr>
                <w:rFonts w:cstheme="minorHAnsi"/>
              </w:rPr>
            </w:pPr>
            <w:r w:rsidRPr="004B666A">
              <w:rPr>
                <w:rFonts w:cstheme="minorHAnsi"/>
              </w:rPr>
              <w:t>Low</w:t>
            </w:r>
            <w:r w:rsidR="005B2F56">
              <w:rPr>
                <w:rFonts w:cstheme="minorHAnsi"/>
              </w:rPr>
              <w:t xml:space="preserve"> </w:t>
            </w:r>
          </w:p>
        </w:tc>
      </w:tr>
      <w:tr w:rsidR="0079530F" w:rsidRPr="004B666A" w14:paraId="6200D362" w14:textId="77777777" w:rsidTr="0079530F">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79530F" w:rsidRPr="004B666A" w:rsidRDefault="0079530F" w:rsidP="0079530F">
            <w:pPr>
              <w:rPr>
                <w:rFonts w:cstheme="minorHAnsi"/>
              </w:rPr>
            </w:pPr>
            <w:r w:rsidRPr="004B666A">
              <w:rPr>
                <w:rFonts w:cstheme="minorHAnsi"/>
              </w:rPr>
              <w:t>Optional: What is the predicted direction of bias due to selection of the reported result?</w:t>
            </w:r>
          </w:p>
        </w:tc>
        <w:tc>
          <w:tcPr>
            <w:tcW w:w="7512" w:type="dxa"/>
            <w:tcBorders>
              <w:top w:val="single" w:sz="4" w:space="0" w:color="auto"/>
              <w:bottom w:val="single" w:sz="4" w:space="0" w:color="auto"/>
            </w:tcBorders>
            <w:shd w:val="clear" w:color="auto" w:fill="auto"/>
          </w:tcPr>
          <w:p w14:paraId="2E58ACAC" w14:textId="77777777" w:rsidR="0079530F" w:rsidRPr="004B666A" w:rsidRDefault="0079530F" w:rsidP="0079530F">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3944D947" w:rsidR="0079530F" w:rsidRPr="004B666A" w:rsidRDefault="005B2F56" w:rsidP="0079530F">
            <w:pPr>
              <w:jc w:val="center"/>
              <w:rPr>
                <w:rFonts w:cstheme="minorHAnsi"/>
              </w:rPr>
            </w:pPr>
            <w:r>
              <w:rPr>
                <w:rFonts w:cstheme="minorHAnsi"/>
              </w:rPr>
              <w:t xml:space="preserve">NA </w:t>
            </w:r>
          </w:p>
        </w:tc>
      </w:tr>
    </w:tbl>
    <w:p w14:paraId="54BA47BE" w14:textId="77777777" w:rsidR="00E677C1" w:rsidRDefault="00E677C1" w:rsidP="003C3813">
      <w:pPr>
        <w:rPr>
          <w:rFonts w:cstheme="minorHAnsi"/>
        </w:rPr>
      </w:pPr>
    </w:p>
    <w:p w14:paraId="095F2882" w14:textId="77777777" w:rsidR="00730D7D" w:rsidRDefault="00730D7D">
      <w:pPr>
        <w:spacing w:after="160" w:line="259" w:lineRule="auto"/>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26569B00">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28CFD6ED" w:rsidR="00076212" w:rsidRPr="00531A02" w:rsidRDefault="00076212" w:rsidP="00C62D50">
            <w:pPr>
              <w:tabs>
                <w:tab w:val="left" w:pos="960"/>
              </w:tabs>
              <w:autoSpaceDE w:val="0"/>
              <w:autoSpaceDN w:val="0"/>
              <w:adjustRightInd w:val="0"/>
              <w:rPr>
                <w:rFonts w:cstheme="minorHAnsi"/>
                <w:lang w:val="en-US"/>
              </w:rPr>
            </w:pPr>
          </w:p>
        </w:tc>
        <w:tc>
          <w:tcPr>
            <w:tcW w:w="2552" w:type="dxa"/>
            <w:tcBorders>
              <w:top w:val="single" w:sz="4" w:space="0" w:color="auto"/>
              <w:bottom w:val="single" w:sz="4" w:space="0" w:color="auto"/>
              <w:right w:val="single" w:sz="4" w:space="0" w:color="auto"/>
            </w:tcBorders>
            <w:shd w:val="clear" w:color="auto" w:fill="auto"/>
          </w:tcPr>
          <w:p w14:paraId="1B571186" w14:textId="4CA3304A" w:rsidR="00076212" w:rsidRPr="004B666A" w:rsidRDefault="26569B00" w:rsidP="26569B00">
            <w:pPr>
              <w:tabs>
                <w:tab w:val="left" w:pos="960"/>
              </w:tabs>
              <w:jc w:val="center"/>
            </w:pPr>
            <w:r w:rsidRPr="26569B00">
              <w:rPr>
                <w:rFonts w:cstheme="minorBidi"/>
              </w:rPr>
              <w:t>High</w:t>
            </w:r>
          </w:p>
        </w:tc>
      </w:tr>
      <w:tr w:rsidR="0079530F" w:rsidRPr="004B666A" w14:paraId="70BBF722" w14:textId="77777777" w:rsidTr="26569B00">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39976BB0" w:rsidR="0079530F" w:rsidRPr="004B666A" w:rsidRDefault="26569B00" w:rsidP="26569B00">
            <w:pPr>
              <w:jc w:val="center"/>
              <w:rPr>
                <w:rFonts w:cstheme="minorBidi"/>
              </w:rPr>
            </w:pPr>
            <w:r w:rsidRPr="26569B00">
              <w:rPr>
                <w:rFonts w:cstheme="minorBidi"/>
              </w:rPr>
              <w:t>Towards null</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79584" w14:textId="77777777" w:rsidR="008F3A05" w:rsidRDefault="008F3A05" w:rsidP="006B1069">
      <w:r>
        <w:separator/>
      </w:r>
    </w:p>
  </w:endnote>
  <w:endnote w:type="continuationSeparator" w:id="0">
    <w:p w14:paraId="01100521" w14:textId="77777777" w:rsidR="008F3A05" w:rsidRDefault="008F3A05" w:rsidP="006B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02492" w14:textId="77777777" w:rsidR="008F3A05" w:rsidRDefault="008F3A05" w:rsidP="006B1069">
      <w:r>
        <w:separator/>
      </w:r>
    </w:p>
  </w:footnote>
  <w:footnote w:type="continuationSeparator" w:id="0">
    <w:p w14:paraId="422C5925" w14:textId="77777777" w:rsidR="008F3A05" w:rsidRDefault="008F3A05" w:rsidP="006B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34946"/>
    <w:rsid w:val="000457EE"/>
    <w:rsid w:val="0007101B"/>
    <w:rsid w:val="000722D3"/>
    <w:rsid w:val="00076212"/>
    <w:rsid w:val="000A2590"/>
    <w:rsid w:val="000A490D"/>
    <w:rsid w:val="000E24E3"/>
    <w:rsid w:val="000F57E8"/>
    <w:rsid w:val="00114C14"/>
    <w:rsid w:val="001162C8"/>
    <w:rsid w:val="0015765C"/>
    <w:rsid w:val="001737C1"/>
    <w:rsid w:val="00174697"/>
    <w:rsid w:val="00177AEB"/>
    <w:rsid w:val="001B385C"/>
    <w:rsid w:val="001D18A8"/>
    <w:rsid w:val="001F04C2"/>
    <w:rsid w:val="00221FD2"/>
    <w:rsid w:val="0023251F"/>
    <w:rsid w:val="002B072F"/>
    <w:rsid w:val="002E4B2B"/>
    <w:rsid w:val="002F78AD"/>
    <w:rsid w:val="003373FE"/>
    <w:rsid w:val="003414A1"/>
    <w:rsid w:val="00341861"/>
    <w:rsid w:val="00343345"/>
    <w:rsid w:val="00350B4F"/>
    <w:rsid w:val="00377210"/>
    <w:rsid w:val="00391E05"/>
    <w:rsid w:val="003A0D3F"/>
    <w:rsid w:val="003A2F5E"/>
    <w:rsid w:val="003B36AF"/>
    <w:rsid w:val="003B36FC"/>
    <w:rsid w:val="003C2F57"/>
    <w:rsid w:val="003C3813"/>
    <w:rsid w:val="00403E6A"/>
    <w:rsid w:val="00405A6D"/>
    <w:rsid w:val="00405BF1"/>
    <w:rsid w:val="004168A7"/>
    <w:rsid w:val="00420E6C"/>
    <w:rsid w:val="00423589"/>
    <w:rsid w:val="00446AB7"/>
    <w:rsid w:val="004568D8"/>
    <w:rsid w:val="00482C9D"/>
    <w:rsid w:val="004945CF"/>
    <w:rsid w:val="00495C3A"/>
    <w:rsid w:val="004B24A7"/>
    <w:rsid w:val="004B3802"/>
    <w:rsid w:val="004B666A"/>
    <w:rsid w:val="004D722D"/>
    <w:rsid w:val="00507ECD"/>
    <w:rsid w:val="005127E9"/>
    <w:rsid w:val="00517FCF"/>
    <w:rsid w:val="00531A02"/>
    <w:rsid w:val="00535CAD"/>
    <w:rsid w:val="00541655"/>
    <w:rsid w:val="00544754"/>
    <w:rsid w:val="00571133"/>
    <w:rsid w:val="00581ED2"/>
    <w:rsid w:val="00584878"/>
    <w:rsid w:val="005909E4"/>
    <w:rsid w:val="005A566E"/>
    <w:rsid w:val="005B2F56"/>
    <w:rsid w:val="005C1F01"/>
    <w:rsid w:val="00600AE8"/>
    <w:rsid w:val="00623C1A"/>
    <w:rsid w:val="00626CD4"/>
    <w:rsid w:val="0067524C"/>
    <w:rsid w:val="00682AB9"/>
    <w:rsid w:val="006869FF"/>
    <w:rsid w:val="006A00A2"/>
    <w:rsid w:val="006B1069"/>
    <w:rsid w:val="006B499C"/>
    <w:rsid w:val="006D6107"/>
    <w:rsid w:val="006F703C"/>
    <w:rsid w:val="00730D7D"/>
    <w:rsid w:val="00752BD4"/>
    <w:rsid w:val="007535B6"/>
    <w:rsid w:val="00792157"/>
    <w:rsid w:val="0079530F"/>
    <w:rsid w:val="007A6F9B"/>
    <w:rsid w:val="007C25C0"/>
    <w:rsid w:val="0083521D"/>
    <w:rsid w:val="008509C5"/>
    <w:rsid w:val="00851D4D"/>
    <w:rsid w:val="00871668"/>
    <w:rsid w:val="00895457"/>
    <w:rsid w:val="008C7515"/>
    <w:rsid w:val="008E608B"/>
    <w:rsid w:val="008F2AD3"/>
    <w:rsid w:val="008F3A05"/>
    <w:rsid w:val="008F76BD"/>
    <w:rsid w:val="0093299E"/>
    <w:rsid w:val="009329A4"/>
    <w:rsid w:val="00960837"/>
    <w:rsid w:val="00966081"/>
    <w:rsid w:val="009B296B"/>
    <w:rsid w:val="009B5A84"/>
    <w:rsid w:val="009B619D"/>
    <w:rsid w:val="009B71E3"/>
    <w:rsid w:val="009D036C"/>
    <w:rsid w:val="00A027FC"/>
    <w:rsid w:val="00A2022F"/>
    <w:rsid w:val="00A366B0"/>
    <w:rsid w:val="00A46014"/>
    <w:rsid w:val="00A47E63"/>
    <w:rsid w:val="00A563C9"/>
    <w:rsid w:val="00A60690"/>
    <w:rsid w:val="00A61E6E"/>
    <w:rsid w:val="00A960BF"/>
    <w:rsid w:val="00AA043F"/>
    <w:rsid w:val="00AB1DD8"/>
    <w:rsid w:val="00AB7E06"/>
    <w:rsid w:val="00AD4DC4"/>
    <w:rsid w:val="00AE432F"/>
    <w:rsid w:val="00B02401"/>
    <w:rsid w:val="00B03CF5"/>
    <w:rsid w:val="00B07A53"/>
    <w:rsid w:val="00B2304A"/>
    <w:rsid w:val="00B34EF8"/>
    <w:rsid w:val="00B44D3B"/>
    <w:rsid w:val="00B53059"/>
    <w:rsid w:val="00B6328C"/>
    <w:rsid w:val="00B64463"/>
    <w:rsid w:val="00B666A7"/>
    <w:rsid w:val="00B81979"/>
    <w:rsid w:val="00BA3A9A"/>
    <w:rsid w:val="00BA7E56"/>
    <w:rsid w:val="00BB74E2"/>
    <w:rsid w:val="00BE49FF"/>
    <w:rsid w:val="00C006C7"/>
    <w:rsid w:val="00C14F66"/>
    <w:rsid w:val="00C153C1"/>
    <w:rsid w:val="00C22FCC"/>
    <w:rsid w:val="00C66B08"/>
    <w:rsid w:val="00CA084F"/>
    <w:rsid w:val="00CD30C2"/>
    <w:rsid w:val="00CF5BDC"/>
    <w:rsid w:val="00D2214C"/>
    <w:rsid w:val="00D27846"/>
    <w:rsid w:val="00D618A2"/>
    <w:rsid w:val="00D87AEA"/>
    <w:rsid w:val="00D9132B"/>
    <w:rsid w:val="00DB0289"/>
    <w:rsid w:val="00DB7CA0"/>
    <w:rsid w:val="00DE1B0F"/>
    <w:rsid w:val="00DE283D"/>
    <w:rsid w:val="00DF4043"/>
    <w:rsid w:val="00E041E7"/>
    <w:rsid w:val="00E04FC0"/>
    <w:rsid w:val="00E109DA"/>
    <w:rsid w:val="00E23A46"/>
    <w:rsid w:val="00E67260"/>
    <w:rsid w:val="00E677C1"/>
    <w:rsid w:val="00E90BF4"/>
    <w:rsid w:val="00EA20E4"/>
    <w:rsid w:val="00EA647A"/>
    <w:rsid w:val="00EF2F11"/>
    <w:rsid w:val="00F06A58"/>
    <w:rsid w:val="00F10514"/>
    <w:rsid w:val="00F12E16"/>
    <w:rsid w:val="00F20F23"/>
    <w:rsid w:val="00F41673"/>
    <w:rsid w:val="00F41C40"/>
    <w:rsid w:val="00F6447A"/>
    <w:rsid w:val="00F65023"/>
    <w:rsid w:val="00FB07DC"/>
    <w:rsid w:val="00FB4FF2"/>
    <w:rsid w:val="00FC67F1"/>
    <w:rsid w:val="00FC6EFE"/>
    <w:rsid w:val="00FD50F4"/>
    <w:rsid w:val="00FD7861"/>
    <w:rsid w:val="00FE0B54"/>
    <w:rsid w:val="15BFD7A4"/>
    <w:rsid w:val="26569B00"/>
    <w:rsid w:val="3B810294"/>
    <w:rsid w:val="4A316FF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3C9"/>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spacing w:after="120"/>
      <w:ind w:left="720"/>
      <w:contextualSpacing/>
      <w:jc w:val="both"/>
    </w:pPr>
    <w:rPr>
      <w:rFonts w:asciiTheme="minorHAnsi" w:eastAsia="Calibr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eastAsiaTheme="minorHAnsi" w:hAnsiTheme="minorHAnsi" w:cstheme="minorBidi"/>
      <w:b/>
      <w:bCs/>
      <w:sz w:val="22"/>
      <w:szCs w:val="18"/>
      <w:lang w:eastAsia="en-US"/>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lang w:eastAsia="en-US"/>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customStyle="1" w:styleId="CommentSubjectChar">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 w:type="paragraph" w:styleId="NormalWeb">
    <w:name w:val="Normal (Web)"/>
    <w:basedOn w:val="Normal"/>
    <w:uiPriority w:val="99"/>
    <w:unhideWhenUsed/>
    <w:rsid w:val="00F6502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17976727">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56333917">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42595658">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3572</Words>
  <Characters>20366</Characters>
  <Application>Microsoft Office Word</Application>
  <DocSecurity>0</DocSecurity>
  <Lines>169</Lines>
  <Paragraphs>47</Paragraphs>
  <ScaleCrop>false</ScaleCrop>
  <Company/>
  <LinksUpToDate>false</LinksUpToDate>
  <CharactersWithSpaces>23891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JG</cp:lastModifiedBy>
  <cp:revision>63</cp:revision>
  <dcterms:created xsi:type="dcterms:W3CDTF">2022-07-21T13:30:00Z</dcterms:created>
  <dcterms:modified xsi:type="dcterms:W3CDTF">2022-08-10T18:15:00Z</dcterms:modified>
</cp:coreProperties>
</file>