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8E3E1F" w:rsidR="004B666A" w:rsidP="008E3E1F" w:rsidRDefault="008E3E1F" w14:paraId="12FB8536" w14:textId="515631B9">
                  <w:pPr>
                    <w:rPr>
                      <w:rFonts w:ascii="Calibri" w:hAnsi="Calibri" w:cs="Calibri"/>
                      <w:color w:val="000000"/>
                    </w:rPr>
                  </w:pPr>
                  <w:r>
                    <w:rPr>
                      <w:rFonts w:ascii="Calibri" w:hAnsi="Calibri" w:cs="Calibri"/>
                      <w:color w:val="000000"/>
                    </w:rPr>
                    <w:t xml:space="preserve">Shin, M., Wong, Y. J., </w:t>
                  </w:r>
                  <w:proofErr w:type="spellStart"/>
                  <w:r>
                    <w:rPr>
                      <w:rFonts w:ascii="Calibri" w:hAnsi="Calibri" w:cs="Calibri"/>
                      <w:color w:val="000000"/>
                    </w:rPr>
                    <w:t>Yancura</w:t>
                  </w:r>
                  <w:proofErr w:type="spellEnd"/>
                  <w:r>
                    <w:rPr>
                      <w:rFonts w:ascii="Calibri" w:hAnsi="Calibri" w:cs="Calibri"/>
                      <w:color w:val="000000"/>
                    </w:rPr>
                    <w:t xml:space="preserve">, L., &amp; Hsu, K. (2020). Thanks, </w:t>
                  </w:r>
                  <w:proofErr w:type="gramStart"/>
                  <w:r>
                    <w:rPr>
                      <w:rFonts w:ascii="Calibri" w:hAnsi="Calibri" w:cs="Calibri"/>
                      <w:color w:val="000000"/>
                    </w:rPr>
                    <w:t>mom</w:t>
                  </w:r>
                  <w:proofErr w:type="gramEnd"/>
                  <w:r>
                    <w:rPr>
                      <w:rFonts w:ascii="Calibri" w:hAnsi="Calibri" w:cs="Calibri"/>
                      <w:color w:val="000000"/>
                    </w:rPr>
                    <w:t xml:space="preserve"> and dad! An experimental study of gratitude letter writing for Asian and White American emerging adults. </w:t>
                  </w:r>
                  <w:r>
                    <w:rPr>
                      <w:rFonts w:ascii="Calibri" w:hAnsi="Calibri" w:cs="Calibri"/>
                      <w:i/>
                      <w:iCs/>
                      <w:color w:val="000000"/>
                    </w:rPr>
                    <w:t>Counselling Psychology Quarterly, 33</w:t>
                  </w:r>
                  <w:r>
                    <w:rPr>
                      <w:rFonts w:ascii="Calibri" w:hAnsi="Calibri" w:cs="Calibri"/>
                      <w:color w:val="000000"/>
                    </w:rPr>
                    <w:t>(3), 267-286. https://doi.org/10.1080/09515070.2018.1542519</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5909E4" w14:paraId="3341EAFC" w14:textId="21C13B62">
                  <w:pPr>
                    <w:jc w:val="center"/>
                    <w:rPr>
                      <w:rFonts w:cstheme="minorHAnsi"/>
                    </w:rPr>
                  </w:pPr>
                  <w:r>
                    <w:rPr>
                      <w:rFonts w:cstheme="minorHAnsi"/>
                    </w:rPr>
                    <w:t>X</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7"/>
              <w:gridCol w:w="1430"/>
              <w:gridCol w:w="3078"/>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8E3E1F" w14:paraId="6A270550" w14:textId="45B5829C">
                  <w:r>
                    <w:t>Gratitude writing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8E3E1F" w14:paraId="08BF92E4" w14:textId="5797A560">
                  <w:r>
                    <w:t>Placebo</w:t>
                  </w:r>
                  <w:r w:rsidR="0093299E">
                    <w:t xml:space="preserve"> Control</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165C67" w:rsidR="00895457" w:rsidP="00895457" w:rsidRDefault="008E3E1F" w14:paraId="69FC9657" w14:textId="20423DAA">
                  <w:pPr>
                    <w:rPr>
                      <w:rFonts w:cstheme="minorHAnsi"/>
                    </w:rPr>
                  </w:pPr>
                  <w:r>
                    <w:rPr>
                      <w:rFonts w:cstheme="minorHAnsi"/>
                    </w:rPr>
                    <w:t>Positive and Negative Affect (PANAS)</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7535B6" w14:paraId="5F03FBBF" w14:textId="0C7D6B62">
                  <w:pPr>
                    <w:rPr>
                      <w:rFonts w:cstheme="minorHAnsi"/>
                    </w:rPr>
                  </w:pPr>
                  <w:r>
                    <w:rPr>
                      <w:rFonts w:cstheme="minorHAnsi"/>
                    </w:rPr>
                    <w:t xml:space="preserve">Table </w:t>
                  </w:r>
                  <w:r w:rsidR="008E3E1F">
                    <w:rPr>
                      <w:rFonts w:cstheme="minorHAnsi"/>
                    </w:rPr>
                    <w:t>1</w:t>
                  </w:r>
                  <w:r>
                    <w:rPr>
                      <w:rFonts w:cstheme="minorHAnsi"/>
                    </w:rPr>
                    <w:t xml:space="preserve">, journal article, </w:t>
                  </w:r>
                  <w:r w:rsidR="008E3E1F">
                    <w:rPr>
                      <w:rFonts w:cstheme="minorHAnsi"/>
                    </w:rPr>
                    <w:t xml:space="preserve">Intention </w:t>
                  </w:r>
                  <w:proofErr w:type="gramStart"/>
                  <w:r w:rsidR="008E3E1F">
                    <w:rPr>
                      <w:rFonts w:cstheme="minorHAnsi"/>
                    </w:rPr>
                    <w:t>To</w:t>
                  </w:r>
                  <w:proofErr w:type="gramEnd"/>
                  <w:r w:rsidR="008E3E1F">
                    <w:rPr>
                      <w:rFonts w:cstheme="minorHAnsi"/>
                    </w:rPr>
                    <w:t xml:space="preserve"> Treat (ITT) </w:t>
                  </w:r>
                  <w:r w:rsidR="008E3E1F">
                    <w:rPr>
                      <w:rFonts w:cstheme="minorHAnsi"/>
                      <w:lang w:val="en-US"/>
                    </w:rPr>
                    <w:t>PANAS outcome at pre and post for experimental and control condition.</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2832FC" w14:paraId="5E5C1273" w14:textId="3D683766">
                  <w:pPr>
                    <w:jc w:val="center"/>
                    <w:rPr>
                      <w:rFonts w:cstheme="minorHAnsi"/>
                    </w:rPr>
                  </w:pPr>
                  <w:r w:rsidRPr="002832FC">
                    <w:rPr>
                      <w:rFonts w:ascii="Wingdings 2" w:hAnsi="Wingdings 2" w:eastAsia="Wingdings 2" w:cstheme="minorHAnsi"/>
                      <w:lang w:val="en-GB"/>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9E375E" w14:paraId="6A3A1511" w14:textId="679660E1">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9E375E" w14:paraId="7A4A4821" w14:textId="63D4AF44">
            <w:r>
              <w:t>X</w:t>
            </w:r>
            <w:r w:rsidRPr="00165C67" w:rsidR="00895457">
              <w:rPr>
                <w:szCs w:val="20"/>
              </w:rPr>
              <w:tab/>
            </w:r>
            <w:r w:rsidRPr="00165C67" w:rsidR="00895457">
              <w:rPr>
                <w:szCs w:val="20"/>
              </w:rPr>
              <w:t>occurrence of non-protocol interventions</w:t>
            </w:r>
          </w:p>
          <w:p w:rsidRPr="00165C67" w:rsidR="00895457" w:rsidP="00895457" w:rsidRDefault="00E730A3" w14:paraId="0EBE061D" w14:textId="7DFC88F4">
            <w:r w:rsidRPr="00E730A3">
              <w:rPr>
                <w:rFonts w:ascii="Wingdings 2" w:hAnsi="Wingdings 2" w:eastAsia="Wingdings 2" w:cs="Wingdings 2"/>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9E375E" w14:paraId="2AFD3E35" w14:textId="319D49A3">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rsidRPr="004B666A" w:rsidR="0023251F" w:rsidP="003C3813" w:rsidRDefault="004B24A7" w14:paraId="3B6C228E" w14:textId="5F12A1DA">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Non-commercial trial registry record (</w:t>
            </w:r>
            <w:proofErr w:type="gramStart"/>
            <w:r w:rsidRPr="004B666A">
              <w:rPr>
                <w:rFonts w:cstheme="minorHAnsi"/>
              </w:rPr>
              <w:t>e.g.</w:t>
            </w:r>
            <w:proofErr w:type="gramEnd"/>
            <w:r w:rsidRPr="004B666A">
              <w:rPr>
                <w:rFonts w:cstheme="minorHAnsi"/>
              </w:rPr>
              <w:t xml:space="preserve">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theme="minorHAnsi"/>
              </w:rPr>
              <w:t>£</w:t>
            </w:r>
            <w:r w:rsidRPr="004B666A">
              <w:rPr>
                <w:rFonts w:cstheme="minorHAnsi"/>
              </w:rPr>
              <w:t xml:space="preserve"> </w:t>
            </w:r>
            <w:r w:rsidRPr="004B666A">
              <w:rPr>
                <w:rFonts w:cstheme="minorHAnsi"/>
              </w:rPr>
              <w:tab/>
            </w:r>
            <w:r w:rsidRPr="004B666A">
              <w:rPr>
                <w:rFonts w:cstheme="minorHAnsi"/>
              </w:rPr>
              <w:t>“Grey literature” (</w:t>
            </w:r>
            <w:proofErr w:type="gramStart"/>
            <w:r w:rsidRPr="004B666A">
              <w:rPr>
                <w:rFonts w:cstheme="minorHAnsi"/>
              </w:rPr>
              <w:t>e.g.</w:t>
            </w:r>
            <w:proofErr w:type="gramEnd"/>
            <w:r w:rsidRPr="004B666A">
              <w:rPr>
                <w:rFonts w:cstheme="minorHAnsi"/>
              </w:rPr>
              <w:t xml:space="preserve"> unpublished thesis)</w:t>
            </w:r>
          </w:p>
          <w:p w:rsidRPr="004B666A" w:rsidR="0023251F" w:rsidP="003C3813" w:rsidRDefault="0023251F" w14:paraId="1B24E7AE"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Regulatory document (</w:t>
            </w:r>
            <w:proofErr w:type="gramStart"/>
            <w:r w:rsidRPr="004B666A">
              <w:rPr>
                <w:rFonts w:cstheme="minorHAnsi"/>
              </w:rPr>
              <w:t>e.g.</w:t>
            </w:r>
            <w:proofErr w:type="gramEnd"/>
            <w:r w:rsidRPr="004B666A">
              <w:rPr>
                <w:rFonts w:cstheme="minorHAnsi"/>
              </w:rPr>
              <w:t xml:space="preserve">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00FD50F4" w:rsidP="00917FC5" w:rsidRDefault="00917FC5" w14:paraId="0D8DFA76" w14:textId="77777777">
            <w:r>
              <w:t xml:space="preserve">1.1 </w:t>
            </w:r>
            <w:r w:rsidR="00AE0C95">
              <w:t>“</w:t>
            </w:r>
            <w:r>
              <w:t>Participants were then randomly assigned to one of two writing conditions</w:t>
            </w:r>
            <w:r>
              <w:t>”.</w:t>
            </w:r>
          </w:p>
          <w:p w:rsidR="00917FC5" w:rsidP="00917FC5" w:rsidRDefault="00917FC5" w14:paraId="760DEADE" w14:textId="77777777"/>
          <w:p w:rsidRPr="00917FC5" w:rsidR="00917FC5" w:rsidP="00917FC5" w:rsidRDefault="00917FC5" w14:paraId="23F9127E" w14:textId="15EC824F">
            <w:r>
              <w:t>1.2 No information.</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917FC5" w:rsidR="00600AE8" w:rsidP="00D165B3" w:rsidRDefault="00917FC5" w14:paraId="4CDB0DDF" w14:textId="06DBC9DF">
            <w:pPr>
              <w:jc w:val="center"/>
              <w:rPr>
                <w:rFonts w:cstheme="minorHAnsi"/>
                <w:color w:val="000000" w:themeColor="text1"/>
                <w:u w:val="single"/>
              </w:rPr>
            </w:pPr>
            <w:r w:rsidRPr="00917FC5">
              <w:rPr>
                <w:rFonts w:cstheme="minorHAnsi"/>
                <w:color w:val="000000" w:themeColor="text1"/>
                <w:u w:val="single"/>
              </w:rPr>
              <w:t>NI</w:t>
            </w:r>
          </w:p>
          <w:p w:rsidR="00D165B3" w:rsidP="00600AE8" w:rsidRDefault="00D165B3" w14:paraId="4367FF71"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917FC5" w:rsidR="00076212" w:rsidP="003C3813" w:rsidRDefault="00917FC5" w14:paraId="4CF159D3" w14:textId="70821104">
            <w:pPr>
              <w:tabs>
                <w:tab w:val="left" w:pos="960"/>
              </w:tabs>
              <w:autoSpaceDE w:val="0"/>
              <w:autoSpaceDN w:val="0"/>
              <w:adjustRightInd w:val="0"/>
              <w:jc w:val="center"/>
              <w:rPr>
                <w:rFonts w:cstheme="minorHAnsi"/>
                <w:color w:val="000000" w:themeColor="text1"/>
              </w:rPr>
            </w:pPr>
            <w:r w:rsidRPr="00917FC5">
              <w:rPr>
                <w:rFonts w:cstheme="minorHAnsi"/>
                <w:color w:val="000000" w:themeColor="text1"/>
                <w:u w:val="single"/>
              </w:rPr>
              <w:t>NI</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00917FC5" w:rsidP="00917FC5" w:rsidRDefault="00917FC5" w14:paraId="56CF7C9F" w14:textId="4CB80C89">
            <w:pPr>
              <w:rPr>
                <w:rFonts w:cstheme="minorHAnsi"/>
                <w:lang w:val="en-GB"/>
              </w:rPr>
            </w:pPr>
            <w:r>
              <w:rPr>
                <w:rFonts w:cstheme="minorHAnsi"/>
                <w:lang w:val="en-GB"/>
              </w:rPr>
              <w:t xml:space="preserve">Relatively equal group sizes: 305 in experimental and 325 in control condition. </w:t>
            </w:r>
          </w:p>
          <w:p w:rsidR="00917FC5" w:rsidP="00917FC5" w:rsidRDefault="00917FC5" w14:paraId="4BC5AF39" w14:textId="79DFF42C">
            <w:pPr>
              <w:rPr>
                <w:rFonts w:cstheme="minorHAnsi"/>
                <w:lang w:val="en-GB"/>
              </w:rPr>
            </w:pPr>
          </w:p>
          <w:p w:rsidRPr="00917FC5" w:rsidR="00917FC5" w:rsidP="00917FC5" w:rsidRDefault="00917FC5" w14:paraId="34EFF7C8" w14:textId="246C9FCE">
            <w:pPr>
              <w:rPr>
                <w:rFonts w:cstheme="minorHAnsi"/>
                <w:lang w:val="en-GB"/>
              </w:rPr>
            </w:pPr>
            <w:r>
              <w:rPr>
                <w:rFonts w:cstheme="minorHAnsi"/>
                <w:lang w:val="en-GB"/>
              </w:rPr>
              <w:t>“</w:t>
            </w:r>
            <w:r>
              <w:t xml:space="preserve">Two-way ANOVA analyses showed that the four groups (i.e. Asian American control, Asian American experimental, White American control, and White American experimental) were not significantly different in T1 positive affect, T1 negative affect, T1 generic gratitude, T1 gratitude toward parents, parent–child relationship, and familial collectivism, </w:t>
            </w:r>
            <w:proofErr w:type="gramStart"/>
            <w:r>
              <w:t>F(</w:t>
            </w:r>
            <w:proofErr w:type="gramEnd"/>
            <w:r>
              <w:t xml:space="preserve">1, 577) = .02–1.82, </w:t>
            </w:r>
            <w:proofErr w:type="spellStart"/>
            <w:r>
              <w:t>ps &gt;</w:t>
            </w:r>
            <w:proofErr w:type="spellEnd"/>
            <w:r>
              <w:t xml:space="preserve"> .05 (see Table 1).</w:t>
            </w:r>
            <w:r>
              <w:t>”</w:t>
            </w:r>
          </w:p>
          <w:p w:rsidRPr="00A2022F" w:rsidR="00D61939" w:rsidP="005B2F56" w:rsidRDefault="00D61939" w14:paraId="7CC43D0D" w14:textId="75017FC8">
            <w:pPr>
              <w:rPr>
                <w:rFonts w:cstheme="minorHAnsi"/>
                <w:lang w:val="en-GB"/>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917FC5" w:rsidR="00CA084F" w:rsidP="003C3813" w:rsidRDefault="004D722D" w14:paraId="60E6AB3D" w14:textId="614291C2">
            <w:pPr>
              <w:jc w:val="center"/>
              <w:rPr>
                <w:rFonts w:cstheme="minorHAnsi"/>
                <w:color w:val="70AD47" w:themeColor="accent6"/>
                <w:u w:val="single"/>
              </w:rPr>
            </w:pPr>
            <w:r w:rsidRPr="00917FC5">
              <w:rPr>
                <w:rFonts w:cstheme="minorHAnsi"/>
                <w:color w:val="70AD47" w:themeColor="accent6"/>
                <w:u w:val="single"/>
              </w:rPr>
              <w:t>P</w:t>
            </w:r>
            <w:r w:rsidRPr="00917FC5" w:rsidR="00917FC5">
              <w:rPr>
                <w:rFonts w:cstheme="minorHAnsi"/>
                <w:color w:val="70AD47" w:themeColor="accent6"/>
                <w:u w:val="single"/>
              </w:rPr>
              <w:t>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3B5D82" w14:paraId="09526CB8" w14:textId="6EB98CC8">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2DDE89">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3B5D82" w:rsidRDefault="003B5D82" w14:paraId="41E78496" w14:textId="2FD7719A">
            <w:pPr>
              <w:jc w:val="center"/>
              <w:rPr>
                <w:rFonts w:cstheme="minorHAnsi"/>
              </w:rPr>
            </w:pPr>
            <w:r>
              <w:rPr>
                <w:rFonts w:cstheme="minorHAnsi"/>
              </w:rPr>
              <w:t>N/A</w:t>
            </w:r>
          </w:p>
        </w:tc>
      </w:tr>
    </w:tbl>
    <w:p w:rsidR="00730D7D" w:rsidRDefault="00730D7D" w14:paraId="5A34D27C" w14:textId="77777777">
      <w:pPr>
        <w:spacing w:after="160" w:line="259" w:lineRule="auto"/>
        <w:rPr>
          <w:rFonts w:eastAsiaTheme="minorEastAsia"/>
          <w:color w:val="5A5A5A" w:themeColor="text1" w:themeTint="A5"/>
          <w:spacing w:val="15"/>
        </w:rPr>
      </w:pPr>
      <w:r>
        <w:br w:type="page"/>
      </w:r>
    </w:p>
    <w:p w:rsidRPr="004D4CDD" w:rsidR="004D4CDD" w:rsidP="004D4CDD" w:rsidRDefault="004D4CDD" w14:paraId="67AF5B95" w14:textId="77777777">
      <w:pPr>
        <w:pStyle w:val="Subtitle"/>
      </w:pPr>
      <w:r w:rsidRPr="004D4CDD">
        <w:lastRenderedPageBreak/>
        <w:t>Domain 2: Risk of bias due to deviations from the intended interventions (</w:t>
      </w:r>
      <w:r w:rsidRPr="004D4CDD">
        <w:rPr>
          <w:i/>
        </w:rPr>
        <w:t>effect of adhering to intervention</w:t>
      </w:r>
      <w:r w:rsidRPr="004D4CDD">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4D4CDD" w:rsidR="004D4CDD" w:rsidTr="318838FF" w14:paraId="6AFCC41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4D593FBD" w14:textId="77777777">
            <w:pPr>
              <w:pStyle w:val="Subtitle"/>
              <w:rPr>
                <w:b/>
              </w:rPr>
            </w:pPr>
            <w:r w:rsidRPr="004D4CDD">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3EF22FA" w14:textId="77777777">
            <w:pPr>
              <w:pStyle w:val="Subtitle"/>
              <w:rPr>
                <w:b/>
              </w:rPr>
            </w:pPr>
            <w:r w:rsidRPr="004D4CDD">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381DD18C" w14:textId="77777777">
            <w:pPr>
              <w:pStyle w:val="Subtitle"/>
              <w:rPr>
                <w:b/>
              </w:rPr>
            </w:pPr>
            <w:r w:rsidRPr="004D4CDD">
              <w:rPr>
                <w:b/>
              </w:rPr>
              <w:t>Response options</w:t>
            </w:r>
          </w:p>
        </w:tc>
      </w:tr>
      <w:tr w:rsidRPr="004D4CDD" w:rsidR="004D4CDD" w:rsidTr="318838FF" w14:paraId="3328164C"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DFBBD8F" w14:textId="77777777">
            <w:pPr>
              <w:pStyle w:val="Subtitle"/>
              <w:rPr>
                <w:b/>
              </w:rPr>
            </w:pPr>
            <w:r w:rsidRPr="004D4CDD">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A40684" w:rsidP="00B6701E" w:rsidRDefault="00B6701E" w14:paraId="0DC01F89" w14:textId="2CA5C66B">
            <w:pPr>
              <w:rPr>
                <w:lang w:val="en-GB"/>
              </w:rPr>
            </w:pPr>
            <w:r>
              <w:rPr>
                <w:rFonts w:eastAsiaTheme="minorEastAsia"/>
                <w:lang w:val="en-GB"/>
              </w:rPr>
              <w:t xml:space="preserve">1.1 </w:t>
            </w:r>
            <w:r w:rsidR="007B406E">
              <w:rPr>
                <w:rFonts w:eastAsiaTheme="minorEastAsia"/>
                <w:lang w:val="en-GB"/>
              </w:rPr>
              <w:t xml:space="preserve">No information, however, it was </w:t>
            </w:r>
            <w:proofErr w:type="gramStart"/>
            <w:r w:rsidR="007B406E">
              <w:rPr>
                <w:rFonts w:eastAsiaTheme="minorEastAsia"/>
                <w:lang w:val="en-GB"/>
              </w:rPr>
              <w:t>online</w:t>
            </w:r>
            <w:proofErr w:type="gramEnd"/>
            <w:r w:rsidR="007B406E">
              <w:rPr>
                <w:rFonts w:eastAsiaTheme="minorEastAsia"/>
                <w:lang w:val="en-GB"/>
              </w:rPr>
              <w:t xml:space="preserve"> and the placebo and intervention group didn’t differ much in their format so it is unlikely participants were aware. </w:t>
            </w:r>
          </w:p>
          <w:p w:rsidRPr="00A40684" w:rsidR="00A40684" w:rsidP="00B6701E" w:rsidRDefault="00A40684" w14:paraId="1E867F4C" w14:textId="77777777">
            <w:pPr>
              <w:rPr>
                <w:rFonts w:eastAsiaTheme="minorEastAsia"/>
                <w:lang w:val="en-GB"/>
              </w:rPr>
            </w:pPr>
          </w:p>
          <w:p w:rsidRPr="004D4CDD" w:rsidR="004D4CDD" w:rsidP="00B6701E" w:rsidRDefault="00A40684" w14:paraId="3DA40611" w14:textId="28CE46C0">
            <w:pPr>
              <w:rPr>
                <w:rFonts w:eastAsiaTheme="minorEastAsia"/>
              </w:rPr>
            </w:pPr>
            <w:r w:rsidRPr="00A40684">
              <w:rPr>
                <w:lang w:val="en-GB"/>
              </w:rPr>
              <w:t>2.2 intervention was fully automated digital.</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5889A266" w14:textId="646FA280">
            <w:pPr>
              <w:pStyle w:val="Subtitle"/>
              <w:rPr>
                <w:lang w:val="es-ES"/>
              </w:rPr>
            </w:pPr>
            <w:r w:rsidRPr="004D4CDD">
              <w:t>P</w:t>
            </w:r>
            <w:r w:rsidR="007B406E">
              <w:t>N</w:t>
            </w:r>
          </w:p>
        </w:tc>
      </w:tr>
      <w:tr w:rsidRPr="004D4CDD" w:rsidR="004D4CDD" w:rsidTr="318838FF" w14:paraId="48D71AB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3EC2306" w14:textId="77777777">
            <w:pPr>
              <w:pStyle w:val="Subtitle"/>
              <w:rPr>
                <w:b/>
              </w:rPr>
            </w:pPr>
            <w:r w:rsidRPr="004D4CDD">
              <w:rPr>
                <w:b/>
              </w:rPr>
              <w:t>2.2. Were carers and people delivering the interventions aware of participants' assigned intervention during the trial?</w:t>
            </w:r>
          </w:p>
        </w:tc>
        <w:tc>
          <w:tcPr>
            <w:tcW w:w="7513" w:type="dxa"/>
            <w:vMerge/>
            <w:tcBorders/>
            <w:tcMar/>
            <w:vAlign w:val="center"/>
            <w:hideMark/>
          </w:tcPr>
          <w:p w:rsidRPr="004D4CDD" w:rsidR="004D4CDD" w:rsidP="004D4CDD" w:rsidRDefault="004D4CDD" w14:paraId="3508669C"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1E5548D0" w14:textId="2D626CB3">
            <w:pPr>
              <w:pStyle w:val="Subtitle"/>
              <w:rPr>
                <w:lang w:val="es-ES"/>
              </w:rPr>
            </w:pPr>
            <w:r w:rsidRPr="004D4CDD">
              <w:rPr>
                <w:u w:val="single"/>
              </w:rPr>
              <w:t>N</w:t>
            </w:r>
          </w:p>
        </w:tc>
      </w:tr>
      <w:tr w:rsidRPr="004D4CDD" w:rsidR="004D4CDD" w:rsidTr="318838FF" w14:paraId="413355E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F29DA4A" w14:textId="77777777">
            <w:pPr>
              <w:pStyle w:val="Subtitle"/>
              <w:rPr>
                <w:b/>
              </w:rPr>
            </w:pPr>
            <w:r w:rsidRPr="004D4CDD">
              <w:rPr>
                <w:b/>
              </w:rPr>
              <w:t xml:space="preserve">2.3. [If applicable:] </w:t>
            </w:r>
            <w:r w:rsidRPr="004D4CDD">
              <w:rPr>
                <w:b/>
                <w:u w:val="single"/>
              </w:rPr>
              <w:t>If Y/PY/NI to 2.1 or 2.2</w:t>
            </w:r>
            <w:r w:rsidRPr="004D4CDD">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E15700" w:rsidRDefault="004D4CDD" w14:paraId="03A83EF9" w14:textId="0982FBC3">
            <w:pPr>
              <w:rPr>
                <w:rFonts w:asciiTheme="minorHAnsi" w:hAnsiTheme="minorHAnsi" w:eastAsiaTheme="minorEastAsia" w:cstheme="minorBidi"/>
                <w:color w:val="5A5A5A" w:themeColor="text1" w:themeTint="A5"/>
                <w:spacing w:val="15"/>
                <w:szCs w:val="22"/>
                <w:lang w:eastAsia="en-US"/>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6884941F" w14:textId="5F884319">
            <w:pPr>
              <w:pStyle w:val="Subtitle"/>
              <w:rPr>
                <w:lang w:val="es-ES"/>
              </w:rPr>
            </w:pPr>
            <w:r w:rsidRPr="004D4CDD">
              <w:rPr>
                <w:lang w:val="es-ES"/>
              </w:rPr>
              <w:t>N</w:t>
            </w:r>
            <w:r w:rsidR="007B406E">
              <w:rPr>
                <w:lang w:val="es-ES"/>
              </w:rPr>
              <w:t>A</w:t>
            </w:r>
          </w:p>
        </w:tc>
      </w:tr>
      <w:tr w:rsidRPr="004D4CDD" w:rsidR="004D4CDD" w:rsidTr="318838FF" w14:paraId="5B20B68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69738DA7" w14:textId="77777777">
            <w:pPr>
              <w:pStyle w:val="Subtitle"/>
              <w:rPr>
                <w:b/>
              </w:rPr>
            </w:pPr>
            <w:r w:rsidRPr="004D4CDD">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110E40D9" w14:textId="128F2131">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6ADA7E00" w14:textId="47B3DDFB">
            <w:pPr>
              <w:pStyle w:val="Subtitle"/>
              <w:rPr>
                <w:lang w:val="es-ES"/>
              </w:rPr>
            </w:pPr>
            <w:r w:rsidRPr="004D4CDD">
              <w:rPr>
                <w:lang w:val="es-ES"/>
              </w:rPr>
              <w:t>NA</w:t>
            </w:r>
          </w:p>
        </w:tc>
      </w:tr>
      <w:tr w:rsidRPr="004D4CDD" w:rsidR="004D4CDD" w:rsidTr="318838FF" w14:paraId="139DD784"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1107C5BF" w14:textId="77777777">
            <w:pPr>
              <w:pStyle w:val="Subtitle"/>
              <w:rPr>
                <w:b/>
              </w:rPr>
            </w:pPr>
            <w:r w:rsidRPr="004D4CDD">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7B406E" w:rsidP="007B406E" w:rsidRDefault="007B406E" w14:paraId="7D91C5E4" w14:textId="77777777">
            <w:r>
              <w:rPr>
                <w:lang w:val="en-GB"/>
              </w:rPr>
              <w:t>“</w:t>
            </w:r>
            <w:r>
              <w:t>The average word count was 424.50 (SD = 197.24) for the control condition and was 395.82 (SD = 225.38) for the gratitude condition</w:t>
            </w:r>
            <w:r>
              <w:t>.”</w:t>
            </w:r>
          </w:p>
          <w:p w:rsidR="007B406E" w:rsidP="007B406E" w:rsidRDefault="007B406E" w14:paraId="2BAB39C3" w14:textId="77777777"/>
          <w:p w:rsidR="007B406E" w:rsidP="007B406E" w:rsidRDefault="007B406E" w14:paraId="6EE9D15C" w14:textId="77777777">
            <w:r>
              <w:t xml:space="preserve">Potentially indicating that there was no non-adherence as this was a single session intervention; however, the range of words is unknown and therefore it is unknown whether certain participants did not adhere to the intervention. </w:t>
            </w:r>
          </w:p>
          <w:p w:rsidRPr="007B406E" w:rsidR="007B406E" w:rsidP="007B406E" w:rsidRDefault="007B406E" w14:paraId="7239DC4B" w14:textId="2A6E9228"/>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7B406E" w14:paraId="30C51405" w14:textId="3861C863">
            <w:pPr>
              <w:pStyle w:val="Subtitle"/>
              <w:rPr>
                <w:lang w:val="es-ES"/>
              </w:rPr>
            </w:pPr>
            <w:r>
              <w:rPr>
                <w:u w:val="single"/>
                <w:lang w:val="es-ES"/>
              </w:rPr>
              <w:t>NI</w:t>
            </w:r>
          </w:p>
        </w:tc>
      </w:tr>
      <w:tr w:rsidRPr="004D4CDD" w:rsidR="004D4CDD" w:rsidTr="318838FF" w14:paraId="51DFE09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961924F" w14:textId="77777777">
            <w:pPr>
              <w:pStyle w:val="Subtitle"/>
              <w:rPr>
                <w:b/>
              </w:rPr>
            </w:pPr>
            <w:r w:rsidRPr="004D4CDD">
              <w:rPr>
                <w:b/>
              </w:rPr>
              <w:t xml:space="preserve">2.6. </w:t>
            </w:r>
            <w:r w:rsidRPr="004D4CDD">
              <w:rPr>
                <w:b/>
                <w:u w:val="single"/>
              </w:rPr>
              <w:t>If N/PN/NI to 2.3, or Y/PY/NI to 2.4 or 2.5</w:t>
            </w:r>
            <w:r w:rsidRPr="004D4CDD">
              <w:rPr>
                <w:b/>
              </w:rPr>
              <w:t xml:space="preserve">: Was an appropriate </w:t>
            </w:r>
            <w:r w:rsidRPr="004D4CDD">
              <w:rPr>
                <w:b/>
              </w:rPr>
              <w:lastRenderedPageBreak/>
              <w:t>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7B406E" w:rsidP="007B406E" w:rsidRDefault="007B406E" w14:paraId="254A9826" w14:textId="77898141">
            <w:r>
              <w:rPr>
                <w:lang w:val="en-GB"/>
              </w:rPr>
              <w:lastRenderedPageBreak/>
              <w:t>“</w:t>
            </w:r>
            <w:r>
              <w:t xml:space="preserve">Study hypotheses were tested using hierarchical regression because, unlike ANOVA, it can accommodate continuous predictors, such as familial collectivism. However, post hoc analyses using repeated measures </w:t>
            </w:r>
            <w:r>
              <w:lastRenderedPageBreak/>
              <w:t>ANOVA were conducted for any significant main effects involving condition because such results were more easily interpretable using ANOVA.</w:t>
            </w:r>
            <w:r>
              <w:t>”</w:t>
            </w:r>
          </w:p>
          <w:p w:rsidRPr="007B406E" w:rsidR="004D4CDD" w:rsidP="003A2DDB" w:rsidRDefault="004D4CDD" w14:paraId="1F36B2BF" w14:textId="39BBB3FC">
            <w:pPr>
              <w:rPr>
                <w:rFonts w:asciiTheme="minorHAnsi" w:hAnsiTheme="minorHAnsi" w:eastAsiaTheme="minorEastAsia" w:cstheme="minorBidi"/>
                <w:color w:val="5A5A5A" w:themeColor="text1" w:themeTint="A5"/>
                <w:spacing w:val="15"/>
                <w:szCs w:val="22"/>
                <w:lang w:val="en-GB" w:eastAsia="en-US"/>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D07E80" w14:paraId="10741F42" w14:textId="42868AF0">
            <w:pPr>
              <w:pStyle w:val="Subtitle"/>
              <w:rPr>
                <w:lang w:val="es-ES"/>
              </w:rPr>
            </w:pPr>
            <w:r w:rsidRPr="318838FF" w:rsidR="00D07E80">
              <w:rPr>
                <w:u w:val="single"/>
                <w:lang w:val="es-ES"/>
              </w:rPr>
              <w:t>P</w:t>
            </w:r>
            <w:r w:rsidRPr="318838FF" w:rsidR="5BE118D8">
              <w:rPr>
                <w:u w:val="single"/>
                <w:lang w:val="es-ES"/>
              </w:rPr>
              <w:t>Y</w:t>
            </w:r>
          </w:p>
        </w:tc>
      </w:tr>
      <w:tr w:rsidRPr="004D4CDD" w:rsidR="004D4CDD" w:rsidTr="318838FF" w14:paraId="10FF4FD0"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14B81B36" w14:textId="77777777">
            <w:pPr>
              <w:pStyle w:val="Subtitle"/>
            </w:pPr>
            <w:r w:rsidRPr="004D4CDD">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75F8A0FC"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D07E80" w14:paraId="5E44D07E" w14:textId="773B91EF">
            <w:pPr>
              <w:pStyle w:val="Subtitle"/>
            </w:pPr>
            <w:r w:rsidR="2FF6C0B5">
              <w:rPr/>
              <w:t>Low</w:t>
            </w:r>
          </w:p>
        </w:tc>
      </w:tr>
      <w:tr w:rsidRPr="004D4CDD" w:rsidR="004D4CDD" w:rsidTr="318838FF" w14:paraId="257C518A"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DA59077" w14:textId="77777777">
            <w:pPr>
              <w:pStyle w:val="Subtitle"/>
            </w:pPr>
            <w:r w:rsidRPr="004D4CDD">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43A3FE05"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0554E906" w14:textId="282E6C19">
            <w:pPr>
              <w:pStyle w:val="Subtitle"/>
            </w:pPr>
            <w:r w:rsidRPr="004D4CDD">
              <w:t>Unpredictable</w:t>
            </w:r>
          </w:p>
        </w:tc>
      </w:tr>
    </w:tbl>
    <w:p w:rsidR="004D4CDD" w:rsidP="4DA3ABB0" w:rsidRDefault="004D4CDD" w14:paraId="29434648" w14:textId="1707A441">
      <w:pPr>
        <w:pStyle w:val="Subtitle"/>
        <w:rPr>
          <w:rFonts w:ascii="Calibri" w:hAnsi="Calibri" w:eastAsia="SimSun"/>
          <w:color w:val="5A5A5A"/>
          <w:szCs w:val="24"/>
        </w:rPr>
      </w:pPr>
    </w:p>
    <w:p w:rsidR="00851D4D" w:rsidRDefault="00851D4D" w14:paraId="54E3B37E" w14:textId="77777777">
      <w:pPr>
        <w:spacing w:after="160" w:line="259" w:lineRule="auto"/>
        <w:rPr>
          <w:rFonts w:eastAsiaTheme="minorEastAsia"/>
          <w:color w:val="5A5A5A" w:themeColor="text1" w:themeTint="A5"/>
          <w:spacing w:val="15"/>
        </w:rPr>
      </w:pPr>
      <w:r>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00691149" w:rsidP="005B2F56" w:rsidRDefault="00A7514A" w14:paraId="40A5CFE7" w14:textId="77777777">
            <w:pPr>
              <w:rPr>
                <w:rFonts w:cstheme="minorHAnsi"/>
                <w:lang w:val="en-GB"/>
              </w:rPr>
            </w:pPr>
            <w:r>
              <w:rPr>
                <w:rFonts w:cstheme="minorHAnsi"/>
                <w:lang w:val="en-GB"/>
              </w:rPr>
              <w:t xml:space="preserve">See figure 1: </w:t>
            </w:r>
          </w:p>
          <w:p w:rsidR="00A7514A" w:rsidP="005B2F56" w:rsidRDefault="00A7514A" w14:paraId="3728E37F" w14:textId="77777777">
            <w:pPr>
              <w:rPr>
                <w:rFonts w:cstheme="minorHAnsi"/>
                <w:lang w:val="en-GB"/>
              </w:rPr>
            </w:pPr>
            <w:r>
              <w:rPr>
                <w:rFonts w:cstheme="minorHAnsi"/>
                <w:lang w:val="en-GB"/>
              </w:rPr>
              <w:t>Gratitude writing -&gt; 19 missing (6.2%)</w:t>
            </w:r>
          </w:p>
          <w:p w:rsidRPr="00495C3A" w:rsidR="00A7514A" w:rsidP="005B2F56" w:rsidRDefault="00A7514A" w14:paraId="3C765747" w14:textId="19195677">
            <w:pPr>
              <w:rPr>
                <w:rFonts w:cstheme="minorHAnsi"/>
                <w:lang w:val="en-GB"/>
              </w:rPr>
            </w:pPr>
            <w:r>
              <w:rPr>
                <w:rFonts w:cstheme="minorHAnsi"/>
                <w:lang w:val="en-GB"/>
              </w:rPr>
              <w:t>Control condition -&gt; 30 missing (9.2%)</w:t>
            </w:r>
          </w:p>
        </w:tc>
        <w:tc>
          <w:tcPr>
            <w:tcW w:w="2836" w:type="dxa"/>
            <w:shd w:val="clear" w:color="auto" w:fill="auto"/>
          </w:tcPr>
          <w:p w:rsidRPr="00A7514A" w:rsidR="00C153C1" w:rsidP="00C153C1" w:rsidRDefault="00A7514A" w14:paraId="4AFA6BAC" w14:textId="4090D3FE">
            <w:pPr>
              <w:jc w:val="center"/>
              <w:rPr>
                <w:rFonts w:cstheme="minorHAnsi"/>
                <w:color w:val="70AD47" w:themeColor="accent6"/>
              </w:rPr>
            </w:pPr>
            <w:r w:rsidRPr="00A7514A">
              <w:rPr>
                <w:rFonts w:cstheme="minorHAnsi"/>
                <w:color w:val="70AD47" w:themeColor="accent6"/>
              </w:rPr>
              <w:t>Y</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E90BF4" w:rsidR="00C153C1" w:rsidP="00E90BF4" w:rsidRDefault="00C153C1" w14:paraId="1ED71559" w14:textId="5C25C354"/>
        </w:tc>
        <w:tc>
          <w:tcPr>
            <w:tcW w:w="2836" w:type="dxa"/>
            <w:shd w:val="clear" w:color="auto" w:fill="auto"/>
          </w:tcPr>
          <w:p w:rsidRPr="00D169FD" w:rsidR="00C153C1" w:rsidP="00C153C1" w:rsidRDefault="00D169FD" w14:paraId="39D91496" w14:textId="4DE4C350">
            <w:pPr>
              <w:jc w:val="center"/>
              <w:rPr>
                <w:rFonts w:cstheme="minorHAnsi"/>
                <w:color w:val="000000" w:themeColor="text1"/>
              </w:rPr>
            </w:pPr>
            <w:r w:rsidRPr="00D169FD">
              <w:rPr>
                <w:rFonts w:cstheme="minorHAnsi"/>
                <w:color w:val="000000" w:themeColor="text1"/>
                <w:u w:val="single"/>
              </w:rPr>
              <w:t>NA</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4B666A" w:rsidR="00C14F66" w:rsidP="00C153C1" w:rsidRDefault="00C14F66" w14:paraId="27097663" w14:textId="3148ABCD">
            <w:pPr>
              <w:rPr>
                <w:rFonts w:cstheme="minorHAnsi"/>
              </w:rPr>
            </w:pPr>
          </w:p>
        </w:tc>
        <w:tc>
          <w:tcPr>
            <w:tcW w:w="2836" w:type="dxa"/>
            <w:shd w:val="clear" w:color="auto" w:fill="auto"/>
          </w:tcPr>
          <w:p w:rsidR="00C153C1" w:rsidP="00C153C1" w:rsidRDefault="004D722D" w14:paraId="5AC043F2" w14:textId="75F4A38E">
            <w:pPr>
              <w:jc w:val="center"/>
              <w:rPr>
                <w:rFonts w:cstheme="minorHAnsi"/>
                <w:lang w:val="es-ES"/>
              </w:rPr>
            </w:pPr>
            <w:r w:rsidRPr="006B1069">
              <w:rPr>
                <w:rFonts w:cstheme="minorHAnsi"/>
                <w:lang w:val="es-ES"/>
              </w:rPr>
              <w:t>NA</w:t>
            </w:r>
          </w:p>
          <w:p w:rsidR="00E90BF4" w:rsidP="00E90BF4" w:rsidRDefault="00E90BF4" w14:paraId="75730504" w14:textId="77777777">
            <w:pPr>
              <w:rPr>
                <w:rFonts w:cstheme="minorHAnsi"/>
                <w:lang w:val="es-ES"/>
              </w:rPr>
            </w:pPr>
          </w:p>
          <w:p w:rsidRPr="00C14F66" w:rsidR="00E90BF4" w:rsidP="00C14F66" w:rsidRDefault="00C14F66" w14:paraId="310F6977" w14:textId="61E69A54">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647F9286">
            <w:pPr>
              <w:jc w:val="center"/>
              <w:rPr>
                <w:rFonts w:cstheme="minorHAnsi"/>
                <w:lang w:val="es-ES"/>
              </w:rPr>
            </w:pPr>
            <w:r w:rsidRPr="006B1069">
              <w:rPr>
                <w:rFonts w:cstheme="minorHAnsi"/>
                <w:lang w:val="es-ES"/>
              </w:rPr>
              <w:t>NA</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2FC3639B">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AE432F" w14:paraId="254169B7" w14:textId="06925CCA">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25971549">
            <w:pPr>
              <w:jc w:val="center"/>
              <w:rPr>
                <w:rFonts w:cstheme="minorHAnsi"/>
              </w:rPr>
            </w:pPr>
            <w:r>
              <w:rPr>
                <w:rFonts w:cstheme="minorHAnsi"/>
              </w:rPr>
              <w:t xml:space="preserve">NA </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318838FF"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318838FF" w14:paraId="4331B2FD" w14:textId="77777777">
        <w:trPr>
          <w:cantSplit/>
          <w:trHeight w:val="860"/>
        </w:trPr>
        <w:tc>
          <w:tcPr>
            <w:tcW w:w="4248" w:type="dxa"/>
            <w:shd w:val="clear" w:color="auto" w:fill="D9D9D9" w:themeFill="background1" w:themeFillShade="D9"/>
            <w:tcMar/>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Mar/>
          </w:tcPr>
          <w:p w:rsidR="00CC0832" w:rsidP="00CC0832" w:rsidRDefault="006E676C" w14:paraId="40ECA9DB" w14:textId="7FD7D264">
            <w:r>
              <w:t>Standardised</w:t>
            </w:r>
            <w:r w:rsidR="005115BD">
              <w:t xml:space="preserve"> mental well-being</w:t>
            </w:r>
            <w:r>
              <w:t xml:space="preserve"> measure with good validity and reliability</w:t>
            </w:r>
            <w:r w:rsidR="00314D0C">
              <w:t xml:space="preserve">: </w:t>
            </w:r>
            <w:r w:rsidR="00CC0832">
              <w:t>“</w:t>
            </w:r>
            <w:r w:rsidR="00CC0832">
              <w:t xml:space="preserve">The Positive and Negative Affect Schedule (Watson, Clark, &amp; </w:t>
            </w:r>
            <w:proofErr w:type="spellStart"/>
            <w:r w:rsidR="00CC0832">
              <w:t>Tellegen</w:t>
            </w:r>
            <w:proofErr w:type="spellEnd"/>
            <w:r w:rsidR="00CC0832">
              <w:t>, 1988) was used to assess participants’ general affect. Participants use a 5-point Likert scale (</w:t>
            </w:r>
            <w:proofErr w:type="gramStart"/>
            <w:r w:rsidR="00CC0832">
              <w:t>i.e.</w:t>
            </w:r>
            <w:proofErr w:type="gramEnd"/>
            <w:r w:rsidR="00CC0832">
              <w:t xml:space="preserve"> 1 = very slightly or not at all to 5 = extremely) to indicate their experience of 10 positive affects (e. g. interested, active, excited) and 10 negative </w:t>
            </w:r>
            <w:proofErr w:type="spellStart"/>
            <w:r w:rsidR="00CC0832">
              <w:t>affects</w:t>
            </w:r>
            <w:proofErr w:type="spellEnd"/>
            <w:r w:rsidR="00CC0832">
              <w:t xml:space="preserve"> (e.g. distressed, ashamed, nervous) adjectives over the past several days. The two subscale scores, positive affect scores (PA) and negative affect scores (NA), were derived by computing mean scores. For both subscales, higher scores meant that the participant had experienced more affect during</w:t>
            </w:r>
            <w:r w:rsidR="00CC0832">
              <w:t xml:space="preserve"> the past several days.”</w:t>
            </w:r>
          </w:p>
          <w:p w:rsidRPr="00CC0832" w:rsidR="0001232C" w:rsidP="318838FF" w:rsidRDefault="0001232C" w14:noSpellErr="1" w14:paraId="025861BA" w14:textId="46771D4E">
            <w:pPr>
              <w:rPr>
                <w:lang w:val="en-GB"/>
              </w:rPr>
            </w:pPr>
          </w:p>
          <w:p w:rsidRPr="00CC0832" w:rsidR="0001232C" w:rsidP="318838FF" w:rsidRDefault="0001232C" w14:paraId="10F0B22C" w14:textId="4A5F5A9C">
            <w:pPr>
              <w:pStyle w:val="Normal"/>
              <w:rPr>
                <w:lang w:val="en-GB"/>
              </w:rPr>
            </w:pPr>
            <w:r w:rsidRPr="318838FF" w:rsidR="2DFFD5CA">
              <w:rPr>
                <w:lang w:val="en-GB"/>
              </w:rPr>
              <w:t xml:space="preserve">Post intervention measure was 2 weeks after intervention finished. Is this </w:t>
            </w:r>
            <w:proofErr w:type="gramStart"/>
            <w:r w:rsidRPr="318838FF" w:rsidR="2DFFD5CA">
              <w:rPr>
                <w:lang w:val="en-GB"/>
              </w:rPr>
              <w:t>period of time</w:t>
            </w:r>
            <w:proofErr w:type="gramEnd"/>
            <w:r w:rsidRPr="318838FF" w:rsidR="2DFFD5CA">
              <w:rPr>
                <w:lang w:val="en-GB"/>
              </w:rPr>
              <w:t xml:space="preserve"> sensitive to t</w:t>
            </w:r>
            <w:r w:rsidRPr="318838FF" w:rsidR="2A56A561">
              <w:rPr>
                <w:lang w:val="en-GB"/>
              </w:rPr>
              <w:t xml:space="preserve">he intervention effect post-intervention? We consider it not to be sensitive. </w:t>
            </w:r>
          </w:p>
          <w:p w:rsidRPr="00CC0832" w:rsidR="0001232C" w:rsidP="318838FF" w:rsidRDefault="0001232C" w14:paraId="1B61CFBF" w14:textId="14EA96E6">
            <w:pPr>
              <w:pStyle w:val="Normal"/>
              <w:rPr>
                <w:lang w:val="en-GB"/>
              </w:rPr>
            </w:pPr>
          </w:p>
        </w:tc>
        <w:tc>
          <w:tcPr>
            <w:tcW w:w="2836" w:type="dxa"/>
            <w:shd w:val="clear" w:color="auto" w:fill="auto"/>
            <w:tcMar/>
          </w:tcPr>
          <w:p w:rsidR="00C153C1" w:rsidP="318838FF" w:rsidRDefault="004D722D" w14:paraId="4B76B9FD" w14:textId="1BEFC4A5">
            <w:pPr>
              <w:jc w:val="center"/>
              <w:rPr>
                <w:rFonts w:cs="Calibri" w:cstheme="minorAscii"/>
                <w:color w:val="FF0000"/>
                <w:u w:val="single"/>
              </w:rPr>
            </w:pPr>
            <w:r w:rsidRPr="318838FF" w:rsidR="2A56A561">
              <w:rPr>
                <w:rFonts w:cs="Calibri" w:cstheme="minorAscii"/>
                <w:color w:val="FF0000"/>
                <w:u w:val="single"/>
              </w:rPr>
              <w:t>PY</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318838FF" w14:paraId="058F6880" w14:textId="77777777">
        <w:trPr>
          <w:cantSplit/>
          <w:trHeight w:val="20"/>
        </w:trPr>
        <w:tc>
          <w:tcPr>
            <w:tcW w:w="4248" w:type="dxa"/>
            <w:shd w:val="clear" w:color="auto" w:fill="D9D9D9" w:themeFill="background1" w:themeFillShade="D9"/>
            <w:tcMar/>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Mar/>
          </w:tcPr>
          <w:p w:rsidRPr="00CC0832" w:rsidR="006B499C" w:rsidP="00CC0832" w:rsidRDefault="00B90EFD" w14:paraId="483456D1" w14:textId="7FC2ABD0">
            <w:r>
              <w:rPr>
                <w:rFonts w:cstheme="minorHAnsi"/>
                <w:lang w:val="en-GB"/>
              </w:rPr>
              <w:t xml:space="preserve">Digitally obtained and standardised mental well-being measure: </w:t>
            </w:r>
            <w:r w:rsidR="00857F81">
              <w:rPr>
                <w:rFonts w:cstheme="minorHAnsi"/>
                <w:lang w:val="en-GB"/>
              </w:rPr>
              <w:t>“</w:t>
            </w:r>
            <w:r w:rsidR="00CC0832">
              <w:t>At Time 1 (T1), they completed an online survey composed of a questionnaire packet (</w:t>
            </w:r>
            <w:proofErr w:type="gramStart"/>
            <w:r w:rsidR="00CC0832">
              <w:t>i.e.</w:t>
            </w:r>
            <w:proofErr w:type="gramEnd"/>
            <w:r w:rsidR="00CC0832">
              <w:t xml:space="preserve"> demographics, familial collectivism, parent–child relationship, positive and negative affect, generic gratitude, and gratitude toward their parents) and a short 20-min essay</w:t>
            </w:r>
            <w:r w:rsidR="00CC0832">
              <w:t xml:space="preserve">. ... </w:t>
            </w:r>
            <w:r w:rsidR="00CC0832">
              <w:t>Two weeks later (T2), both groups completed an online survey that included only the following variables: positive and negative affect, generic gratitude, and gratitude toward their parent(s)</w:t>
            </w:r>
            <w:r w:rsidR="00CC0832">
              <w:t>.”</w:t>
            </w:r>
          </w:p>
        </w:tc>
        <w:tc>
          <w:tcPr>
            <w:tcW w:w="2836" w:type="dxa"/>
            <w:shd w:val="clear" w:color="auto" w:fill="auto"/>
            <w:tcMar/>
          </w:tcPr>
          <w:p w:rsidR="00C153C1" w:rsidP="00C153C1" w:rsidRDefault="004D722D" w14:paraId="340276E7" w14:textId="31DBDD12">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 xml:space="preserve">Comparable methods of outcome measurement (data collection) involve the same measurement methods and thresholds, used at comparable time points. Differences between intervention groups may arise because of ‘diagnostic detection </w:t>
            </w:r>
            <w:proofErr w:type="spellStart"/>
            <w:r w:rsidRPr="00623C1A">
              <w:rPr>
                <w:rFonts w:cstheme="minorHAnsi"/>
                <w:sz w:val="18"/>
                <w:szCs w:val="18"/>
                <w:shd w:val="clear" w:color="auto" w:fill="FAF9F8"/>
              </w:rPr>
              <w:t>bias’</w:t>
            </w:r>
            <w:proofErr w:type="spellEnd"/>
            <w:r w:rsidRPr="00623C1A">
              <w:rPr>
                <w:rFonts w:cstheme="minorHAnsi"/>
                <w:sz w:val="18"/>
                <w:szCs w:val="18"/>
                <w:shd w:val="clear" w:color="auto" w:fill="FAF9F8"/>
              </w:rPr>
              <w:t xml:space="preserve">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318838FF" w14:paraId="00132CEF" w14:textId="77777777">
        <w:trPr>
          <w:cantSplit/>
          <w:trHeight w:val="20"/>
        </w:trPr>
        <w:tc>
          <w:tcPr>
            <w:tcW w:w="4248" w:type="dxa"/>
            <w:shd w:val="clear" w:color="auto" w:fill="D9D9D9" w:themeFill="background1" w:themeFillShade="D9"/>
            <w:tcMar/>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Mar/>
          </w:tcPr>
          <w:p w:rsidRPr="00CC0832" w:rsidR="005C1F01" w:rsidP="0256570F" w:rsidRDefault="005C1F01" w14:paraId="092E4F3C" w14:textId="4E4E9531">
            <w:pPr>
              <w:rPr>
                <w:rFonts w:cstheme="minorBidi"/>
              </w:rPr>
            </w:pPr>
            <w:r>
              <w:t xml:space="preserve"> </w:t>
            </w:r>
            <w:r w:rsidR="00CC0832">
              <w:t>As the study was entirely online and contained a placebo intervention, participants were likely not aware of their received intervention.</w:t>
            </w:r>
          </w:p>
        </w:tc>
        <w:tc>
          <w:tcPr>
            <w:tcW w:w="2836" w:type="dxa"/>
            <w:shd w:val="clear" w:color="auto" w:fill="auto"/>
            <w:tcMar/>
          </w:tcPr>
          <w:p w:rsidRPr="00CC0832" w:rsidR="00C153C1" w:rsidP="0256570F" w:rsidRDefault="0256570F" w14:paraId="3BC3A928" w14:textId="1C7DA35B">
            <w:pPr>
              <w:jc w:val="center"/>
              <w:rPr>
                <w:rFonts w:cstheme="minorBidi"/>
                <w:color w:val="70AD47" w:themeColor="accent6"/>
                <w:u w:val="single"/>
                <w:lang w:val="es-ES"/>
              </w:rPr>
            </w:pPr>
            <w:r w:rsidRPr="00CC0832">
              <w:rPr>
                <w:rFonts w:cstheme="minorBidi"/>
                <w:color w:val="70AD47" w:themeColor="accent6"/>
                <w:u w:val="single"/>
                <w:lang w:val="es-ES"/>
              </w:rPr>
              <w:t>P</w:t>
            </w:r>
            <w:r w:rsidRPr="00CC0832" w:rsidR="00CC0832">
              <w:rPr>
                <w:rFonts w:cstheme="minorBidi"/>
                <w:color w:val="70AD47" w:themeColor="accent6"/>
                <w:u w:val="single"/>
                <w:lang w:val="es-ES"/>
              </w:rPr>
              <w:t>N</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318838FF" w14:paraId="369F3D20" w14:textId="77777777">
        <w:trPr>
          <w:cantSplit/>
          <w:trHeight w:val="20"/>
        </w:trPr>
        <w:tc>
          <w:tcPr>
            <w:tcW w:w="4248" w:type="dxa"/>
            <w:shd w:val="clear" w:color="auto" w:fill="D9D9D9" w:themeFill="background1" w:themeFillShade="D9"/>
            <w:tcMar/>
          </w:tcPr>
          <w:p w:rsidRPr="004B666A" w:rsidR="00C153C1" w:rsidP="00C153C1" w:rsidRDefault="00C153C1" w14:paraId="7AAF8624" w14:textId="54ED8833">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Mar/>
          </w:tcPr>
          <w:p w:rsidRPr="004B666A" w:rsidR="00C153C1" w:rsidP="00C153C1" w:rsidRDefault="00C153C1" w14:paraId="3ABA118F" w14:textId="77777777">
            <w:pPr>
              <w:rPr>
                <w:rFonts w:cstheme="minorHAnsi"/>
              </w:rPr>
            </w:pPr>
          </w:p>
        </w:tc>
        <w:tc>
          <w:tcPr>
            <w:tcW w:w="2836" w:type="dxa"/>
            <w:shd w:val="clear" w:color="auto" w:fill="auto"/>
            <w:tcMar/>
          </w:tcPr>
          <w:p w:rsidRPr="00CC0832" w:rsidR="00C153C1" w:rsidP="0256570F" w:rsidRDefault="00CC0832" w14:paraId="3FA7CC12" w14:textId="1E43288A">
            <w:pPr>
              <w:jc w:val="center"/>
              <w:rPr>
                <w:rFonts w:cstheme="minorBidi"/>
                <w:color w:val="000000" w:themeColor="text1"/>
                <w:lang w:val="es-ES"/>
              </w:rPr>
            </w:pPr>
            <w:r w:rsidRPr="00CC0832">
              <w:rPr>
                <w:rFonts w:cstheme="minorBidi"/>
                <w:color w:val="000000" w:themeColor="text1"/>
                <w:lang w:val="es-ES"/>
              </w:rPr>
              <w:t>NA</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318838FF" w14:paraId="76B43D82" w14:textId="77777777">
        <w:trPr>
          <w:cantSplit/>
          <w:trHeight w:val="20"/>
        </w:trPr>
        <w:tc>
          <w:tcPr>
            <w:tcW w:w="4248" w:type="dxa"/>
            <w:shd w:val="clear" w:color="auto" w:fill="D9D9D9" w:themeFill="background1" w:themeFillShade="D9"/>
            <w:tcMar/>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tcMar/>
          </w:tcPr>
          <w:p w:rsidRPr="004B666A" w:rsidR="00C153C1" w:rsidP="00C153C1" w:rsidRDefault="00C153C1" w14:paraId="0366504E" w14:textId="77777777">
            <w:pPr>
              <w:rPr>
                <w:rFonts w:cstheme="minorHAnsi"/>
              </w:rPr>
            </w:pPr>
          </w:p>
        </w:tc>
        <w:tc>
          <w:tcPr>
            <w:tcW w:w="2836" w:type="dxa"/>
            <w:shd w:val="clear" w:color="auto" w:fill="auto"/>
            <w:tcMar/>
          </w:tcPr>
          <w:p w:rsidRPr="00CC0832" w:rsidR="00C153C1" w:rsidP="0256570F" w:rsidRDefault="00CC0832" w14:paraId="5BAF1EB2" w14:textId="6ADDB2F6">
            <w:pPr>
              <w:jc w:val="center"/>
              <w:rPr>
                <w:rFonts w:cstheme="minorBidi"/>
                <w:color w:val="000000" w:themeColor="text1"/>
                <w:lang w:val="es-ES"/>
              </w:rPr>
            </w:pPr>
            <w:r w:rsidRPr="00CC0832">
              <w:rPr>
                <w:rFonts w:cstheme="minorBidi"/>
                <w:color w:val="000000" w:themeColor="text1"/>
                <w:lang w:val="es-ES"/>
              </w:rPr>
              <w:t>NA</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318838FF" w14:paraId="2CA9CD77" w14:textId="77777777">
        <w:trPr>
          <w:cantSplit/>
          <w:trHeight w:val="943"/>
        </w:trPr>
        <w:tc>
          <w:tcPr>
            <w:tcW w:w="4248" w:type="dxa"/>
            <w:shd w:val="clear" w:color="auto" w:fill="D9D9D9" w:themeFill="background1" w:themeFillShade="D9"/>
            <w:tcMar/>
          </w:tcPr>
          <w:p w:rsidRPr="004B666A" w:rsidR="00E677C1" w:rsidP="003C3813" w:rsidRDefault="00E677C1" w14:paraId="7BA88D7F" w14:textId="77777777">
            <w:pPr>
              <w:rPr>
                <w:rFonts w:cstheme="minorHAnsi"/>
                <w:b/>
              </w:rPr>
            </w:pPr>
            <w:r w:rsidRPr="004B666A">
              <w:rPr>
                <w:rFonts w:cstheme="minorHAnsi"/>
                <w:b/>
              </w:rPr>
              <w:t>Risk-of-bias judgement</w:t>
            </w:r>
          </w:p>
        </w:tc>
        <w:tc>
          <w:tcPr>
            <w:tcW w:w="7512" w:type="dxa"/>
            <w:shd w:val="clear" w:color="auto" w:fill="auto"/>
            <w:tcMar/>
          </w:tcPr>
          <w:p w:rsidRPr="004B666A" w:rsidR="00E677C1" w:rsidP="003C3813" w:rsidRDefault="00E677C1" w14:paraId="0C494949" w14:textId="6A0BB9AF">
            <w:pPr>
              <w:rPr>
                <w:rFonts w:cstheme="minorHAnsi"/>
              </w:rPr>
            </w:pPr>
          </w:p>
        </w:tc>
        <w:tc>
          <w:tcPr>
            <w:tcW w:w="2836" w:type="dxa"/>
            <w:shd w:val="clear" w:color="auto" w:fill="auto"/>
            <w:tcMar/>
          </w:tcPr>
          <w:p w:rsidRPr="004B666A" w:rsidR="00E677C1" w:rsidP="318838FF" w:rsidRDefault="00CC0832" w14:paraId="728D2AA4" w14:textId="56C37F52">
            <w:pPr>
              <w:tabs>
                <w:tab w:val="left" w:pos="960"/>
              </w:tabs>
              <w:autoSpaceDE w:val="0"/>
              <w:autoSpaceDN w:val="0"/>
              <w:adjustRightInd w:val="0"/>
              <w:jc w:val="center"/>
              <w:rPr>
                <w:rFonts w:cs="" w:cstheme="minorBidi"/>
              </w:rPr>
            </w:pPr>
            <w:r w:rsidRPr="318838FF" w:rsidR="6EDDEED4">
              <w:rPr>
                <w:rFonts w:cs="" w:cstheme="minorBidi"/>
              </w:rPr>
              <w:t>High</w:t>
            </w:r>
          </w:p>
        </w:tc>
      </w:tr>
      <w:tr w:rsidRPr="004B666A" w:rsidR="0079530F" w:rsidTr="318838FF" w14:paraId="6941ED05" w14:textId="77777777">
        <w:trPr>
          <w:cantSplit/>
          <w:trHeight w:val="20"/>
        </w:trPr>
        <w:tc>
          <w:tcPr>
            <w:tcW w:w="4248" w:type="dxa"/>
            <w:shd w:val="clear" w:color="auto" w:fill="D9D9D9" w:themeFill="background1" w:themeFillShade="D9"/>
            <w:tcMar/>
          </w:tcPr>
          <w:p w:rsidRPr="004B666A" w:rsidR="0079530F" w:rsidP="0079530F" w:rsidRDefault="0079530F" w14:paraId="093C19B0" w14:textId="77777777">
            <w:pPr>
              <w:rPr>
                <w:rFonts w:cstheme="minorHAnsi"/>
              </w:rPr>
            </w:pPr>
            <w:r w:rsidRPr="004B666A">
              <w:rPr>
                <w:rFonts w:cstheme="minorHAnsi"/>
              </w:rPr>
              <w:lastRenderedPageBreak/>
              <w:t>Optional: What is the predicted direction of bias in measurement of the outcome?</w:t>
            </w:r>
          </w:p>
        </w:tc>
        <w:tc>
          <w:tcPr>
            <w:tcW w:w="7512" w:type="dxa"/>
            <w:shd w:val="clear" w:color="auto" w:fill="auto"/>
            <w:tcMar/>
          </w:tcPr>
          <w:p w:rsidRPr="004B666A" w:rsidR="0079530F" w:rsidP="0079530F" w:rsidRDefault="0079530F" w14:paraId="61B2250A" w14:textId="77777777">
            <w:pPr>
              <w:rPr>
                <w:rFonts w:cstheme="minorHAnsi"/>
              </w:rPr>
            </w:pPr>
          </w:p>
        </w:tc>
        <w:tc>
          <w:tcPr>
            <w:tcW w:w="2836" w:type="dxa"/>
            <w:shd w:val="clear" w:color="auto" w:fill="auto"/>
            <w:tcMar/>
          </w:tcPr>
          <w:p w:rsidRPr="004B666A" w:rsidR="0079530F" w:rsidP="0256570F" w:rsidRDefault="0256570F" w14:paraId="0A43E201" w14:textId="6DAA7041">
            <w:pPr>
              <w:jc w:val="center"/>
              <w:rPr>
                <w:rFonts w:cstheme="minorBidi"/>
              </w:rPr>
            </w:pPr>
            <w:r w:rsidRPr="0256570F">
              <w:rPr>
                <w:rFonts w:cstheme="minorBidi"/>
              </w:rPr>
              <w:t>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CA4754" w14:paraId="37755D66" w14:textId="43C8924F">
            <w:pPr>
              <w:rPr>
                <w:rFonts w:cstheme="minorHAnsi"/>
                <w:lang w:val="en-US"/>
              </w:rPr>
            </w:pPr>
            <w:r>
              <w:rPr>
                <w:rFonts w:cstheme="minorHAnsi"/>
                <w:lang w:val="en-US"/>
              </w:rPr>
              <w:t xml:space="preserve">There is </w:t>
            </w:r>
            <w:r w:rsidR="00BE2694">
              <w:rPr>
                <w:rFonts w:cstheme="minorHAnsi"/>
                <w:lang w:val="en-US"/>
              </w:rPr>
              <w:t xml:space="preserve">no availability of a pre-specified analysis plan or pre-registration which preceded the reported results in the </w:t>
            </w:r>
            <w:r w:rsidR="001D47E6">
              <w:rPr>
                <w:rFonts w:cstheme="minorHAnsi"/>
                <w:lang w:val="en-US"/>
              </w:rPr>
              <w:t xml:space="preserve">journal article. </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6FD2D084">
            <w:pPr>
              <w:jc w:val="center"/>
              <w:rPr>
                <w:rFonts w:cstheme="minorHAnsi"/>
                <w:color w:val="00B050"/>
                <w:u w:val="single"/>
              </w:rPr>
            </w:pPr>
            <w:r w:rsidRPr="004B666A">
              <w:rPr>
                <w:rFonts w:cstheme="minorHAnsi"/>
              </w:rPr>
              <w:t>NI</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8E672E" w14:paraId="4248022F" w14:textId="769669CC">
            <w:pPr>
              <w:rPr>
                <w:rFonts w:cstheme="minorHAnsi"/>
                <w:lang w:val="en-US"/>
              </w:rPr>
            </w:pPr>
            <w:r>
              <w:rPr>
                <w:rFonts w:cstheme="minorHAnsi"/>
                <w:lang w:val="en-US"/>
              </w:rPr>
              <w:t xml:space="preserve">Pre and post outcomes are available </w:t>
            </w:r>
            <w:r w:rsidR="005A52EE">
              <w:rPr>
                <w:rFonts w:cstheme="minorHAnsi"/>
                <w:lang w:val="en-US"/>
              </w:rPr>
              <w:t xml:space="preserve">and there’s not many other ways in which the mental well-being outcome could’ve been measured differently other than using a different tool entirely. </w:t>
            </w: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7A6A14B9">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8F306E" w14:paraId="1A4E41B6" w14:textId="065AA8E6">
            <w:pPr>
              <w:rPr>
                <w:rFonts w:cstheme="minorHAnsi"/>
              </w:rPr>
            </w:pPr>
            <w:r>
              <w:rPr>
                <w:rFonts w:cstheme="minorHAnsi"/>
              </w:rPr>
              <w:t xml:space="preserve">All eligible results (group x time at pre-post for all groups) seem to have been reported. </w:t>
            </w:r>
            <w:r w:rsidR="00CB2001">
              <w:rPr>
                <w:rFonts w:cstheme="minorHAnsi"/>
              </w:rPr>
              <w:t xml:space="preserve"> </w:t>
            </w: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48BB7DFA">
            <w:pPr>
              <w:jc w:val="center"/>
              <w:rPr>
                <w:rFonts w:cstheme="minorHAnsi"/>
              </w:rPr>
            </w:pPr>
            <w:r w:rsidRPr="00076212">
              <w:rPr>
                <w:rFonts w:cstheme="minorHAnsi"/>
                <w:color w:val="00B050"/>
                <w:u w:val="single"/>
              </w:rPr>
              <w:t>PN</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0B644C" w14:paraId="54D6904B" w14:textId="43B0731C">
            <w:pPr>
              <w:tabs>
                <w:tab w:val="left" w:pos="960"/>
              </w:tabs>
              <w:autoSpaceDE w:val="0"/>
              <w:autoSpaceDN w:val="0"/>
              <w:adjustRightInd w:val="0"/>
              <w:rPr>
                <w:rFonts w:cstheme="minorHAnsi"/>
              </w:rPr>
            </w:pPr>
            <w:r>
              <w:rPr>
                <w:rFonts w:cstheme="minorHAnsi"/>
              </w:rPr>
              <w:t xml:space="preserve">There’s no </w:t>
            </w:r>
            <w:r w:rsidR="00E959D5">
              <w:rPr>
                <w:rFonts w:cstheme="minorHAnsi"/>
              </w:rPr>
              <w:t xml:space="preserve">pre-specified </w:t>
            </w:r>
            <w:r>
              <w:rPr>
                <w:rFonts w:cstheme="minorHAnsi"/>
              </w:rPr>
              <w:t>analysis plan available prior to the journal article.</w:t>
            </w: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00F87465">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41F06083">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375AEBF3">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1F43B0" w14:paraId="1B571186" w14:textId="79F810B7">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0079530F" w:rsidP="0079530F" w:rsidRDefault="00832801" w14:paraId="0836BE1C" w14:textId="0BC59E69">
            <w:pPr>
              <w:jc w:val="center"/>
              <w:rPr>
                <w:rFonts w:cstheme="minorHAnsi"/>
              </w:rPr>
            </w:pPr>
            <w:r>
              <w:rPr>
                <w:rFonts w:cstheme="minorHAnsi"/>
              </w:rPr>
              <w:t>Unpredictable</w:t>
            </w:r>
          </w:p>
          <w:p w:rsidRPr="004B666A" w:rsidR="001F43B0" w:rsidP="0079530F" w:rsidRDefault="001F43B0" w14:paraId="3C6E5B93" w14:textId="5AE46D02">
            <w:pPr>
              <w:jc w:val="center"/>
              <w:rPr>
                <w:rFonts w:cstheme="minorHAnsi"/>
              </w:rPr>
            </w:pP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05705" w:rsidP="006B1069" w:rsidRDefault="00705705" w14:paraId="42EED609" w14:textId="77777777">
      <w:r>
        <w:separator/>
      </w:r>
    </w:p>
  </w:endnote>
  <w:endnote w:type="continuationSeparator" w:id="0">
    <w:p w:rsidR="00705705" w:rsidP="006B1069" w:rsidRDefault="00705705" w14:paraId="15191ED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05705" w:rsidP="006B1069" w:rsidRDefault="00705705" w14:paraId="130F1D2C" w14:textId="77777777">
      <w:r>
        <w:separator/>
      </w:r>
    </w:p>
  </w:footnote>
  <w:footnote w:type="continuationSeparator" w:id="0">
    <w:p w:rsidR="00705705" w:rsidP="006B1069" w:rsidRDefault="00705705" w14:paraId="144F591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00541"/>
    <w:rsid w:val="0001232C"/>
    <w:rsid w:val="00014782"/>
    <w:rsid w:val="000204CC"/>
    <w:rsid w:val="00034946"/>
    <w:rsid w:val="00037088"/>
    <w:rsid w:val="000457EE"/>
    <w:rsid w:val="0006420A"/>
    <w:rsid w:val="000706BE"/>
    <w:rsid w:val="000722D3"/>
    <w:rsid w:val="00076212"/>
    <w:rsid w:val="00090CEE"/>
    <w:rsid w:val="000A490D"/>
    <w:rsid w:val="000B02FD"/>
    <w:rsid w:val="000B644C"/>
    <w:rsid w:val="000E02BE"/>
    <w:rsid w:val="000E24E3"/>
    <w:rsid w:val="000F57E8"/>
    <w:rsid w:val="00115A36"/>
    <w:rsid w:val="001737C1"/>
    <w:rsid w:val="001A3CAC"/>
    <w:rsid w:val="001A7D09"/>
    <w:rsid w:val="001B385C"/>
    <w:rsid w:val="001D18A8"/>
    <w:rsid w:val="001D47E6"/>
    <w:rsid w:val="001F43B0"/>
    <w:rsid w:val="00202E55"/>
    <w:rsid w:val="00221FD2"/>
    <w:rsid w:val="0023251F"/>
    <w:rsid w:val="002378C4"/>
    <w:rsid w:val="00245A7E"/>
    <w:rsid w:val="002832FC"/>
    <w:rsid w:val="00292AC2"/>
    <w:rsid w:val="00296A5E"/>
    <w:rsid w:val="002A2133"/>
    <w:rsid w:val="002C52A7"/>
    <w:rsid w:val="002D2F57"/>
    <w:rsid w:val="002E4B2B"/>
    <w:rsid w:val="002F78AD"/>
    <w:rsid w:val="00314D0C"/>
    <w:rsid w:val="003373FE"/>
    <w:rsid w:val="003414A1"/>
    <w:rsid w:val="00341861"/>
    <w:rsid w:val="00361ECA"/>
    <w:rsid w:val="00377210"/>
    <w:rsid w:val="00391E05"/>
    <w:rsid w:val="003A2DDB"/>
    <w:rsid w:val="003A4237"/>
    <w:rsid w:val="003B36AF"/>
    <w:rsid w:val="003B36FC"/>
    <w:rsid w:val="003B5D82"/>
    <w:rsid w:val="003C2F57"/>
    <w:rsid w:val="003C3813"/>
    <w:rsid w:val="003E0B56"/>
    <w:rsid w:val="003F2324"/>
    <w:rsid w:val="00403E6A"/>
    <w:rsid w:val="00405A6D"/>
    <w:rsid w:val="00405BF1"/>
    <w:rsid w:val="00420E6C"/>
    <w:rsid w:val="0042219F"/>
    <w:rsid w:val="00446AB7"/>
    <w:rsid w:val="00482C9D"/>
    <w:rsid w:val="00495C3A"/>
    <w:rsid w:val="004A5E03"/>
    <w:rsid w:val="004B24A7"/>
    <w:rsid w:val="004B3802"/>
    <w:rsid w:val="004B4D71"/>
    <w:rsid w:val="004B666A"/>
    <w:rsid w:val="004D4CDD"/>
    <w:rsid w:val="004D722D"/>
    <w:rsid w:val="00507ECD"/>
    <w:rsid w:val="0051016D"/>
    <w:rsid w:val="005115BD"/>
    <w:rsid w:val="005127E9"/>
    <w:rsid w:val="00517FCF"/>
    <w:rsid w:val="005245A9"/>
    <w:rsid w:val="00531A02"/>
    <w:rsid w:val="00541655"/>
    <w:rsid w:val="00571133"/>
    <w:rsid w:val="005758D9"/>
    <w:rsid w:val="005770CB"/>
    <w:rsid w:val="00581ED2"/>
    <w:rsid w:val="00584878"/>
    <w:rsid w:val="005909E4"/>
    <w:rsid w:val="005972D2"/>
    <w:rsid w:val="005A52EE"/>
    <w:rsid w:val="005B2F56"/>
    <w:rsid w:val="005C1F01"/>
    <w:rsid w:val="005D2E8D"/>
    <w:rsid w:val="00600AE8"/>
    <w:rsid w:val="00607F83"/>
    <w:rsid w:val="00623C1A"/>
    <w:rsid w:val="00626CD4"/>
    <w:rsid w:val="00682AB9"/>
    <w:rsid w:val="006869FF"/>
    <w:rsid w:val="00691149"/>
    <w:rsid w:val="0069249B"/>
    <w:rsid w:val="006B1069"/>
    <w:rsid w:val="006B499C"/>
    <w:rsid w:val="006E676C"/>
    <w:rsid w:val="00705705"/>
    <w:rsid w:val="00730D7D"/>
    <w:rsid w:val="00752BD4"/>
    <w:rsid w:val="007535B6"/>
    <w:rsid w:val="00755DAF"/>
    <w:rsid w:val="007861E6"/>
    <w:rsid w:val="00792157"/>
    <w:rsid w:val="0079530F"/>
    <w:rsid w:val="007A6F9B"/>
    <w:rsid w:val="007B406E"/>
    <w:rsid w:val="007B54A7"/>
    <w:rsid w:val="007C25C0"/>
    <w:rsid w:val="007D4346"/>
    <w:rsid w:val="00832801"/>
    <w:rsid w:val="008334EA"/>
    <w:rsid w:val="0083521D"/>
    <w:rsid w:val="008509C5"/>
    <w:rsid w:val="00851D4D"/>
    <w:rsid w:val="00857F81"/>
    <w:rsid w:val="00866EFF"/>
    <w:rsid w:val="00871668"/>
    <w:rsid w:val="00895457"/>
    <w:rsid w:val="008B5E37"/>
    <w:rsid w:val="008C7515"/>
    <w:rsid w:val="008E3E1F"/>
    <w:rsid w:val="008E672E"/>
    <w:rsid w:val="008F306E"/>
    <w:rsid w:val="00917FC5"/>
    <w:rsid w:val="00930139"/>
    <w:rsid w:val="0093299E"/>
    <w:rsid w:val="00966081"/>
    <w:rsid w:val="00982720"/>
    <w:rsid w:val="009955A2"/>
    <w:rsid w:val="009B619D"/>
    <w:rsid w:val="009B71E3"/>
    <w:rsid w:val="009C37C6"/>
    <w:rsid w:val="009D036C"/>
    <w:rsid w:val="009E375E"/>
    <w:rsid w:val="009F27A0"/>
    <w:rsid w:val="00A027FC"/>
    <w:rsid w:val="00A02F03"/>
    <w:rsid w:val="00A2022F"/>
    <w:rsid w:val="00A40684"/>
    <w:rsid w:val="00A47B01"/>
    <w:rsid w:val="00A47E63"/>
    <w:rsid w:val="00A500E0"/>
    <w:rsid w:val="00A563C9"/>
    <w:rsid w:val="00A619A5"/>
    <w:rsid w:val="00A6402B"/>
    <w:rsid w:val="00A7514A"/>
    <w:rsid w:val="00A960BF"/>
    <w:rsid w:val="00AA043F"/>
    <w:rsid w:val="00AE0C95"/>
    <w:rsid w:val="00AE432F"/>
    <w:rsid w:val="00B02401"/>
    <w:rsid w:val="00B03CF5"/>
    <w:rsid w:val="00B07A53"/>
    <w:rsid w:val="00B123B7"/>
    <w:rsid w:val="00B2304A"/>
    <w:rsid w:val="00B34EF8"/>
    <w:rsid w:val="00B53059"/>
    <w:rsid w:val="00B6328C"/>
    <w:rsid w:val="00B64463"/>
    <w:rsid w:val="00B666A7"/>
    <w:rsid w:val="00B6701E"/>
    <w:rsid w:val="00B81979"/>
    <w:rsid w:val="00B90EFD"/>
    <w:rsid w:val="00B93415"/>
    <w:rsid w:val="00BA3A9A"/>
    <w:rsid w:val="00BA7E56"/>
    <w:rsid w:val="00BB74E2"/>
    <w:rsid w:val="00BE2694"/>
    <w:rsid w:val="00BE49FF"/>
    <w:rsid w:val="00C006C7"/>
    <w:rsid w:val="00C14F66"/>
    <w:rsid w:val="00C153C1"/>
    <w:rsid w:val="00C22FCC"/>
    <w:rsid w:val="00C35565"/>
    <w:rsid w:val="00C65E42"/>
    <w:rsid w:val="00C77726"/>
    <w:rsid w:val="00CA084F"/>
    <w:rsid w:val="00CA4754"/>
    <w:rsid w:val="00CB2001"/>
    <w:rsid w:val="00CC0832"/>
    <w:rsid w:val="00CF5BDC"/>
    <w:rsid w:val="00D00ECE"/>
    <w:rsid w:val="00D07E80"/>
    <w:rsid w:val="00D165B3"/>
    <w:rsid w:val="00D169FD"/>
    <w:rsid w:val="00D27846"/>
    <w:rsid w:val="00D618A2"/>
    <w:rsid w:val="00D61939"/>
    <w:rsid w:val="00D74D35"/>
    <w:rsid w:val="00D8409F"/>
    <w:rsid w:val="00D87AEA"/>
    <w:rsid w:val="00DA66CC"/>
    <w:rsid w:val="00DA7D47"/>
    <w:rsid w:val="00DB7CA0"/>
    <w:rsid w:val="00DC02CD"/>
    <w:rsid w:val="00DE283D"/>
    <w:rsid w:val="00DE582E"/>
    <w:rsid w:val="00DF4043"/>
    <w:rsid w:val="00E15700"/>
    <w:rsid w:val="00E23A46"/>
    <w:rsid w:val="00E5010C"/>
    <w:rsid w:val="00E677C1"/>
    <w:rsid w:val="00E730A3"/>
    <w:rsid w:val="00E86EE4"/>
    <w:rsid w:val="00E90BF4"/>
    <w:rsid w:val="00E959D5"/>
    <w:rsid w:val="00EA6414"/>
    <w:rsid w:val="00ED2B34"/>
    <w:rsid w:val="00EE291A"/>
    <w:rsid w:val="00EF2F11"/>
    <w:rsid w:val="00F12E16"/>
    <w:rsid w:val="00F41673"/>
    <w:rsid w:val="00F41C40"/>
    <w:rsid w:val="00F44605"/>
    <w:rsid w:val="00F84F1D"/>
    <w:rsid w:val="00F87E27"/>
    <w:rsid w:val="00FA28D8"/>
    <w:rsid w:val="00FA6226"/>
    <w:rsid w:val="00FB07DC"/>
    <w:rsid w:val="00FB1302"/>
    <w:rsid w:val="00FB4FF2"/>
    <w:rsid w:val="00FC67F1"/>
    <w:rsid w:val="00FC6EFE"/>
    <w:rsid w:val="00FD50F4"/>
    <w:rsid w:val="00FD7861"/>
    <w:rsid w:val="00FE0B54"/>
    <w:rsid w:val="00FE4E5E"/>
    <w:rsid w:val="0256570F"/>
    <w:rsid w:val="2245C80B"/>
    <w:rsid w:val="27315BC5"/>
    <w:rsid w:val="2A56A561"/>
    <w:rsid w:val="2B820247"/>
    <w:rsid w:val="2DFFD5CA"/>
    <w:rsid w:val="2FF6C0B5"/>
    <w:rsid w:val="318838FF"/>
    <w:rsid w:val="4DA3ABB0"/>
    <w:rsid w:val="5BE118D8"/>
    <w:rsid w:val="690345A0"/>
    <w:rsid w:val="6B4D12D3"/>
    <w:rsid w:val="6EDDEED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63C9"/>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584805041">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18015353">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62748976">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52910170">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348488012">
      <w:bodyDiv w:val="1"/>
      <w:marLeft w:val="0"/>
      <w:marRight w:val="0"/>
      <w:marTop w:val="0"/>
      <w:marBottom w:val="0"/>
      <w:divBdr>
        <w:top w:val="none" w:sz="0" w:space="0" w:color="auto"/>
        <w:left w:val="none" w:sz="0" w:space="0" w:color="auto"/>
        <w:bottom w:val="none" w:sz="0" w:space="0" w:color="auto"/>
        <w:right w:val="none" w:sz="0" w:space="0" w:color="auto"/>
      </w:divBdr>
    </w:div>
    <w:div w:id="1385715354">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459027984">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12393871">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A6ACF"/>
    <w:rsid w:val="00B36B55"/>
    <w:rsid w:val="00BE7E5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11</revision>
  <dcterms:created xsi:type="dcterms:W3CDTF">2022-10-21T22:04:00.0000000Z</dcterms:created>
  <dcterms:modified xsi:type="dcterms:W3CDTF">2022-10-24T10:15:44.4898342Z</dcterms:modified>
</coreProperties>
</file>