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 xml:space="preserve">Edited by Julian PT Higgins, Jelena </w:t>
      </w:r>
      <w:proofErr w:type="spellStart"/>
      <w:r w:rsidRPr="00076212">
        <w:t>Savović</w:t>
      </w:r>
      <w:proofErr w:type="spellEnd"/>
      <w:r w:rsidRPr="00076212">
        <w:t>,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6F1598" w:rsidR="004B666A" w:rsidP="00E67260" w:rsidRDefault="006F1598" w14:paraId="12FB8536" w14:textId="10729262">
                  <w:pPr>
                    <w:rPr>
                      <w:rFonts w:ascii="Calibri" w:hAnsi="Calibri" w:cs="Calibri"/>
                      <w:color w:val="000000"/>
                    </w:rPr>
                  </w:pPr>
                  <w:r>
                    <w:rPr>
                      <w:rFonts w:ascii="Calibri" w:hAnsi="Calibri" w:cs="Calibri"/>
                      <w:color w:val="000000"/>
                    </w:rPr>
                    <w:t xml:space="preserve">Walsh, K. M., Saab, B. J., &amp; </w:t>
                  </w:r>
                  <w:proofErr w:type="spellStart"/>
                  <w:r>
                    <w:rPr>
                      <w:rFonts w:ascii="Calibri" w:hAnsi="Calibri" w:cs="Calibri"/>
                      <w:color w:val="000000"/>
                    </w:rPr>
                    <w:t>Farb</w:t>
                  </w:r>
                  <w:proofErr w:type="spellEnd"/>
                  <w:r>
                    <w:rPr>
                      <w:rFonts w:ascii="Calibri" w:hAnsi="Calibri" w:cs="Calibri"/>
                      <w:color w:val="000000"/>
                    </w:rPr>
                    <w:t xml:space="preserve">, N. (2019). Effects of a mindfulness meditation app on subjective well-being: Active randomised controlled trial and experience sampling study. </w:t>
                  </w:r>
                  <w:r>
                    <w:rPr>
                      <w:rStyle w:val="font81"/>
                      <w:rFonts w:eastAsiaTheme="minorEastAsia"/>
                    </w:rPr>
                    <w:t>JMIR Mental Health, 6</w:t>
                  </w:r>
                  <w:r>
                    <w:rPr>
                      <w:rStyle w:val="font01"/>
                    </w:rPr>
                    <w:t xml:space="preserve">(1), e10844. </w:t>
                  </w:r>
                  <w:proofErr w:type="spellStart"/>
                  <w:r>
                    <w:rPr>
                      <w:rStyle w:val="font01"/>
                    </w:rPr>
                    <w:t>doi</w:t>
                  </w:r>
                  <w:proofErr w:type="spellEnd"/>
                  <w:r>
                    <w:rPr>
                      <w:rStyle w:val="font01"/>
                    </w:rPr>
                    <w:t>: 10.2196/10844</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E67260" w14:paraId="3341EAFC" w14:textId="295761F4">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3"/>
              <w:gridCol w:w="1430"/>
              <w:gridCol w:w="3082"/>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6F1598" w14:paraId="6A270550" w14:textId="695DD19A">
                  <w:r>
                    <w:t>Wildflowers app</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6F1598" w14:paraId="08BF92E4" w14:textId="55D16301">
                  <w:r>
                    <w:t>2048 Cognitive training app</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6F1598" w:rsidR="00895457" w:rsidP="00895457" w:rsidRDefault="006F1598" w14:paraId="69FC9657" w14:textId="562E7A03">
                  <w:pPr>
                    <w:rPr>
                      <w:rFonts w:cstheme="minorHAnsi"/>
                    </w:rPr>
                  </w:pPr>
                  <w:r>
                    <w:rPr>
                      <w:rFonts w:cstheme="minorHAnsi"/>
                    </w:rPr>
                    <w:t>Psychological well-being (</w:t>
                  </w:r>
                  <w:r>
                    <w:rPr>
                      <w:rFonts w:ascii="Calibri" w:hAnsi="Calibri" w:cs="Calibri"/>
                      <w:color w:val="000000"/>
                    </w:rPr>
                    <w:t>Psychological Well-Being Scale (PWBS)</w:t>
                  </w:r>
                  <w:r>
                    <w:rPr>
                      <w:rFonts w:ascii="Calibri" w:hAnsi="Calibri" w:cs="Calibri"/>
                      <w:color w:val="000000"/>
                    </w:rPr>
                    <w:t xml:space="preserve">; </w:t>
                  </w:r>
                  <w:proofErr w:type="spellStart"/>
                  <w:r>
                    <w:rPr>
                      <w:rFonts w:ascii="Calibri" w:hAnsi="Calibri" w:cs="Calibri"/>
                      <w:color w:val="000000"/>
                    </w:rPr>
                    <w:t>Ryff</w:t>
                  </w:r>
                  <w:proofErr w:type="spellEnd"/>
                  <w:r>
                    <w:rPr>
                      <w:rFonts w:ascii="Calibri" w:hAnsi="Calibri" w:cs="Calibri"/>
                      <w:color w:val="000000"/>
                    </w:rPr>
                    <w:t xml:space="preserve"> &amp; Keyes, 1995)</w:t>
                  </w: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6F1598" w14:paraId="5F03FBBF" w14:textId="37451BD3">
                  <w:pPr>
                    <w:rPr>
                      <w:rFonts w:cstheme="minorHAnsi"/>
                    </w:rPr>
                  </w:pPr>
                  <w:r>
                    <w:rPr>
                      <w:rFonts w:cstheme="minorHAnsi"/>
                    </w:rPr>
                    <w:t>Post-intervention Means for the experimental and comparator group – supplementary materials multimedia appendix 8.</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E67260" w14:paraId="5E5C1273" w14:textId="52BDB81B">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6F1598" w14:paraId="6A3A1511" w14:textId="20012436">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6F1598" w14:paraId="7A4A4821" w14:textId="5E4A5598">
            <w:r>
              <w:t>X</w:t>
            </w:r>
            <w:r w:rsidRPr="00165C67" w:rsidR="00895457">
              <w:rPr>
                <w:szCs w:val="20"/>
              </w:rPr>
              <w:tab/>
            </w:r>
            <w:r w:rsidRPr="00165C67" w:rsidR="00895457">
              <w:rPr>
                <w:szCs w:val="20"/>
              </w:rPr>
              <w:t>occurrence of non-protocol interventions</w:t>
            </w:r>
          </w:p>
          <w:p w:rsidRPr="00165C67" w:rsidR="00895457" w:rsidP="00895457" w:rsidRDefault="00B03CF5" w14:paraId="0EBE061D" w14:textId="43F28697">
            <w:r w:rsidRPr="00517FCF">
              <w:rPr>
                <w:rFonts w:ascii="Wingdings 2" w:hAnsi="Wingdings 2" w:eastAsia="Wingdings 2" w:cs="Wingdings 2" w:cstheme="minorHAnsi"/>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6F1598" w14:paraId="2AFD3E35" w14:textId="164BFC61">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rsidRPr="004B666A" w:rsidR="0023251F" w:rsidP="003C3813" w:rsidRDefault="006F1598" w14:paraId="3B6C228E" w14:textId="1045E260">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r>
              <w:rPr>
                <w:rFonts w:cstheme="minorHAnsi"/>
              </w:rPr>
              <w:t xml:space="preserve"> + Multimedia Appendices</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09668D" w14:paraId="30B51856" w14:textId="2B9D56D5">
            <w:pPr>
              <w:rPr>
                <w:rFonts w:cstheme="minorHAnsi"/>
              </w:rPr>
            </w:pPr>
            <w:r>
              <w:rPr>
                <w:rFonts w:cstheme="minorHAnsi"/>
              </w:rPr>
              <w:t>X</w:t>
            </w:r>
            <w:r w:rsidRPr="004B666A" w:rsidR="0023251F">
              <w:rPr>
                <w:rFonts w:cstheme="minorHAnsi"/>
              </w:rPr>
              <w:tab/>
            </w:r>
            <w:r w:rsidRPr="004B666A" w:rsidR="0023251F">
              <w:rPr>
                <w:rFonts w:cstheme="minorHAnsi"/>
              </w:rPr>
              <w:t>Non-commercial trial registry record (</w:t>
            </w:r>
            <w:proofErr w:type="gramStart"/>
            <w:r w:rsidRPr="004B666A" w:rsidR="0023251F">
              <w:rPr>
                <w:rFonts w:cstheme="minorHAnsi"/>
              </w:rPr>
              <w:t>e.g.</w:t>
            </w:r>
            <w:proofErr w:type="gramEnd"/>
            <w:r w:rsidRPr="004B666A" w:rsidR="0023251F">
              <w:rPr>
                <w:rFonts w:cstheme="minorHAnsi"/>
              </w:rPr>
              <w:t xml:space="preserve"> ClinicalTrials.gov record)</w:t>
            </w:r>
            <w:r>
              <w:rPr>
                <w:rFonts w:cstheme="minorHAnsi"/>
              </w:rPr>
              <w:t xml:space="preserve"> (RETROSPECTIVE REGISTRATION)</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w:t>
            </w:r>
            <w:proofErr w:type="gramStart"/>
            <w:r w:rsidRPr="004B666A">
              <w:rPr>
                <w:rFonts w:cstheme="minorHAnsi"/>
              </w:rPr>
              <w:t>e.g.</w:t>
            </w:r>
            <w:proofErr w:type="gramEnd"/>
            <w:r w:rsidRPr="004B666A">
              <w:rPr>
                <w:rFonts w:cstheme="minorHAnsi"/>
              </w:rPr>
              <w:t xml:space="preserve">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w:t>
            </w:r>
            <w:proofErr w:type="gramStart"/>
            <w:r w:rsidRPr="004B666A">
              <w:rPr>
                <w:rFonts w:cstheme="minorHAnsi"/>
              </w:rPr>
              <w:t>e.g.</w:t>
            </w:r>
            <w:proofErr w:type="gramEnd"/>
            <w:r w:rsidRPr="004B666A">
              <w:rPr>
                <w:rFonts w:cstheme="minorHAnsi"/>
              </w:rPr>
              <w:t xml:space="preserve">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Pr="008E1265" w:rsidR="008E1265" w:rsidP="008E1265" w:rsidRDefault="008E1265" w14:paraId="1C9A29ED" w14:textId="40FFA896">
            <w:pPr>
              <w:rPr>
                <w:lang w:val="en-CA"/>
              </w:rPr>
            </w:pPr>
            <w:proofErr w:type="gramStart"/>
            <w:r>
              <w:t>1.1  “</w:t>
            </w:r>
            <w:proofErr w:type="gramEnd"/>
            <w:r>
              <w:t>Undergraduate students were recruited from the University of Toronto Mississauga and randomly assigned to train with 1 of 2 smartphone apps: Wildflowers, an MT app or 2048, a cognitive training app</w:t>
            </w:r>
            <w:r>
              <w:t>”.</w:t>
            </w:r>
          </w:p>
          <w:p w:rsidR="008E1265" w:rsidP="005B2F56" w:rsidRDefault="008E1265" w14:paraId="0325424A" w14:textId="77777777"/>
          <w:p w:rsidRPr="008E1265" w:rsidR="008E1265" w:rsidP="008E1265" w:rsidRDefault="008E1265" w14:paraId="23F9127E" w14:textId="3EF1746C">
            <w:pPr>
              <w:rPr>
                <w:lang w:val="en-CA"/>
              </w:rPr>
            </w:pPr>
            <w:proofErr w:type="gramStart"/>
            <w:r>
              <w:t>1.2  “</w:t>
            </w:r>
            <w:proofErr w:type="gramEnd"/>
            <w:r>
              <w:t>Participants did not know their condition assignment until after completing the pretraining measures</w:t>
            </w:r>
            <w:r>
              <w:t>”.</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1B9C5436" w14:textId="2AF3475A">
            <w:pPr>
              <w:jc w:val="center"/>
              <w:rPr>
                <w:rFonts w:cstheme="minorHAnsi"/>
                <w:color w:val="00B050"/>
                <w:u w:val="single"/>
              </w:rPr>
            </w:pPr>
            <w:r w:rsidRPr="004B666A">
              <w:rPr>
                <w:rFonts w:cstheme="minorHAnsi"/>
              </w:rPr>
              <w:t>NI</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8E1265" w14:paraId="4CF159D3" w14:textId="05F4165D">
            <w:pPr>
              <w:tabs>
                <w:tab w:val="left" w:pos="960"/>
              </w:tabs>
              <w:autoSpaceDE w:val="0"/>
              <w:autoSpaceDN w:val="0"/>
              <w:adjustRightInd w:val="0"/>
              <w:jc w:val="center"/>
              <w:rPr>
                <w:rFonts w:cstheme="minorHAnsi"/>
              </w:rPr>
            </w:pPr>
            <w:r>
              <w:rPr>
                <w:rFonts w:cstheme="minorHAnsi"/>
                <w:color w:val="00B050"/>
                <w:u w:val="single"/>
              </w:rPr>
              <w:t>P</w:t>
            </w:r>
            <w:r w:rsidRPr="00076212" w:rsidR="004D722D">
              <w:rPr>
                <w:rFonts w:cstheme="minorHAnsi"/>
                <w:color w:val="00B050"/>
                <w:u w:val="single"/>
              </w:rPr>
              <w:t>Y</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3B7A4A" w:rsidR="00FD50F4" w:rsidP="003B7A4A" w:rsidRDefault="003B7A4A" w14:paraId="7CC43D0D" w14:textId="14A1DA5F">
            <w:pPr>
              <w:rPr>
                <w:lang w:val="en-CA"/>
              </w:rPr>
            </w:pPr>
            <w:r>
              <w:rPr>
                <w:rFonts w:cstheme="minorHAnsi"/>
                <w:lang w:val="en-GB"/>
              </w:rPr>
              <w:t>“</w:t>
            </w:r>
            <w:r>
              <w:t>As shown in the participant flow diagram for the study (Figure 1), the final sample included 41 participants in the cognitive training group (mean age 19.78 [SD 2.43], 88% female) and 45 participants in the MT group (mean age 20.24 [SD 2.63], 80% female). A t test revealed that the groups did not significantly differ in terms of age (t82.86=−0.85, 95% CI −1.56 to 0.62; P=.40), and a chi-square test revealed that the groups did not significantly differ in terms of gender (χ 2 2=5.5, P=.06).</w:t>
            </w:r>
            <w:r>
              <w:t>”</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63FE55F1">
            <w:pPr>
              <w:jc w:val="center"/>
              <w:rPr>
                <w:rFonts w:cstheme="minorHAnsi"/>
              </w:rPr>
            </w:pPr>
            <w:r w:rsidRPr="00076212">
              <w:rPr>
                <w:rFonts w:cstheme="minorHAnsi"/>
                <w:color w:val="00B050"/>
                <w:u w:val="single"/>
              </w:rPr>
              <w:t>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082FB4B2">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3CD841B4">
            <w:pPr>
              <w:jc w:val="center"/>
              <w:rPr>
                <w:rFonts w:cstheme="minorHAnsi"/>
              </w:rPr>
            </w:pPr>
            <w:r>
              <w:rPr>
                <w:rFonts w:cstheme="minorHAnsi"/>
              </w:rPr>
              <w:t>NA</w:t>
            </w:r>
          </w:p>
        </w:tc>
      </w:tr>
    </w:tbl>
    <w:p w:rsidRPr="00122896" w:rsidR="00122896" w:rsidP="00122896" w:rsidRDefault="00851D4D" w14:paraId="2CB8E4E6" w14:textId="2332D59B">
      <w:pPr>
        <w:spacing w:after="160" w:line="259" w:lineRule="auto"/>
        <w:rPr>
          <w:rFonts w:eastAsiaTheme="minorEastAsia"/>
          <w:color w:val="5A5A5A" w:themeColor="text1" w:themeTint="A5"/>
          <w:spacing w:val="15"/>
        </w:rPr>
      </w:pPr>
      <w:r>
        <w:br w:type="page"/>
      </w:r>
      <w:r w:rsidRPr="00122896" w:rsidR="00122896">
        <w:lastRenderedPageBreak/>
        <w:t>Domain 2: Risk of bias due to deviations from the intended interventions (</w:t>
      </w:r>
      <w:r w:rsidRPr="00122896" w:rsidR="00122896">
        <w:rPr>
          <w:i/>
        </w:rPr>
        <w:t>effect of adhering to intervention</w:t>
      </w:r>
      <w:r w:rsidRPr="00122896" w:rsid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122896" w:rsidTr="08E696A0" w14:paraId="6C624CB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C321ECD"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39D470BF"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25F613CC" w14:textId="77777777">
            <w:pPr>
              <w:keepNext w:val="0"/>
              <w:spacing w:after="160" w:line="259" w:lineRule="auto"/>
              <w:rPr>
                <w:b/>
              </w:rPr>
            </w:pPr>
            <w:r w:rsidRPr="00122896">
              <w:rPr>
                <w:b/>
              </w:rPr>
              <w:t>Response options</w:t>
            </w:r>
          </w:p>
        </w:tc>
      </w:tr>
      <w:tr w:rsidRPr="00122896" w:rsidR="00122896" w:rsidTr="08E696A0" w14:paraId="13FA625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2670B0"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122896" w:rsidP="008E1265" w:rsidRDefault="006864B6" w14:paraId="50B1BB3E" w14:textId="1E2E2BFB">
            <w:r>
              <w:t xml:space="preserve">2.1 </w:t>
            </w:r>
            <w:r w:rsidR="008E1265">
              <w:t>“</w:t>
            </w:r>
            <w:r w:rsidR="008E1265">
              <w:t>Wildflowers, an MT app or 2048, a cognitive training app, which was used as an active control condition to control for expectancy and daily engagement. Both apps were described to participants as a cognitive training app that might promote well-being. This description was given to foster positive expectancy in the active control condition, without introducing any real stressor or emotion regulation training.</w:t>
            </w:r>
            <w:r w:rsidR="008E1265">
              <w:t>”</w:t>
            </w:r>
          </w:p>
          <w:p w:rsidR="008E1265" w:rsidP="008E1265" w:rsidRDefault="008E1265" w14:paraId="55F5A77A" w14:textId="77777777"/>
          <w:p w:rsidR="008E1265" w:rsidP="008E1265" w:rsidRDefault="008E1265" w14:paraId="1A4CEFE8" w14:textId="73362898">
            <w:r>
              <w:t xml:space="preserve">2.2 </w:t>
            </w:r>
            <w:r w:rsidR="006864B6">
              <w:t xml:space="preserve">Delivery of the intervention was fully automated digital. </w:t>
            </w:r>
          </w:p>
          <w:p w:rsidRPr="008E1265" w:rsidR="008E1265" w:rsidP="008E1265" w:rsidRDefault="008E1265" w14:paraId="67BDBFD1" w14:textId="0854505D">
            <w:pPr>
              <w:rPr>
                <w:lang w:val="en-GB"/>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5749162" w14:textId="297D81D4">
            <w:pPr>
              <w:keepNext w:val="0"/>
              <w:spacing w:after="160" w:line="259" w:lineRule="auto"/>
              <w:rPr>
                <w:lang w:val="es-ES"/>
              </w:rPr>
            </w:pPr>
            <w:r w:rsidRPr="00122896">
              <w:rPr>
                <w:u w:val="single"/>
              </w:rPr>
              <w:t>PN</w:t>
            </w:r>
          </w:p>
        </w:tc>
      </w:tr>
      <w:tr w:rsidRPr="00122896" w:rsidR="00122896" w:rsidTr="08E696A0" w14:paraId="699B867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79BD304"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cMar/>
            <w:vAlign w:val="center"/>
            <w:hideMark/>
          </w:tcPr>
          <w:p w:rsidRPr="00122896" w:rsidR="00122896" w:rsidP="00122896" w:rsidRDefault="00122896" w14:paraId="7FFAFC64"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AB19485" w14:textId="242410E5">
            <w:pPr>
              <w:keepNext w:val="0"/>
              <w:spacing w:after="160" w:line="259" w:lineRule="auto"/>
              <w:rPr>
                <w:lang w:val="es-ES"/>
              </w:rPr>
            </w:pPr>
            <w:r w:rsidRPr="00122896">
              <w:rPr>
                <w:u w:val="single"/>
              </w:rPr>
              <w:t>N</w:t>
            </w:r>
          </w:p>
        </w:tc>
      </w:tr>
      <w:tr w:rsidRPr="006F1598" w:rsidR="00122896" w:rsidTr="08E696A0" w14:paraId="4EF5E34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E823609"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D97415" w:rsidR="00D97415" w:rsidP="00D97415" w:rsidRDefault="00D97415" w14:paraId="345FB097" w14:textId="781F35F6">
            <w:pPr>
              <w:rPr>
                <w:lang w:val="en-CA"/>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60668F8" w14:textId="4B62ED7D">
            <w:pPr>
              <w:keepNext w:val="0"/>
              <w:spacing w:after="160" w:line="259" w:lineRule="auto"/>
              <w:rPr>
                <w:lang w:val="es-ES"/>
              </w:rPr>
            </w:pPr>
            <w:r w:rsidRPr="00122896">
              <w:rPr>
                <w:lang w:val="es-ES"/>
              </w:rPr>
              <w:t>NA</w:t>
            </w:r>
          </w:p>
        </w:tc>
      </w:tr>
      <w:tr w:rsidRPr="006F1598" w:rsidR="00122896" w:rsidTr="08E696A0" w14:paraId="6D7370F1"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A1E3925"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04832C6B"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74BAE88" w14:textId="334CB3AC">
            <w:pPr>
              <w:keepNext w:val="0"/>
              <w:spacing w:after="160" w:line="259" w:lineRule="auto"/>
              <w:rPr>
                <w:lang w:val="es-ES"/>
              </w:rPr>
            </w:pPr>
            <w:r w:rsidRPr="00122896">
              <w:rPr>
                <w:lang w:val="es-ES"/>
              </w:rPr>
              <w:t>NA</w:t>
            </w:r>
          </w:p>
        </w:tc>
      </w:tr>
      <w:tr w:rsidRPr="006F1598" w:rsidR="00122896" w:rsidTr="08E696A0" w14:paraId="5F8D9DF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0C0D014" w14:textId="77777777">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D97415" w:rsidP="00D97415" w:rsidRDefault="00D97415" w14:paraId="7C6AA80E" w14:textId="77777777">
            <w:r>
              <w:t>“On average, participants practiced a total of 16.32 days (cognitive training=16 days and MT=16.59 days), 20.21 sessions (cognitive training=19.54 sessions and MT=20.74 sessions), and 5.05 hours (cognitive training=4.46 hours and MT=5.57 hours).”</w:t>
            </w:r>
          </w:p>
          <w:p w:rsidR="00D97415" w:rsidP="00D97415" w:rsidRDefault="00D97415" w14:paraId="22BE1334" w14:textId="77777777">
            <w:pPr>
              <w:keepNext w:val="0"/>
              <w:spacing w:after="160" w:line="259" w:lineRule="auto"/>
              <w:rPr>
                <w:lang w:val="en-GB"/>
              </w:rPr>
            </w:pPr>
          </w:p>
          <w:p w:rsidR="00D97415" w:rsidP="00D97415" w:rsidRDefault="00D97415" w14:paraId="70F37DF1" w14:textId="77777777">
            <w:pPr>
              <w:keepNext w:val="0"/>
              <w:spacing w:after="160" w:line="259" w:lineRule="auto"/>
              <w:rPr>
                <w:lang w:val="en-GB"/>
              </w:rPr>
            </w:pPr>
            <w:r>
              <w:rPr>
                <w:lang w:val="en-GB"/>
              </w:rPr>
              <w:t>Figure 1. indicates 12 participants were removed due to inadequate adherence in the Wildflowers group (n = 58) and 6 in the 2048 app group (n = 50). A further total of 1 participant was removed due to incomplete post-measures in the Wildflowers group and 3 in the 2048 app group.</w:t>
            </w:r>
          </w:p>
          <w:p w:rsidRPr="00122896" w:rsidR="00122896" w:rsidP="00D97415" w:rsidRDefault="00D97415" w14:paraId="7FFB52EC" w14:textId="48336E67">
            <w:pPr>
              <w:keepNext w:val="0"/>
              <w:spacing w:after="160" w:line="259" w:lineRule="auto"/>
            </w:pPr>
            <w:r>
              <w:lastRenderedPageBreak/>
              <w:t>“Minimal adherence was defined as 10 min of practice per day, missing no more than 4 of the 21 days.”</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67A928C3" w14:textId="4C6FCCF4">
            <w:pPr>
              <w:keepNext w:val="0"/>
              <w:spacing w:after="160" w:line="259" w:lineRule="auto"/>
              <w:rPr>
                <w:lang w:val="es-ES"/>
              </w:rPr>
            </w:pPr>
            <w:r w:rsidRPr="00122896">
              <w:rPr>
                <w:lang w:val="es-ES"/>
              </w:rPr>
              <w:lastRenderedPageBreak/>
              <w:t>PY</w:t>
            </w:r>
          </w:p>
        </w:tc>
      </w:tr>
      <w:tr w:rsidRPr="006F1598" w:rsidR="00122896" w:rsidTr="08E696A0" w14:paraId="3C909CF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56F25131" w14:textId="77777777">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8E696A0" w:rsidRDefault="08E696A0" w14:paraId="674EFB7B" w14:textId="338F88C1">
            <w:r w:rsidR="08E696A0">
              <w:rPr/>
              <w:t>All measures were included and combined into factors, so no analysis was conducted on the psychological well-being outcome.</w:t>
            </w:r>
          </w:p>
          <w:p w:rsidR="08E696A0" w:rsidRDefault="08E696A0" w14:paraId="4B49F080" w14:textId="07CC356E"/>
          <w:p w:rsidR="00122896" w:rsidP="00C9536B" w:rsidRDefault="00C9536B" w14:paraId="3DBD2397" w14:textId="1E50488C">
            <w:r>
              <w:t>“</w:t>
            </w:r>
            <w:r>
              <w:t>Demographics between groups were compared using a t test and a chi-square test. Before group comparisons, the questionnaire data were reduced using EFA to increase ease of interpretability and minimize type I error. Multilevel models were used to compare both state and trait measures of well-being between groups over time. Finally, the relationship between the state and trait measures of well-being were investigated through correlations.</w:t>
            </w:r>
            <w:r>
              <w:t>”</w:t>
            </w:r>
          </w:p>
          <w:p w:rsidRPr="00C9536B" w:rsidR="00C9536B" w:rsidP="00C9536B" w:rsidRDefault="00C9536B" w14:paraId="2921A8AF" w14:textId="3F1C5A33">
            <w:pPr>
              <w:rPr>
                <w:lang w:val="en-CA"/>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8E696A0" w:rsidRDefault="00122896" w14:paraId="0B50F9ED" w14:textId="623A2979">
            <w:pPr>
              <w:keepNext w:val="0"/>
              <w:spacing w:after="160" w:line="259" w:lineRule="auto"/>
              <w:rPr>
                <w:u w:val="single"/>
                <w:lang w:val="es-ES"/>
              </w:rPr>
            </w:pPr>
            <w:r w:rsidRPr="08E696A0" w:rsidR="08E696A0">
              <w:rPr>
                <w:u w:val="single"/>
                <w:lang w:val="es-ES"/>
              </w:rPr>
              <w:t>N</w:t>
            </w:r>
          </w:p>
        </w:tc>
      </w:tr>
      <w:tr w:rsidRPr="00122896" w:rsidR="00122896" w:rsidTr="08E696A0" w14:paraId="09115AF6"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E36FFA" w14:textId="77777777">
            <w:pPr>
              <w:keepNext w:val="0"/>
              <w:spacing w:after="160" w:line="259" w:lineRule="auto"/>
            </w:pPr>
            <w:r w:rsidRPr="00122896">
              <w:rPr>
                <w:b/>
              </w:rPr>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A4B8A09"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EFB484B" w14:textId="1EC0E918">
            <w:pPr>
              <w:keepNext w:val="0"/>
              <w:spacing w:after="160" w:line="259" w:lineRule="auto"/>
            </w:pPr>
            <w:r w:rsidR="00122896">
              <w:rPr/>
              <w:t>High</w:t>
            </w:r>
          </w:p>
        </w:tc>
      </w:tr>
      <w:tr w:rsidRPr="00122896" w:rsidR="00122896" w:rsidTr="08E696A0" w14:paraId="1A95AEF2"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79DB50A0" w14:textId="77777777">
            <w:pPr>
              <w:keepNext w:val="0"/>
              <w:spacing w:after="160" w:line="259" w:lineRule="auto"/>
            </w:pPr>
            <w:r w:rsidRPr="00122896">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6DB11258"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D199C80" w14:textId="0D207977">
            <w:pPr>
              <w:keepNext w:val="0"/>
              <w:spacing w:after="160" w:line="259" w:lineRule="auto"/>
            </w:pPr>
            <w:r w:rsidR="00122896">
              <w:rPr/>
              <w:t>Unpredictable</w:t>
            </w:r>
          </w:p>
        </w:tc>
      </w:tr>
    </w:tbl>
    <w:p w:rsidRPr="00122896" w:rsidR="00851D4D" w:rsidRDefault="00122896" w14:paraId="54E3B37E" w14:textId="2D2EA87C">
      <w:pPr>
        <w:spacing w:after="160" w:line="259" w:lineRule="auto"/>
      </w:pPr>
      <w:r w:rsidRPr="00122896">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Pr="00E76C6B" w:rsidR="00C153C1" w:rsidP="00E76C6B" w:rsidRDefault="00E76C6B" w14:paraId="3C765747" w14:textId="04882AF8">
            <w:pPr>
              <w:keepNext w:val="0"/>
              <w:spacing w:after="160" w:line="259" w:lineRule="auto"/>
              <w:rPr>
                <w:lang w:val="en-GB"/>
              </w:rPr>
            </w:pPr>
            <w:r>
              <w:rPr>
                <w:lang w:val="en-GB"/>
              </w:rPr>
              <w:t>Figure 1. indicates 12 participants were removed due to inadequate adherence in the Wildflowers group (n = 58) and 6 in the 2048 app group (n = 50). A further total of 1 participant was removed due to incomplete post-measures in the Wildflowers group and 3 in the 2048 app group.</w:t>
            </w:r>
            <w:r>
              <w:rPr>
                <w:lang w:val="en-GB"/>
              </w:rPr>
              <w:t xml:space="preserve"> In total, 22 out of 108 participants randomised dropped out.</w:t>
            </w:r>
            <w:r>
              <w:t xml:space="preserve"> </w:t>
            </w:r>
          </w:p>
        </w:tc>
        <w:tc>
          <w:tcPr>
            <w:tcW w:w="2836" w:type="dxa"/>
            <w:shd w:val="clear" w:color="auto" w:fill="auto"/>
          </w:tcPr>
          <w:p w:rsidR="00C153C1" w:rsidP="00C153C1" w:rsidRDefault="004D722D" w14:paraId="4AFA6BAC" w14:textId="1C1199E0">
            <w:pPr>
              <w:jc w:val="center"/>
              <w:rPr>
                <w:rFonts w:cstheme="minorHAnsi"/>
                <w:color w:val="FF0000"/>
              </w:rPr>
            </w:pPr>
            <w:r w:rsidRPr="004B666A">
              <w:rPr>
                <w:rFonts w:cstheme="minorHAnsi"/>
                <w:color w:val="FF0000"/>
              </w:rPr>
              <w:t>N</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Pr="00E90BF4" w:rsidR="00C153C1" w:rsidP="00E90BF4" w:rsidRDefault="00A91B59" w14:paraId="1ED71559" w14:textId="2C615501">
            <w:r>
              <w:t>There has not been any evidence provided that the result wasn’t biased by missing outcome data.</w:t>
            </w:r>
          </w:p>
        </w:tc>
        <w:tc>
          <w:tcPr>
            <w:tcW w:w="2836" w:type="dxa"/>
            <w:shd w:val="clear" w:color="auto" w:fill="auto"/>
          </w:tcPr>
          <w:p w:rsidR="00C153C1" w:rsidP="00C153C1" w:rsidRDefault="004D722D" w14:paraId="39D91496" w14:textId="2D06D211">
            <w:pPr>
              <w:jc w:val="center"/>
              <w:rPr>
                <w:rFonts w:cstheme="minorHAnsi"/>
                <w:color w:val="FF0000"/>
              </w:rPr>
            </w:pPr>
            <w:r w:rsidRPr="004B666A">
              <w:rPr>
                <w:rFonts w:cstheme="minorHAnsi"/>
                <w:color w:val="FF0000"/>
              </w:rPr>
              <w:t>N</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4B666A" w:rsidR="00C14F66" w:rsidP="00C153C1" w:rsidRDefault="00C14F66" w14:paraId="27097663" w14:textId="3148ABCD">
            <w:pPr>
              <w:rPr>
                <w:rFonts w:cstheme="minorHAnsi"/>
              </w:rPr>
            </w:pPr>
          </w:p>
        </w:tc>
        <w:tc>
          <w:tcPr>
            <w:tcW w:w="2836" w:type="dxa"/>
            <w:shd w:val="clear" w:color="auto" w:fill="auto"/>
          </w:tcPr>
          <w:p w:rsidR="00C153C1" w:rsidP="00C153C1" w:rsidRDefault="004D722D" w14:paraId="5AC043F2" w14:textId="391987C8">
            <w:pPr>
              <w:jc w:val="center"/>
              <w:rPr>
                <w:rFonts w:cstheme="minorHAnsi"/>
                <w:lang w:val="es-ES"/>
              </w:rPr>
            </w:pPr>
            <w:r w:rsidRPr="006B1069">
              <w:rPr>
                <w:rFonts w:cstheme="minorHAnsi"/>
                <w:color w:val="FF0000"/>
                <w:lang w:val="es-ES"/>
              </w:rPr>
              <w:t>PY</w:t>
            </w:r>
          </w:p>
          <w:p w:rsidR="00E90BF4" w:rsidP="00E90BF4" w:rsidRDefault="00E90BF4" w14:paraId="75730504" w14:textId="77777777">
            <w:pPr>
              <w:rPr>
                <w:rFonts w:cstheme="minorHAnsi"/>
                <w:lang w:val="es-ES"/>
              </w:rPr>
            </w:pPr>
          </w:p>
          <w:p w:rsidRPr="00C14F66" w:rsidR="00E90BF4" w:rsidP="00C14F66" w:rsidRDefault="00C14F66" w14:paraId="310F6977" w14:textId="61E69A54">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72EFE919">
            <w:pPr>
              <w:jc w:val="center"/>
              <w:rPr>
                <w:rFonts w:cstheme="minorHAnsi"/>
                <w:lang w:val="es-ES"/>
              </w:rPr>
            </w:pPr>
            <w:r w:rsidRPr="006B1069">
              <w:rPr>
                <w:rFonts w:cstheme="minorHAnsi"/>
                <w:color w:val="00B050"/>
                <w:u w:val="single"/>
                <w:lang w:val="es-ES"/>
              </w:rPr>
              <w:t>PN</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5B2F56" w14:paraId="254169B7" w14:textId="78CE55E5">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1EC22F19">
            <w:pPr>
              <w:jc w:val="center"/>
              <w:rPr>
                <w:rFonts w:cstheme="minorHAnsi"/>
              </w:rPr>
            </w:pPr>
            <w:r>
              <w:rPr>
                <w:rFonts w:cstheme="minorHAnsi"/>
              </w:rPr>
              <w:t>Unpredictable</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8E696A0"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08E696A0" w14:paraId="4331B2FD" w14:textId="77777777">
        <w:trPr>
          <w:cantSplit/>
          <w:trHeight w:val="860"/>
        </w:trPr>
        <w:tc>
          <w:tcPr>
            <w:tcW w:w="4248" w:type="dxa"/>
            <w:shd w:val="clear" w:color="auto" w:fill="D9D9D9" w:themeFill="background1" w:themeFillShade="D9"/>
            <w:tcMar/>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Mar/>
          </w:tcPr>
          <w:p w:rsidR="08E696A0" w:rsidRDefault="08E696A0" w14:paraId="7EEB9DAF" w14:textId="06AE3CE4">
            <w:r w:rsidR="08E696A0">
              <w:rPr/>
              <w:t xml:space="preserve">Despite PWB being measured, this was combined with a large number of other scales as an outcome which wasn’t validated. </w:t>
            </w:r>
          </w:p>
          <w:p w:rsidR="08E696A0" w:rsidRDefault="08E696A0" w14:paraId="341ADBA9" w14:textId="78398603"/>
          <w:p w:rsidRPr="00FE26E5" w:rsidR="0001232C" w:rsidP="00FE26E5" w:rsidRDefault="00FE26E5" w14:paraId="1B61CFBF" w14:textId="096CF141">
            <w:pPr>
              <w:rPr>
                <w:lang w:val="en-US"/>
              </w:rPr>
            </w:pPr>
            <w:r w:rsidR="5B5DFCF5">
              <w:rPr/>
              <w:t>“</w:t>
            </w:r>
            <w:r w:rsidR="5B5DFCF5">
              <w:rPr/>
              <w:t>The Psychological Well-Being Scale (PWBS) [59] is an 84-item questionnaire that measures psychological well-being. This measure includes 6 subscales measuring autonomy, selfacceptance, positive relations with others, environmental mastery, purpose in life, and personal growth. The PWBS has demonstrated satisfactory evidence of internal consistency [59] and convergent validity and excellent evidence of test-retest reliability [60].</w:t>
            </w:r>
            <w:r w:rsidRPr="08E696A0" w:rsidR="5B5DFCF5">
              <w:rPr>
                <w:lang w:val="en-US"/>
              </w:rPr>
              <w:t>”</w:t>
            </w:r>
          </w:p>
        </w:tc>
        <w:tc>
          <w:tcPr>
            <w:tcW w:w="2836" w:type="dxa"/>
            <w:shd w:val="clear" w:color="auto" w:fill="auto"/>
            <w:tcMar/>
          </w:tcPr>
          <w:p w:rsidR="00C153C1" w:rsidP="08E696A0" w:rsidRDefault="004D722D" w14:paraId="4B76B9FD" w14:textId="10FF4C27">
            <w:pPr>
              <w:jc w:val="center"/>
              <w:rPr>
                <w:rFonts w:cs="Calibri" w:cstheme="minorAscii"/>
                <w:color w:val="FF0000"/>
                <w:u w:val="single"/>
              </w:rPr>
            </w:pPr>
            <w:r w:rsidRPr="08E696A0" w:rsidR="08E696A0">
              <w:rPr>
                <w:rFonts w:cs="Calibri" w:cstheme="minorAscii"/>
                <w:color w:val="FF0000"/>
                <w:u w:val="single"/>
              </w:rPr>
              <w:t>PY</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08E696A0" w14:paraId="058F6880" w14:textId="77777777">
        <w:trPr>
          <w:cantSplit/>
          <w:trHeight w:val="20"/>
        </w:trPr>
        <w:tc>
          <w:tcPr>
            <w:tcW w:w="4248" w:type="dxa"/>
            <w:shd w:val="clear" w:color="auto" w:fill="D9D9D9" w:themeFill="background1" w:themeFillShade="D9"/>
            <w:tcMar/>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Mar/>
          </w:tcPr>
          <w:p w:rsidRPr="00FE26E5" w:rsidR="006B499C" w:rsidP="00FE26E5" w:rsidRDefault="00FE26E5" w14:paraId="483456D1" w14:textId="76116B2F">
            <w:pPr>
              <w:rPr>
                <w:lang w:val="en-US"/>
              </w:rPr>
            </w:pPr>
          </w:p>
        </w:tc>
        <w:tc>
          <w:tcPr>
            <w:tcW w:w="2836" w:type="dxa"/>
            <w:shd w:val="clear" w:color="auto" w:fill="auto"/>
            <w:tcMar/>
          </w:tcPr>
          <w:p w:rsidR="00C153C1" w:rsidP="08E696A0" w:rsidRDefault="004D722D" w14:paraId="340276E7" w14:textId="11F64CD0">
            <w:pPr>
              <w:jc w:val="center"/>
              <w:rPr>
                <w:rFonts w:cs="Calibri" w:cstheme="minorAscii"/>
                <w:color w:val="auto"/>
                <w:u w:val="single"/>
              </w:rPr>
            </w:pPr>
            <w:r w:rsidRPr="08E696A0" w:rsidR="08E696A0">
              <w:rPr>
                <w:rFonts w:cs="Calibri" w:cstheme="minorAscii"/>
                <w:color w:val="auto"/>
                <w:u w:val="single"/>
              </w:rPr>
              <w:t>NA</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08E696A0" w14:paraId="00132CEF" w14:textId="77777777">
        <w:trPr>
          <w:cantSplit/>
          <w:trHeight w:val="20"/>
        </w:trPr>
        <w:tc>
          <w:tcPr>
            <w:tcW w:w="4248" w:type="dxa"/>
            <w:shd w:val="clear" w:color="auto" w:fill="D9D9D9" w:themeFill="background1" w:themeFillShade="D9"/>
            <w:tcMar/>
          </w:tcPr>
          <w:p w:rsidRPr="004B666A" w:rsidR="00C153C1" w:rsidP="00C153C1" w:rsidRDefault="00C153C1" w14:paraId="69A8BB82" w14:textId="488833DC">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Mar/>
          </w:tcPr>
          <w:p w:rsidRPr="00554CD5" w:rsidR="00FE26E5" w:rsidP="00554CD5" w:rsidRDefault="00FE26E5" w14:paraId="092E4F3C" w14:noSpellErr="1" w14:textId="6FDDA853">
            <w:pPr>
              <w:rPr>
                <w:lang w:val="en-US"/>
              </w:rPr>
            </w:pPr>
          </w:p>
        </w:tc>
        <w:tc>
          <w:tcPr>
            <w:tcW w:w="2836" w:type="dxa"/>
            <w:shd w:val="clear" w:color="auto" w:fill="auto"/>
            <w:tcMar/>
          </w:tcPr>
          <w:p w:rsidR="00C153C1" w:rsidP="08E696A0" w:rsidRDefault="004D722D" w14:paraId="3BC3A928" w14:textId="3064ADA8">
            <w:pPr>
              <w:jc w:val="center"/>
              <w:rPr>
                <w:rFonts w:cs="Calibri" w:cstheme="minorAscii"/>
                <w:color w:val="auto"/>
                <w:u w:val="single"/>
                <w:lang w:val="es-ES"/>
              </w:rPr>
            </w:pPr>
            <w:r w:rsidRPr="08E696A0" w:rsidR="08E696A0">
              <w:rPr>
                <w:rFonts w:cs="Calibri" w:cstheme="minorAscii"/>
                <w:color w:val="auto"/>
                <w:u w:val="single"/>
                <w:lang w:val="es-ES"/>
              </w:rPr>
              <w:t>NA</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08E696A0" w14:paraId="369F3D20" w14:textId="77777777">
        <w:trPr>
          <w:cantSplit/>
          <w:trHeight w:val="20"/>
        </w:trPr>
        <w:tc>
          <w:tcPr>
            <w:tcW w:w="4248" w:type="dxa"/>
            <w:shd w:val="clear" w:color="auto" w:fill="D9D9D9" w:themeFill="background1" w:themeFillShade="D9"/>
            <w:tcMar/>
          </w:tcPr>
          <w:p w:rsidRPr="004B666A" w:rsidR="00C153C1" w:rsidP="00C153C1" w:rsidRDefault="00C153C1" w14:paraId="7AAF8624" w14:textId="54ED8833">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Mar/>
          </w:tcPr>
          <w:p w:rsidRPr="004B666A" w:rsidR="00C153C1" w:rsidP="00C153C1" w:rsidRDefault="00C153C1" w14:paraId="3ABA118F" w14:textId="77777777">
            <w:pPr>
              <w:rPr>
                <w:rFonts w:cstheme="minorHAnsi"/>
              </w:rPr>
            </w:pPr>
          </w:p>
        </w:tc>
        <w:tc>
          <w:tcPr>
            <w:tcW w:w="2836" w:type="dxa"/>
            <w:shd w:val="clear" w:color="auto" w:fill="auto"/>
            <w:tcMar/>
          </w:tcPr>
          <w:p w:rsidR="00C153C1" w:rsidP="00C153C1" w:rsidRDefault="004D722D" w14:paraId="3FA7CC12" w14:textId="2E079737">
            <w:pPr>
              <w:jc w:val="center"/>
              <w:rPr>
                <w:rFonts w:cstheme="minorHAnsi"/>
                <w:lang w:val="es-ES"/>
              </w:rPr>
            </w:pPr>
            <w:r w:rsidRPr="006B1069">
              <w:rPr>
                <w:rFonts w:cstheme="minorHAnsi"/>
                <w:lang w:val="es-ES"/>
              </w:rPr>
              <w:t>NA</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08E696A0" w14:paraId="76B43D82" w14:textId="77777777">
        <w:trPr>
          <w:cantSplit/>
          <w:trHeight w:val="20"/>
        </w:trPr>
        <w:tc>
          <w:tcPr>
            <w:tcW w:w="4248" w:type="dxa"/>
            <w:shd w:val="clear" w:color="auto" w:fill="D9D9D9" w:themeFill="background1" w:themeFillShade="D9"/>
            <w:tcMar/>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tcMar/>
          </w:tcPr>
          <w:p w:rsidRPr="004B666A" w:rsidR="00C153C1" w:rsidP="00C153C1" w:rsidRDefault="00C153C1" w14:paraId="0366504E" w14:textId="77777777">
            <w:pPr>
              <w:rPr>
                <w:rFonts w:cstheme="minorHAnsi"/>
              </w:rPr>
            </w:pPr>
          </w:p>
        </w:tc>
        <w:tc>
          <w:tcPr>
            <w:tcW w:w="2836" w:type="dxa"/>
            <w:shd w:val="clear" w:color="auto" w:fill="auto"/>
            <w:tcMar/>
          </w:tcPr>
          <w:p w:rsidR="00C153C1" w:rsidP="00C153C1" w:rsidRDefault="004D722D" w14:paraId="5BAF1EB2" w14:textId="7B45AD3C">
            <w:pPr>
              <w:jc w:val="center"/>
              <w:rPr>
                <w:rFonts w:cstheme="minorHAnsi"/>
                <w:lang w:val="es-ES"/>
              </w:rPr>
            </w:pPr>
            <w:r w:rsidRPr="006B1069">
              <w:rPr>
                <w:rFonts w:cstheme="minorHAnsi"/>
                <w:lang w:val="es-ES"/>
              </w:rPr>
              <w:t>NA</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08E696A0" w14:paraId="2CA9CD77" w14:textId="77777777">
        <w:trPr>
          <w:cantSplit/>
          <w:trHeight w:val="943"/>
        </w:trPr>
        <w:tc>
          <w:tcPr>
            <w:tcW w:w="4248" w:type="dxa"/>
            <w:shd w:val="clear" w:color="auto" w:fill="D9D9D9" w:themeFill="background1" w:themeFillShade="D9"/>
            <w:tcMar/>
          </w:tcPr>
          <w:p w:rsidRPr="004B666A" w:rsidR="00E677C1" w:rsidP="003C3813" w:rsidRDefault="00E677C1" w14:paraId="7BA88D7F" w14:textId="77777777">
            <w:pPr>
              <w:rPr>
                <w:rFonts w:cstheme="minorHAnsi"/>
                <w:b/>
              </w:rPr>
            </w:pPr>
            <w:r w:rsidRPr="004B666A">
              <w:rPr>
                <w:rFonts w:cstheme="minorHAnsi"/>
                <w:b/>
              </w:rPr>
              <w:lastRenderedPageBreak/>
              <w:t>Risk-of-bias judgement</w:t>
            </w:r>
          </w:p>
        </w:tc>
        <w:tc>
          <w:tcPr>
            <w:tcW w:w="7512" w:type="dxa"/>
            <w:shd w:val="clear" w:color="auto" w:fill="auto"/>
            <w:tcMar/>
          </w:tcPr>
          <w:p w:rsidRPr="004B666A" w:rsidR="00E677C1" w:rsidP="003C3813" w:rsidRDefault="00E677C1" w14:paraId="0C494949" w14:textId="6A0BB9AF">
            <w:pPr>
              <w:rPr>
                <w:rFonts w:cstheme="minorHAnsi"/>
              </w:rPr>
            </w:pPr>
          </w:p>
        </w:tc>
        <w:tc>
          <w:tcPr>
            <w:tcW w:w="2836" w:type="dxa"/>
            <w:shd w:val="clear" w:color="auto" w:fill="auto"/>
            <w:tcMar/>
          </w:tcPr>
          <w:p w:rsidRPr="004B666A" w:rsidR="00E677C1" w:rsidP="08E696A0" w:rsidRDefault="00E677C1" w14:paraId="728D2AA4" w14:textId="615636F9">
            <w:pPr>
              <w:tabs>
                <w:tab w:val="left" w:pos="960"/>
              </w:tabs>
              <w:autoSpaceDE w:val="0"/>
              <w:autoSpaceDN w:val="0"/>
              <w:adjustRightInd w:val="0"/>
              <w:jc w:val="center"/>
              <w:rPr>
                <w:rFonts w:cs="Calibri" w:cstheme="minorAscii"/>
              </w:rPr>
            </w:pPr>
            <w:r w:rsidRPr="08E696A0" w:rsidR="08E696A0">
              <w:rPr>
                <w:rFonts w:cs="Calibri" w:cstheme="minorAscii"/>
              </w:rPr>
              <w:t>High</w:t>
            </w:r>
          </w:p>
        </w:tc>
      </w:tr>
      <w:tr w:rsidRPr="004B666A" w:rsidR="0079530F" w:rsidTr="08E696A0" w14:paraId="6941ED05" w14:textId="77777777">
        <w:trPr>
          <w:cantSplit/>
          <w:trHeight w:val="20"/>
        </w:trPr>
        <w:tc>
          <w:tcPr>
            <w:tcW w:w="4248" w:type="dxa"/>
            <w:shd w:val="clear" w:color="auto" w:fill="D9D9D9" w:themeFill="background1" w:themeFillShade="D9"/>
            <w:tcMar/>
          </w:tcPr>
          <w:p w:rsidRPr="004B666A" w:rsidR="0079530F" w:rsidP="0079530F" w:rsidRDefault="0079530F" w14:paraId="093C19B0" w14:textId="77777777">
            <w:pPr>
              <w:rPr>
                <w:rFonts w:cstheme="minorHAnsi"/>
              </w:rPr>
            </w:pPr>
            <w:r w:rsidRPr="004B666A">
              <w:rPr>
                <w:rFonts w:cstheme="minorHAnsi"/>
              </w:rPr>
              <w:t>Optional: What is the predicted direction of bias in measurement of the outcome?</w:t>
            </w:r>
          </w:p>
        </w:tc>
        <w:tc>
          <w:tcPr>
            <w:tcW w:w="7512" w:type="dxa"/>
            <w:shd w:val="clear" w:color="auto" w:fill="auto"/>
            <w:tcMar/>
          </w:tcPr>
          <w:p w:rsidRPr="004B666A" w:rsidR="0079530F" w:rsidP="0079530F" w:rsidRDefault="0079530F" w14:paraId="61B2250A" w14:textId="77777777">
            <w:pPr>
              <w:rPr>
                <w:rFonts w:cstheme="minorHAnsi"/>
              </w:rPr>
            </w:pPr>
          </w:p>
        </w:tc>
        <w:tc>
          <w:tcPr>
            <w:tcW w:w="2836" w:type="dxa"/>
            <w:shd w:val="clear" w:color="auto" w:fill="auto"/>
            <w:tcMar/>
          </w:tcPr>
          <w:p w:rsidRPr="004B666A" w:rsidR="0079530F" w:rsidP="08E696A0" w:rsidRDefault="005B2F56" w14:paraId="0A43E201" w14:textId="2D6F9CAB">
            <w:pPr>
              <w:jc w:val="center"/>
              <w:rPr>
                <w:rFonts w:cs="Calibri" w:cstheme="minorAscii"/>
              </w:rPr>
            </w:pPr>
            <w:r w:rsidRPr="08E696A0" w:rsidR="08E696A0">
              <w:rPr>
                <w:rFonts w:cs="Calibri" w:cstheme="minorAscii"/>
              </w:rPr>
              <w:t>Unpredictable</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5F5ED4" w14:paraId="37755D66" w14:textId="31F0B9B8">
            <w:pPr>
              <w:rPr>
                <w:rFonts w:cstheme="minorHAnsi"/>
                <w:lang w:val="en-US"/>
              </w:rPr>
            </w:pPr>
            <w:r>
              <w:rPr>
                <w:rFonts w:cstheme="minorHAnsi"/>
                <w:lang w:val="en-US"/>
              </w:rPr>
              <w:t>The analysis plan and registration were both retrospective.</w:t>
            </w:r>
          </w:p>
        </w:tc>
        <w:tc>
          <w:tcPr>
            <w:tcW w:w="2836" w:type="dxa"/>
            <w:tcBorders>
              <w:top w:val="nil"/>
              <w:bottom w:val="single" w:color="auto" w:sz="4" w:space="0"/>
              <w:right w:val="single" w:color="auto" w:sz="4" w:space="0"/>
            </w:tcBorders>
            <w:shd w:val="clear" w:color="auto" w:fill="auto"/>
          </w:tcPr>
          <w:p w:rsidR="00C153C1" w:rsidP="00C153C1" w:rsidRDefault="004D722D" w14:paraId="50676A0A" w14:textId="198C059C">
            <w:pPr>
              <w:jc w:val="center"/>
              <w:rPr>
                <w:rFonts w:cstheme="minorHAnsi"/>
                <w:color w:val="00B050"/>
                <w:u w:val="single"/>
              </w:rPr>
            </w:pPr>
            <w:r w:rsidRPr="004B666A">
              <w:rPr>
                <w:rFonts w:cstheme="minorHAnsi"/>
                <w:color w:val="FF0000"/>
              </w:rPr>
              <w:t>PN</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5F5ED4" w14:paraId="4248022F" w14:textId="06DE009C">
            <w:pPr>
              <w:rPr>
                <w:rFonts w:cstheme="minorHAnsi"/>
                <w:lang w:val="en-US"/>
              </w:rPr>
            </w:pPr>
            <w:r>
              <w:rPr>
                <w:rFonts w:cstheme="minorHAnsi"/>
                <w:lang w:val="en-US"/>
              </w:rPr>
              <w:t>A standardized validated scale for psychological well-being (the main PWB scale) was used at post-intervention.</w:t>
            </w:r>
          </w:p>
        </w:tc>
        <w:tc>
          <w:tcPr>
            <w:tcW w:w="2836" w:type="dxa"/>
            <w:tcBorders>
              <w:top w:val="single" w:color="auto" w:sz="4" w:space="0"/>
              <w:bottom w:val="single" w:color="auto" w:sz="4" w:space="0"/>
              <w:right w:val="single" w:color="auto" w:sz="4" w:space="0"/>
            </w:tcBorders>
            <w:shd w:val="clear" w:color="auto" w:fill="auto"/>
          </w:tcPr>
          <w:p w:rsidRPr="00E23A46" w:rsidR="00C153C1" w:rsidP="00C153C1" w:rsidRDefault="004D722D" w14:paraId="30EAD677" w14:textId="153712F4">
            <w:pPr>
              <w:jc w:val="center"/>
              <w:rPr>
                <w:rFonts w:cstheme="minorHAnsi"/>
                <w:lang w:val="en-US"/>
              </w:rPr>
            </w:pPr>
            <w:r w:rsidRPr="00076212">
              <w:rPr>
                <w:rFonts w:cstheme="minorHAnsi"/>
                <w:color w:val="00B050"/>
                <w:u w:val="single"/>
              </w:rPr>
              <w:t>PN</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5F5ED4" w:rsidR="00C153C1" w:rsidP="005B2F56" w:rsidRDefault="005F5ED4" w14:paraId="1A4E41B6" w14:textId="292E1308">
            <w:pPr>
              <w:rPr>
                <w:rFonts w:cstheme="minorHAnsi"/>
                <w:lang w:val="en-US"/>
              </w:rPr>
            </w:pPr>
            <w:r w:rsidRPr="005F5ED4">
              <w:rPr>
                <w:rFonts w:cstheme="minorHAnsi"/>
                <w:lang w:val="en-US"/>
              </w:rPr>
              <w:t xml:space="preserve">There is no </w:t>
            </w:r>
            <w:r>
              <w:rPr>
                <w:rFonts w:cstheme="minorHAnsi"/>
                <w:lang w:val="en-US"/>
              </w:rPr>
              <w:t xml:space="preserve">information as there was no pre-registered information, but it is considered unlikely. </w:t>
            </w:r>
          </w:p>
        </w:tc>
        <w:tc>
          <w:tcPr>
            <w:tcW w:w="2836" w:type="dxa"/>
            <w:tcBorders>
              <w:top w:val="single" w:color="auto" w:sz="4" w:space="0"/>
              <w:bottom w:val="single" w:color="auto" w:sz="4" w:space="0"/>
              <w:right w:val="single" w:color="auto" w:sz="4" w:space="0"/>
            </w:tcBorders>
            <w:shd w:val="clear" w:color="auto" w:fill="auto"/>
          </w:tcPr>
          <w:p w:rsidR="00C153C1" w:rsidP="00C153C1" w:rsidRDefault="004D722D" w14:paraId="165678FA" w14:textId="679CF192">
            <w:pPr>
              <w:jc w:val="center"/>
              <w:rPr>
                <w:rFonts w:cstheme="minorHAnsi"/>
              </w:rPr>
            </w:pPr>
            <w:r w:rsidRPr="004B666A">
              <w:rPr>
                <w:rFonts w:cstheme="minorHAnsi"/>
              </w:rPr>
              <w:t>NI</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0AEC5BD0">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0B49C757">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28CFD6ED">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5B2F56" w14:paraId="1B571186" w14:textId="40D9FCCD">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3C6E5B93" w14:textId="05C41506">
            <w:pPr>
              <w:jc w:val="center"/>
              <w:rPr>
                <w:rFonts w:cstheme="minorHAnsi"/>
              </w:rPr>
            </w:pPr>
            <w:r>
              <w:rPr>
                <w:rFonts w:cstheme="minorHAnsi"/>
              </w:rPr>
              <w:t>Unpredictable</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6761C" w:rsidP="006B1069" w:rsidRDefault="0006761C" w14:paraId="1F2751D5" w14:textId="77777777">
      <w:r>
        <w:separator/>
      </w:r>
    </w:p>
  </w:endnote>
  <w:endnote w:type="continuationSeparator" w:id="0">
    <w:p w:rsidR="0006761C" w:rsidP="006B1069" w:rsidRDefault="0006761C" w14:paraId="0981F43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6761C" w:rsidP="006B1069" w:rsidRDefault="0006761C" w14:paraId="74CF573E" w14:textId="77777777">
      <w:r>
        <w:separator/>
      </w:r>
    </w:p>
  </w:footnote>
  <w:footnote w:type="continuationSeparator" w:id="0">
    <w:p w:rsidR="0006761C" w:rsidP="006B1069" w:rsidRDefault="0006761C" w14:paraId="7277F70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57EE"/>
    <w:rsid w:val="0006761C"/>
    <w:rsid w:val="000722D3"/>
    <w:rsid w:val="00076212"/>
    <w:rsid w:val="0009668D"/>
    <w:rsid w:val="000A490D"/>
    <w:rsid w:val="000E24E3"/>
    <w:rsid w:val="000F128E"/>
    <w:rsid w:val="000F57E8"/>
    <w:rsid w:val="00122896"/>
    <w:rsid w:val="001737C1"/>
    <w:rsid w:val="001B385C"/>
    <w:rsid w:val="001D18A8"/>
    <w:rsid w:val="00221FD2"/>
    <w:rsid w:val="0023251F"/>
    <w:rsid w:val="002E4B2B"/>
    <w:rsid w:val="002F78AD"/>
    <w:rsid w:val="003373FE"/>
    <w:rsid w:val="003414A1"/>
    <w:rsid w:val="00341861"/>
    <w:rsid w:val="00377210"/>
    <w:rsid w:val="00391E05"/>
    <w:rsid w:val="003B36AF"/>
    <w:rsid w:val="003B36FC"/>
    <w:rsid w:val="003B7A4A"/>
    <w:rsid w:val="003C2F57"/>
    <w:rsid w:val="003C3813"/>
    <w:rsid w:val="00403E6A"/>
    <w:rsid w:val="00405A6D"/>
    <w:rsid w:val="00405BF1"/>
    <w:rsid w:val="00420E6C"/>
    <w:rsid w:val="00446AB7"/>
    <w:rsid w:val="00482C9D"/>
    <w:rsid w:val="00495C3A"/>
    <w:rsid w:val="004B24A7"/>
    <w:rsid w:val="004B3802"/>
    <w:rsid w:val="004B666A"/>
    <w:rsid w:val="004D722D"/>
    <w:rsid w:val="00507ECD"/>
    <w:rsid w:val="005127E9"/>
    <w:rsid w:val="00517FCF"/>
    <w:rsid w:val="00531A02"/>
    <w:rsid w:val="00541655"/>
    <w:rsid w:val="00554CD5"/>
    <w:rsid w:val="00571133"/>
    <w:rsid w:val="00581ED2"/>
    <w:rsid w:val="00584878"/>
    <w:rsid w:val="005909E4"/>
    <w:rsid w:val="005B2F56"/>
    <w:rsid w:val="005C1F01"/>
    <w:rsid w:val="005F5ED4"/>
    <w:rsid w:val="00600AE8"/>
    <w:rsid w:val="00623C1A"/>
    <w:rsid w:val="00626CD4"/>
    <w:rsid w:val="00682AB9"/>
    <w:rsid w:val="006864B6"/>
    <w:rsid w:val="006869FF"/>
    <w:rsid w:val="006B1069"/>
    <w:rsid w:val="006B499C"/>
    <w:rsid w:val="006F1598"/>
    <w:rsid w:val="00730D7D"/>
    <w:rsid w:val="00752BD4"/>
    <w:rsid w:val="007535B6"/>
    <w:rsid w:val="00792157"/>
    <w:rsid w:val="0079530F"/>
    <w:rsid w:val="007A6F9B"/>
    <w:rsid w:val="007C25C0"/>
    <w:rsid w:val="00825AD1"/>
    <w:rsid w:val="0083521D"/>
    <w:rsid w:val="008509C5"/>
    <w:rsid w:val="00851D4D"/>
    <w:rsid w:val="00871668"/>
    <w:rsid w:val="00895457"/>
    <w:rsid w:val="008C7515"/>
    <w:rsid w:val="008E1265"/>
    <w:rsid w:val="008F3A05"/>
    <w:rsid w:val="0093299E"/>
    <w:rsid w:val="00966081"/>
    <w:rsid w:val="009B619D"/>
    <w:rsid w:val="009B71E3"/>
    <w:rsid w:val="009D036C"/>
    <w:rsid w:val="00A027FC"/>
    <w:rsid w:val="00A2022F"/>
    <w:rsid w:val="00A47E63"/>
    <w:rsid w:val="00A563C9"/>
    <w:rsid w:val="00A716BC"/>
    <w:rsid w:val="00A91B59"/>
    <w:rsid w:val="00A960BF"/>
    <w:rsid w:val="00AA043F"/>
    <w:rsid w:val="00AE432F"/>
    <w:rsid w:val="00B02401"/>
    <w:rsid w:val="00B03CF5"/>
    <w:rsid w:val="00B07A53"/>
    <w:rsid w:val="00B2304A"/>
    <w:rsid w:val="00B34EF8"/>
    <w:rsid w:val="00B53059"/>
    <w:rsid w:val="00B6328C"/>
    <w:rsid w:val="00B64463"/>
    <w:rsid w:val="00B666A7"/>
    <w:rsid w:val="00B81979"/>
    <w:rsid w:val="00BA3A9A"/>
    <w:rsid w:val="00BA7E56"/>
    <w:rsid w:val="00BB74E2"/>
    <w:rsid w:val="00BE49FF"/>
    <w:rsid w:val="00C006C7"/>
    <w:rsid w:val="00C14F66"/>
    <w:rsid w:val="00C153C1"/>
    <w:rsid w:val="00C22FCC"/>
    <w:rsid w:val="00C9536B"/>
    <w:rsid w:val="00CA084F"/>
    <w:rsid w:val="00CF5BDC"/>
    <w:rsid w:val="00D27846"/>
    <w:rsid w:val="00D618A2"/>
    <w:rsid w:val="00D87AEA"/>
    <w:rsid w:val="00D97415"/>
    <w:rsid w:val="00DB7CA0"/>
    <w:rsid w:val="00DE283D"/>
    <w:rsid w:val="00DF4043"/>
    <w:rsid w:val="00E23A46"/>
    <w:rsid w:val="00E67260"/>
    <w:rsid w:val="00E677C1"/>
    <w:rsid w:val="00E76C6B"/>
    <w:rsid w:val="00E90BF4"/>
    <w:rsid w:val="00EF2F11"/>
    <w:rsid w:val="00F12E16"/>
    <w:rsid w:val="00F41673"/>
    <w:rsid w:val="00F41C40"/>
    <w:rsid w:val="00FB07DC"/>
    <w:rsid w:val="00FB4FF2"/>
    <w:rsid w:val="00FC67F1"/>
    <w:rsid w:val="00FC6EFE"/>
    <w:rsid w:val="00FD50F4"/>
    <w:rsid w:val="00FD7861"/>
    <w:rsid w:val="00FE0B54"/>
    <w:rsid w:val="00FE26E5"/>
    <w:rsid w:val="08E696A0"/>
    <w:rsid w:val="1D632F4A"/>
    <w:rsid w:val="1D82B09B"/>
    <w:rsid w:val="3B95BA02"/>
    <w:rsid w:val="3B95BA02"/>
    <w:rsid w:val="5B5DFCF5"/>
    <w:rsid w:val="613432D6"/>
    <w:rsid w:val="69CFBE5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26E5"/>
    <w:pPr>
      <w:spacing w:after="0" w:line="240" w:lineRule="auto"/>
    </w:pPr>
    <w:rPr>
      <w:rFonts w:ascii="Times New Roman" w:hAnsi="Times New Roman" w:eastAsia="Times New Roman" w:cs="Times New Roman"/>
      <w:sz w:val="24"/>
      <w:szCs w:val="24"/>
      <w:lang w:val="en-NL"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val="en-GB"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val="en-GB"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val="en-GB"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val="en-GB"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val="en-GB"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val="en-GB"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val="en-GB"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val="en-GB"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 w:type="character" w:styleId="font81" w:customStyle="1">
    <w:name w:val="font81"/>
    <w:basedOn w:val="DefaultParagraphFont"/>
    <w:rsid w:val="006F1598"/>
    <w:rPr>
      <w:rFonts w:hint="default" w:ascii="Calibri" w:hAnsi="Calibri" w:cs="Calibri"/>
      <w:b w:val="0"/>
      <w:bCs w:val="0"/>
      <w:i/>
      <w:iCs/>
      <w:strike w:val="0"/>
      <w:dstrike w:val="0"/>
      <w:color w:val="000000"/>
      <w:sz w:val="24"/>
      <w:szCs w:val="24"/>
      <w:u w:val="none"/>
      <w:effect w:val="none"/>
    </w:rPr>
  </w:style>
  <w:style w:type="character" w:styleId="font01" w:customStyle="1">
    <w:name w:val="font01"/>
    <w:basedOn w:val="DefaultParagraphFont"/>
    <w:rsid w:val="006F1598"/>
    <w:rPr>
      <w:rFonts w:hint="default" w:ascii="Calibri" w:hAnsi="Calibri" w:cs="Calibri"/>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51852380">
      <w:bodyDiv w:val="1"/>
      <w:marLeft w:val="0"/>
      <w:marRight w:val="0"/>
      <w:marTop w:val="0"/>
      <w:marBottom w:val="0"/>
      <w:divBdr>
        <w:top w:val="none" w:sz="0" w:space="0" w:color="auto"/>
        <w:left w:val="none" w:sz="0" w:space="0" w:color="auto"/>
        <w:bottom w:val="none" w:sz="0" w:space="0" w:color="auto"/>
        <w:right w:val="none" w:sz="0" w:space="0" w:color="auto"/>
      </w:divBdr>
    </w:div>
    <w:div w:id="169104106">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2882">
      <w:bodyDiv w:val="1"/>
      <w:marLeft w:val="0"/>
      <w:marRight w:val="0"/>
      <w:marTop w:val="0"/>
      <w:marBottom w:val="0"/>
      <w:divBdr>
        <w:top w:val="none" w:sz="0" w:space="0" w:color="auto"/>
        <w:left w:val="none" w:sz="0" w:space="0" w:color="auto"/>
        <w:bottom w:val="none" w:sz="0" w:space="0" w:color="auto"/>
        <w:right w:val="none" w:sz="0" w:space="0" w:color="auto"/>
      </w:divBdr>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22331504">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43461553">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177187113">
      <w:bodyDiv w:val="1"/>
      <w:marLeft w:val="0"/>
      <w:marRight w:val="0"/>
      <w:marTop w:val="0"/>
      <w:marBottom w:val="0"/>
      <w:divBdr>
        <w:top w:val="none" w:sz="0" w:space="0" w:color="auto"/>
        <w:left w:val="none" w:sz="0" w:space="0" w:color="auto"/>
        <w:bottom w:val="none" w:sz="0" w:space="0" w:color="auto"/>
        <w:right w:val="none" w:sz="0" w:space="0" w:color="auto"/>
      </w:divBdr>
    </w:div>
    <w:div w:id="1198007100">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458839033">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86723277">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685862718">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002804664">
      <w:bodyDiv w:val="1"/>
      <w:marLeft w:val="0"/>
      <w:marRight w:val="0"/>
      <w:marTop w:val="0"/>
      <w:marBottom w:val="0"/>
      <w:divBdr>
        <w:top w:val="none" w:sz="0" w:space="0" w:color="auto"/>
        <w:left w:val="none" w:sz="0" w:space="0" w:color="auto"/>
        <w:bottom w:val="none" w:sz="0" w:space="0" w:color="auto"/>
        <w:right w:val="none" w:sz="0" w:space="0" w:color="auto"/>
      </w:divBdr>
    </w:div>
    <w:div w:id="2063675592">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 w:id="2115129946">
      <w:bodyDiv w:val="1"/>
      <w:marLeft w:val="0"/>
      <w:marRight w:val="0"/>
      <w:marTop w:val="0"/>
      <w:marBottom w:val="0"/>
      <w:divBdr>
        <w:top w:val="none" w:sz="0" w:space="0" w:color="auto"/>
        <w:left w:val="none" w:sz="0" w:space="0" w:color="auto"/>
        <w:bottom w:val="none" w:sz="0" w:space="0" w:color="auto"/>
        <w:right w:val="none" w:sz="0" w:space="0" w:color="auto"/>
      </w:divBdr>
    </w:div>
    <w:div w:id="214422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16377"/>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13</revision>
  <dcterms:created xsi:type="dcterms:W3CDTF">2022-08-04T09:25:00.0000000Z</dcterms:created>
  <dcterms:modified xsi:type="dcterms:W3CDTF">2022-08-10T13:55:43.4546980Z</dcterms:modified>
</coreProperties>
</file>