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Edited by Julian PT Higgins, Jelena Savović,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52ACFB71" w:rsidR="004B666A" w:rsidRPr="003E7B9F" w:rsidRDefault="003E7B9F" w:rsidP="00E67260">
                  <w:pPr>
                    <w:rPr>
                      <w:rFonts w:ascii="Calibri" w:hAnsi="Calibri" w:cs="Calibri"/>
                      <w:color w:val="000000"/>
                    </w:rPr>
                  </w:pPr>
                  <w:r>
                    <w:rPr>
                      <w:rFonts w:ascii="Calibri" w:hAnsi="Calibri" w:cs="Calibri"/>
                      <w:color w:val="000000"/>
                    </w:rPr>
                    <w:t>Eisenstadt, A., Liverpool, S., Metaxa, A. M., Ciuvat, R. M., &amp; Carlsson, C. (2021). Acceptability, engagement, and exploratory outcomes of an emotional well-being app: Mixed methods preliminary evaluation and descriptive analysis. JMIR Form Res, 5(11), e31064. doi: 10.2196/31064</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95761F4" w:rsidR="0023251F" w:rsidRPr="004B666A" w:rsidRDefault="00E67260"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r w:rsidRPr="004B666A">
                    <w:rPr>
                      <w:rFonts w:cstheme="minorHAnsi"/>
                    </w:rPr>
                    <w:t>Individually-randomized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5"/>
              <w:gridCol w:w="1430"/>
              <w:gridCol w:w="3080"/>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3E2B0FAD" w:rsidR="00895457" w:rsidRPr="00165C67" w:rsidRDefault="003E7B9F" w:rsidP="00895457">
                  <w:r>
                    <w:t>PERMA programme &amp; Gratitude programme</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77CC7CC7" w:rsidR="00895457" w:rsidRPr="00165C67" w:rsidRDefault="003E7B9F"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5E406BD" w14:textId="6FB2DB2B" w:rsidR="00145DB5" w:rsidRDefault="00145DB5" w:rsidP="003E7B9F">
                  <w:pPr>
                    <w:rPr>
                      <w:rFonts w:ascii="Calibri" w:hAnsi="Calibri" w:cs="Calibri"/>
                      <w:color w:val="000000"/>
                    </w:rPr>
                  </w:pPr>
                  <w:r>
                    <w:rPr>
                      <w:rFonts w:ascii="Calibri" w:hAnsi="Calibri" w:cs="Calibri"/>
                      <w:color w:val="000000"/>
                    </w:rPr>
                    <w:t>General subjective Well-being:</w:t>
                  </w:r>
                </w:p>
                <w:p w14:paraId="488C110A" w14:textId="18216F44" w:rsidR="00895457" w:rsidRPr="003E7B9F" w:rsidRDefault="00FB1DAD" w:rsidP="003E7B9F">
                  <w:pPr>
                    <w:rPr>
                      <w:rFonts w:ascii="Calibri" w:hAnsi="Calibri" w:cs="Calibri"/>
                      <w:color w:val="000000"/>
                    </w:rPr>
                  </w:pPr>
                  <w:r>
                    <w:rPr>
                      <w:rFonts w:ascii="Calibri" w:hAnsi="Calibri" w:cs="Calibri"/>
                      <w:color w:val="000000"/>
                    </w:rPr>
                    <w:t xml:space="preserve">1) </w:t>
                  </w:r>
                  <w:r w:rsidR="003E7B9F" w:rsidRPr="003E7B9F">
                    <w:rPr>
                      <w:rFonts w:ascii="Calibri" w:hAnsi="Calibri" w:cs="Calibri"/>
                      <w:color w:val="000000"/>
                    </w:rPr>
                    <w:t xml:space="preserve">Subjective Happiness Scale (Lyubomirsky &amp; Lepper, 1999; SHS), </w:t>
                  </w:r>
                  <w:r>
                    <w:rPr>
                      <w:rFonts w:ascii="Calibri" w:hAnsi="Calibri" w:cs="Calibri"/>
                      <w:color w:val="000000"/>
                    </w:rPr>
                    <w:t>2)</w:t>
                  </w:r>
                  <w:r w:rsidR="003E7B9F" w:rsidRPr="003E7B9F">
                    <w:rPr>
                      <w:rFonts w:ascii="Calibri" w:hAnsi="Calibri" w:cs="Calibri"/>
                      <w:color w:val="000000"/>
                    </w:rPr>
                    <w:t>A single-item life satisfaction measure was used in this study to assess global life satisfaction. The measure was adapted from the Self Anchoring Scale (Cantril, 1965)</w:t>
                  </w:r>
                  <w:r w:rsidR="00145DB5">
                    <w:rPr>
                      <w:rFonts w:ascii="Calibri" w:hAnsi="Calibri" w:cs="Calibri"/>
                      <w:color w:val="000000"/>
                    </w:rPr>
                    <w:t>,</w:t>
                  </w:r>
                  <w:r>
                    <w:rPr>
                      <w:rFonts w:ascii="Calibri" w:hAnsi="Calibri" w:cs="Calibri"/>
                      <w:color w:val="000000"/>
                    </w:rPr>
                    <w:t xml:space="preserve"> 3)</w:t>
                  </w:r>
                  <w:r w:rsidR="003E7B9F" w:rsidRPr="003E7B9F">
                    <w:rPr>
                      <w:rFonts w:ascii="Calibri" w:hAnsi="Calibri" w:cs="Calibri"/>
                      <w:color w:val="000000"/>
                    </w:rPr>
                    <w:t xml:space="preserve"> As described by Feldman Barrett and Russell (1998), two types of affect were assessed with three adjectives for unpleasant affect (miserable, unhappy, and troubled) and three adjectives for pleasant affect (content, happy, and pleased)</w:t>
                  </w:r>
                </w:p>
                <w:p w14:paraId="21C52E56" w14:textId="77777777" w:rsidR="003E7B9F" w:rsidRDefault="003E7B9F" w:rsidP="003E7B9F">
                  <w:pPr>
                    <w:rPr>
                      <w:rFonts w:ascii="Calibri" w:hAnsi="Calibri" w:cs="Calibri"/>
                      <w:color w:val="000000"/>
                    </w:rPr>
                  </w:pPr>
                </w:p>
                <w:p w14:paraId="69FC9657" w14:textId="45E25CDE" w:rsidR="003E7B9F" w:rsidRPr="006262B3" w:rsidRDefault="003E7B9F" w:rsidP="003E7B9F">
                  <w:pPr>
                    <w:rPr>
                      <w:rFonts w:ascii="Calibri" w:hAnsi="Calibri" w:cs="Calibri"/>
                      <w:color w:val="000000"/>
                      <w:lang w:val="en-US"/>
                    </w:rPr>
                  </w:pPr>
                  <w:r>
                    <w:rPr>
                      <w:rFonts w:ascii="Calibri" w:hAnsi="Calibri" w:cs="Calibri"/>
                      <w:color w:val="000000"/>
                    </w:rPr>
                    <w:t xml:space="preserve">Total score is average of all items ranging from 0-10: </w:t>
                  </w:r>
                  <w:r w:rsidR="008B41B4">
                    <w:rPr>
                      <w:rFonts w:ascii="Calibri" w:hAnsi="Calibri" w:cs="Calibri"/>
                      <w:color w:val="000000"/>
                    </w:rPr>
                    <w:t>Each item is scored on a 11-Likert scale ranging from 0-10 with 4 subjective happiness items, 1 satisfaction with life item, and 6 positive affect items.</w:t>
                  </w:r>
                  <w:r>
                    <w:rPr>
                      <w:rFonts w:ascii="Calibri" w:hAnsi="Calibri" w:cs="Calibri"/>
                      <w:color w:val="000000"/>
                    </w:rPr>
                    <w:t xml:space="preserve"> </w:t>
                  </w:r>
                  <w:r w:rsidR="008B41B4">
                    <w:rPr>
                      <w:rFonts w:ascii="Calibri" w:hAnsi="Calibri" w:cs="Calibri"/>
                      <w:color w:val="000000"/>
                    </w:rPr>
                    <w:t>H</w:t>
                  </w:r>
                  <w:r>
                    <w:rPr>
                      <w:rFonts w:ascii="Calibri" w:hAnsi="Calibri" w:cs="Calibri"/>
                      <w:color w:val="000000"/>
                    </w:rPr>
                    <w:t>igher scores indicating greater</w:t>
                  </w:r>
                  <w:r w:rsidR="008B41B4">
                    <w:rPr>
                      <w:rFonts w:ascii="Calibri" w:hAnsi="Calibri" w:cs="Calibri"/>
                      <w:color w:val="000000"/>
                    </w:rPr>
                    <w:t xml:space="preserve"> </w:t>
                  </w:r>
                  <w:r w:rsidR="008B41B4">
                    <w:rPr>
                      <w:rFonts w:ascii="Calibri" w:hAnsi="Calibri" w:cs="Calibri"/>
                      <w:color w:val="000000"/>
                    </w:rPr>
                    <w:lastRenderedPageBreak/>
                    <w:t>subjective happiness,</w:t>
                  </w:r>
                  <w:r>
                    <w:rPr>
                      <w:rFonts w:ascii="Calibri" w:hAnsi="Calibri" w:cs="Calibri"/>
                      <w:color w:val="000000"/>
                    </w:rPr>
                    <w:t xml:space="preserve"> </w:t>
                  </w:r>
                  <w:r w:rsidR="008B41B4">
                    <w:rPr>
                      <w:rFonts w:ascii="Calibri" w:hAnsi="Calibri" w:cs="Calibri"/>
                      <w:color w:val="000000"/>
                    </w:rPr>
                    <w:t xml:space="preserve">satisfaction with life, </w:t>
                  </w:r>
                  <w:r>
                    <w:rPr>
                      <w:rFonts w:ascii="Calibri" w:hAnsi="Calibri" w:cs="Calibri"/>
                      <w:color w:val="000000"/>
                    </w:rPr>
                    <w:t>positive affec</w:t>
                  </w:r>
                  <w:r w:rsidR="008B41B4">
                    <w:rPr>
                      <w:rFonts w:ascii="Calibri" w:hAnsi="Calibri" w:cs="Calibri"/>
                      <w:color w:val="000000"/>
                    </w:rPr>
                    <w:t>t</w:t>
                  </w:r>
                  <w:r w:rsidR="006262B3" w:rsidRPr="006262B3">
                    <w:rPr>
                      <w:rFonts w:ascii="Calibri" w:hAnsi="Calibri" w:cs="Calibri"/>
                      <w:color w:val="000000"/>
                      <w:lang w:val="en-US"/>
                    </w:rPr>
                    <w:t xml:space="preserve"> </w:t>
                  </w:r>
                  <w:r w:rsidR="006262B3">
                    <w:rPr>
                      <w:rFonts w:ascii="Calibri" w:hAnsi="Calibri" w:cs="Calibri"/>
                      <w:color w:val="000000"/>
                      <w:lang w:val="en-US"/>
                    </w:rPr>
                    <w:t>and lower negative affect.</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6559E0C6" w:rsidR="00895457" w:rsidRPr="00165C67" w:rsidRDefault="00FB1DAD" w:rsidP="00895457">
                  <w:pPr>
                    <w:rPr>
                      <w:rFonts w:cstheme="minorHAnsi"/>
                    </w:rPr>
                  </w:pPr>
                  <w:r>
                    <w:rPr>
                      <w:rFonts w:cstheme="minorHAnsi"/>
                    </w:rPr>
                    <w:t>General subjective well-being, journal article, table 4</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0B040085" w:rsidR="00895457" w:rsidRPr="00165C67" w:rsidRDefault="00AA5364" w:rsidP="00895457">
                  <w:pPr>
                    <w:jc w:val="center"/>
                    <w:rPr>
                      <w:rFonts w:cstheme="minorHAnsi"/>
                    </w:rPr>
                  </w:pPr>
                  <w:r w:rsidRPr="00AA5364">
                    <w:rPr>
                      <w:rFonts w:ascii="Wingdings 2" w:eastAsia="Wingdings 2" w:hAnsi="Wingdings 2" w:cstheme="minorHAnsi"/>
                      <w:lang w:val="en-GB"/>
                    </w:rPr>
                    <w:t>£</w:t>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5168FA4" w:rsidR="00895457" w:rsidRPr="00C446C3" w:rsidRDefault="00C446C3" w:rsidP="00895457">
                  <w:pPr>
                    <w:jc w:val="center"/>
                    <w:rPr>
                      <w:rFonts w:cstheme="minorHAnsi"/>
                      <w:lang w:val="en-GB"/>
                    </w:rPr>
                  </w:pPr>
                  <w:r>
                    <w:rPr>
                      <w:rFonts w:cstheme="minorHAnsi"/>
                      <w:lang w:val="en-GB"/>
                    </w:rPr>
                    <w:t>X</w:t>
                  </w:r>
                </w:p>
              </w:tc>
              <w:tc>
                <w:tcPr>
                  <w:tcW w:w="12813" w:type="dxa"/>
                  <w:tcBorders>
                    <w:top w:val="nil"/>
                    <w:left w:val="nil"/>
                    <w:bottom w:val="nil"/>
                    <w:right w:val="nil"/>
                  </w:tcBorders>
                  <w:vAlign w:val="center"/>
                </w:tcPr>
                <w:p w14:paraId="51471028" w14:textId="36FB9972"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51FB0344" w:rsidR="00895457" w:rsidRPr="00165C67" w:rsidRDefault="00C446C3" w:rsidP="00895457">
            <w:r>
              <w:rPr>
                <w:lang w:val="en-GB"/>
              </w:rPr>
              <w:t>X</w:t>
            </w:r>
            <w:r w:rsidR="00895457" w:rsidRPr="00165C67">
              <w:rPr>
                <w:szCs w:val="20"/>
              </w:rPr>
              <w:tab/>
              <w:t>occurrence of non-protocol interventions</w:t>
            </w:r>
          </w:p>
          <w:p w14:paraId="0EBE061D" w14:textId="43F28697" w:rsidR="00895457" w:rsidRPr="00165C67" w:rsidRDefault="00B03CF5" w:rsidP="00895457">
            <w:r w:rsidRPr="00517FCF">
              <w:rPr>
                <w:rFonts w:ascii="Wingdings 2" w:eastAsia="Wingdings 2" w:hAnsi="Wingdings 2" w:cstheme="minorHAnsi"/>
                <w:lang w:val="en-GB"/>
              </w:rPr>
              <w:t>£</w:t>
            </w:r>
            <w:r w:rsidR="00895457" w:rsidRPr="00165C67">
              <w:rPr>
                <w:szCs w:val="20"/>
              </w:rPr>
              <w:tab/>
            </w:r>
            <w:r w:rsidR="00895457" w:rsidRPr="00165C67">
              <w:t>failures in implementing the intervention that could have affected the outcome</w:t>
            </w:r>
          </w:p>
          <w:p w14:paraId="2AFD3E35" w14:textId="4B68163C" w:rsidR="00895457" w:rsidRPr="00165C67" w:rsidRDefault="00C446C3" w:rsidP="00895457">
            <w:r>
              <w:rPr>
                <w:lang w:val="en-GB"/>
              </w:rPr>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3290FDE3" w:rsidR="0023251F" w:rsidRPr="004B666A" w:rsidRDefault="00FB1DAD" w:rsidP="003C3813">
            <w:pPr>
              <w:rPr>
                <w:rFonts w:cstheme="minorHAnsi"/>
              </w:rPr>
            </w:pPr>
            <w:r>
              <w:rPr>
                <w:rFonts w:cstheme="minorHAnsi"/>
              </w:rPr>
              <w:t>X</w:t>
            </w:r>
            <w:r w:rsidR="0023251F" w:rsidRPr="004B666A">
              <w:rPr>
                <w:rFonts w:cstheme="minorHAnsi"/>
              </w:rPr>
              <w:tab/>
              <w:t>Journal article(s) with results of the trial</w:t>
            </w:r>
            <w:r>
              <w:rPr>
                <w:rFonts w:cstheme="minorHAnsi"/>
              </w:rPr>
              <w:t xml:space="preserve"> </w:t>
            </w:r>
          </w:p>
          <w:p w14:paraId="3E767F9F" w14:textId="57EDC2E4" w:rsidR="0023251F" w:rsidRPr="004B666A" w:rsidRDefault="00B03CF5" w:rsidP="003C3813">
            <w:pPr>
              <w:rPr>
                <w:rFonts w:cstheme="minorHAnsi"/>
              </w:rPr>
            </w:pPr>
            <w:r w:rsidRPr="00517FCF">
              <w:rPr>
                <w:rFonts w:ascii="Wingdings 2" w:eastAsia="Wingdings 2" w:hAnsi="Wingdings 2" w:cstheme="minorHAnsi"/>
                <w:lang w:val="en-GB"/>
              </w:rPr>
              <w:t>£</w:t>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Statistical analysis plan (SAP)</w:t>
            </w:r>
          </w:p>
          <w:p w14:paraId="30B5185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Non-commercial trial registry record (e.g. ClinicalTrials.gov record)</w:t>
            </w:r>
          </w:p>
          <w:p w14:paraId="2E73581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Company-owned trial registry record (e.g. GSK Clinical Study Register record)</w:t>
            </w:r>
          </w:p>
          <w:p w14:paraId="1A070A5A"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Regulatory document (e.g. Clinical Study Report, Drug Approval Package)</w:t>
            </w:r>
          </w:p>
          <w:p w14:paraId="20ACC40B"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 xml:space="preserve">Grant database summary (e.g. </w:t>
            </w:r>
            <w:r w:rsidRPr="004B666A">
              <w:rPr>
                <w:rFonts w:cstheme="minorHAnsi"/>
                <w:lang w:val="en-AU"/>
              </w:rPr>
              <w:t xml:space="preserve">NIH RePORTER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lastRenderedPageBreak/>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30A5D31F" w14:textId="0A589B85" w:rsidR="006702DE" w:rsidRDefault="006702DE" w:rsidP="006702DE">
            <w:r>
              <w:t>1.1 “Participants were randomly assigned to either the PERMA-based programme (PERMA condition), the gratitude programme (gratitude condition), or the wait list control group, who received no intervention programme (wait list condition).”</w:t>
            </w:r>
          </w:p>
          <w:p w14:paraId="04530208" w14:textId="7F818FAB" w:rsidR="006702DE" w:rsidRDefault="006702DE" w:rsidP="006702DE"/>
          <w:p w14:paraId="28719E1D" w14:textId="3DF22238" w:rsidR="006702DE" w:rsidRDefault="006702DE" w:rsidP="006702DE">
            <w:r>
              <w:t xml:space="preserve">1.2 </w:t>
            </w:r>
            <w:r w:rsidR="005A454C">
              <w:t xml:space="preserve">Although the allocation was concealed for participants, we don’t know what method was used to allocate participants and thus if allocation was concealed to investigators: </w:t>
            </w:r>
          </w:p>
          <w:p w14:paraId="0D179C62" w14:textId="77777777" w:rsidR="005A454C" w:rsidRDefault="005A454C" w:rsidP="006702DE"/>
          <w:p w14:paraId="23F9127E" w14:textId="0F88C68C" w:rsidR="00FD50F4" w:rsidRPr="005A454C" w:rsidRDefault="006702DE" w:rsidP="006702DE">
            <w:r>
              <w:t>“The entire study was conducted with the online survey software SoSci Survey. ... All participants voluntarily self-registered online for a study “aimed at testing two different online well-being programs consisting of seven brief exercises to be completed during the next seven days at work”</w:t>
            </w:r>
            <w:r w:rsidR="005A454C">
              <w:t xml:space="preserve"> ... Participants were then sent a welcome email with a link to confirm the registration and to start Questionnaire 1. ... After Questionnaire 1, study instructions were disseminated according to the participant’s randomly assigned condition”.</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1FD2D590" w:rsidR="00076212" w:rsidRDefault="004D722D" w:rsidP="003C3813">
            <w:pPr>
              <w:jc w:val="center"/>
              <w:rPr>
                <w:rFonts w:cstheme="minorHAnsi"/>
                <w:color w:val="00B050"/>
                <w:u w:val="single"/>
              </w:rPr>
            </w:pPr>
            <w:r w:rsidRPr="004B666A">
              <w:rPr>
                <w:rFonts w:cstheme="minorHAnsi"/>
              </w:rPr>
              <w:t>NI</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5DD70D81" w:rsidR="00076212" w:rsidRDefault="004D722D" w:rsidP="003C3813">
            <w:pPr>
              <w:tabs>
                <w:tab w:val="left" w:pos="960"/>
              </w:tabs>
              <w:autoSpaceDE w:val="0"/>
              <w:autoSpaceDN w:val="0"/>
              <w:adjustRightInd w:val="0"/>
              <w:jc w:val="center"/>
              <w:rPr>
                <w:rFonts w:cstheme="minorHAnsi"/>
              </w:rPr>
            </w:pPr>
            <w:r w:rsidRPr="004B666A">
              <w:rPr>
                <w:rFonts w:cstheme="minorHAnsi"/>
              </w:rPr>
              <w:t>NI</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F58884" w14:textId="089B5AAE" w:rsidR="005A454C" w:rsidRDefault="005A454C" w:rsidP="005B2F56">
            <w:pPr>
              <w:rPr>
                <w:rFonts w:cstheme="minorHAnsi"/>
                <w:lang w:val="en-GB"/>
              </w:rPr>
            </w:pPr>
            <w:r>
              <w:rPr>
                <w:rFonts w:cstheme="minorHAnsi"/>
                <w:lang w:val="en-GB"/>
              </w:rPr>
              <w:t xml:space="preserve">Visual inspection indicates there is no difference in the group sizes. </w:t>
            </w:r>
          </w:p>
          <w:p w14:paraId="4AF26761" w14:textId="77777777" w:rsidR="00CC49F3" w:rsidRDefault="00CC49F3" w:rsidP="005B2F56">
            <w:pPr>
              <w:rPr>
                <w:rFonts w:cstheme="minorHAnsi"/>
                <w:lang w:val="en-GB"/>
              </w:rPr>
            </w:pPr>
          </w:p>
          <w:p w14:paraId="638B3602" w14:textId="0E50D10A" w:rsidR="005A454C" w:rsidRDefault="005A454C" w:rsidP="005A454C">
            <w:r>
              <w:rPr>
                <w:rFonts w:cstheme="minorHAnsi"/>
                <w:lang w:val="en-GB"/>
              </w:rPr>
              <w:t>“</w:t>
            </w:r>
            <w:r>
              <w:t>Random group assignment was confirmed by comparing baseline characteristics among conditions using one-way ANOVAs and Pearson’s Chi-square analyses: There were no significant pre-existing differences between the three conditions in any of the study’s variables (all p values &gt; .05).”</w:t>
            </w:r>
          </w:p>
          <w:p w14:paraId="7CC43D0D" w14:textId="2BD5DCA6" w:rsidR="005A454C" w:rsidRPr="005A454C" w:rsidRDefault="00DC2BE4" w:rsidP="005A454C">
            <w:r>
              <w:t xml:space="preserve">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1A742CE9" w:rsidR="00CA084F" w:rsidRDefault="004D722D" w:rsidP="003C3813">
            <w:pPr>
              <w:jc w:val="center"/>
              <w:rPr>
                <w:rFonts w:cstheme="minorHAnsi"/>
              </w:rPr>
            </w:pPr>
            <w:r w:rsidRPr="00076212">
              <w:rPr>
                <w:rFonts w:cstheme="minorHAnsi"/>
                <w:color w:val="00B050"/>
                <w:u w:val="single"/>
              </w:rPr>
              <w:t>N</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75EBA31C" w:rsidR="00CA084F"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7777777" w:rsidR="0079530F" w:rsidRPr="004B666A" w:rsidRDefault="0079530F" w:rsidP="0079530F">
            <w:pPr>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1F9D7947" w:rsidR="0079530F" w:rsidRPr="004B666A" w:rsidRDefault="005B2F56" w:rsidP="0079530F">
            <w:pPr>
              <w:jc w:val="center"/>
              <w:rPr>
                <w:rFonts w:cstheme="minorHAnsi"/>
              </w:rPr>
            </w:pPr>
            <w:r>
              <w:rPr>
                <w:rFonts w:cstheme="minorHAnsi"/>
              </w:rPr>
              <w:t>Unpredictable</w:t>
            </w:r>
          </w:p>
        </w:tc>
      </w:tr>
    </w:tbl>
    <w:p w14:paraId="5A34D27C" w14:textId="3AEFBC68" w:rsidR="00730D7D" w:rsidRDefault="00730D7D">
      <w:pPr>
        <w:spacing w:after="160" w:line="259" w:lineRule="auto"/>
      </w:pPr>
      <w:r>
        <w:br w:type="page"/>
      </w:r>
    </w:p>
    <w:p w14:paraId="7F689AFF" w14:textId="77777777" w:rsidR="00ED7695" w:rsidRPr="00122896" w:rsidRDefault="00ED7695" w:rsidP="00ED7695">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ED7695" w:rsidRPr="00122896" w14:paraId="0DEDE37B"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B0F2697" w14:textId="77777777" w:rsidR="00ED7695" w:rsidRPr="00122896" w:rsidRDefault="00ED7695" w:rsidP="00DA3C6E">
            <w:pPr>
              <w:keepNext w:val="0"/>
              <w:spacing w:after="160" w:line="259" w:lineRule="auto"/>
              <w:rPr>
                <w:b/>
              </w:rPr>
            </w:pPr>
            <w:r w:rsidRPr="00122896">
              <w:rPr>
                <w:b/>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F4855BB" w14:textId="77777777" w:rsidR="00ED7695" w:rsidRPr="00122896" w:rsidRDefault="00ED7695" w:rsidP="00DA3C6E">
            <w:pPr>
              <w:keepNext w:val="0"/>
              <w:spacing w:after="160" w:line="259" w:lineRule="auto"/>
              <w:rPr>
                <w:b/>
              </w:rPr>
            </w:pPr>
            <w:r w:rsidRPr="00122896">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50DCFE8" w14:textId="77777777" w:rsidR="00ED7695" w:rsidRPr="00122896" w:rsidRDefault="00ED7695" w:rsidP="00DA3C6E">
            <w:pPr>
              <w:keepNext w:val="0"/>
              <w:spacing w:after="160" w:line="259" w:lineRule="auto"/>
              <w:rPr>
                <w:b/>
              </w:rPr>
            </w:pPr>
            <w:r w:rsidRPr="00122896">
              <w:rPr>
                <w:b/>
              </w:rPr>
              <w:t>Response options</w:t>
            </w:r>
          </w:p>
        </w:tc>
      </w:tr>
      <w:tr w:rsidR="00ED7695" w:rsidRPr="00122896" w14:paraId="21F35F27"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A3CA43F" w14:textId="77777777" w:rsidR="00ED7695" w:rsidRPr="00122896" w:rsidRDefault="00ED7695" w:rsidP="00DA3C6E">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3F5C1EAB" w14:textId="7200392B" w:rsidR="00ED7695" w:rsidRPr="00ED7695" w:rsidRDefault="00ED7695" w:rsidP="00ED7695">
            <w:pPr>
              <w:keepNext w:val="0"/>
              <w:spacing w:after="160" w:line="259" w:lineRule="auto"/>
            </w:pPr>
            <w:r w:rsidRPr="00ED7695">
              <w:t xml:space="preserve">2.1 Participants will have been aware whether they received an intervention or control group, however, they most likely won’t have known which of the two active conditions they would’ve been assigned to: </w:t>
            </w:r>
          </w:p>
          <w:p w14:paraId="4C114AE8" w14:textId="77777777" w:rsidR="00ED7695" w:rsidRPr="00ED7695" w:rsidRDefault="00ED7695" w:rsidP="00ED7695">
            <w:pPr>
              <w:keepNext w:val="0"/>
              <w:spacing w:after="160" w:line="259" w:lineRule="auto"/>
            </w:pPr>
            <w:r w:rsidRPr="00ED7695">
              <w:t>“All participants voluntarily self-registered online for a study “aimed at testing two different online well-being programs consisting of seven brief exercises to be completed during the next seven days at work”.</w:t>
            </w:r>
          </w:p>
          <w:p w14:paraId="4E737661" w14:textId="77777777" w:rsidR="00ED7695" w:rsidRPr="00ED7695" w:rsidRDefault="00ED7695" w:rsidP="00ED7695">
            <w:pPr>
              <w:keepNext w:val="0"/>
              <w:spacing w:after="160" w:line="259" w:lineRule="auto"/>
            </w:pPr>
          </w:p>
          <w:p w14:paraId="0375F86E" w14:textId="3E9147BF" w:rsidR="00ED7695" w:rsidRPr="00122896" w:rsidRDefault="00ED7695" w:rsidP="00ED7695">
            <w:pPr>
              <w:keepNext w:val="0"/>
              <w:spacing w:after="160" w:line="259" w:lineRule="auto"/>
            </w:pPr>
            <w:r w:rsidRPr="00ED7695">
              <w:t>2.2 Delivery was fully automated digital.</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FC84B08" w14:textId="6E7EACDD" w:rsidR="00ED7695" w:rsidRPr="00122896" w:rsidRDefault="00ED7695" w:rsidP="00DA3C6E">
            <w:pPr>
              <w:keepNext w:val="0"/>
              <w:spacing w:after="160" w:line="259" w:lineRule="auto"/>
              <w:rPr>
                <w:lang w:val="es-ES"/>
              </w:rPr>
            </w:pPr>
            <w:r w:rsidRPr="00122896">
              <w:t>PY</w:t>
            </w:r>
          </w:p>
        </w:tc>
      </w:tr>
      <w:tr w:rsidR="00ED7695" w:rsidRPr="00122896" w14:paraId="2F88E347"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0962E91" w14:textId="77777777" w:rsidR="00ED7695" w:rsidRPr="00122896" w:rsidRDefault="00ED7695" w:rsidP="00DA3C6E">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852A85" w14:textId="77777777" w:rsidR="00ED7695" w:rsidRPr="00122896" w:rsidRDefault="00ED7695"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BBD12D9" w14:textId="44844238" w:rsidR="00ED7695" w:rsidRPr="00122896" w:rsidRDefault="00ED7695" w:rsidP="00DA3C6E">
            <w:pPr>
              <w:keepNext w:val="0"/>
              <w:spacing w:after="160" w:line="259" w:lineRule="auto"/>
              <w:rPr>
                <w:lang w:val="es-ES"/>
              </w:rPr>
            </w:pPr>
            <w:r w:rsidRPr="00122896">
              <w:rPr>
                <w:u w:val="single"/>
              </w:rPr>
              <w:t>N</w:t>
            </w:r>
          </w:p>
        </w:tc>
      </w:tr>
      <w:tr w:rsidR="00ED7695" w:rsidRPr="00122896" w14:paraId="32FAE48E"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183E978" w14:textId="77777777" w:rsidR="00ED7695" w:rsidRPr="00122896" w:rsidRDefault="00ED7695" w:rsidP="00DA3C6E">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CA06FCB" w14:textId="0B74B3E2" w:rsidR="00ED7695" w:rsidRPr="00560AE9" w:rsidRDefault="00560AE9" w:rsidP="00DA3C6E">
            <w:pPr>
              <w:keepNext w:val="0"/>
              <w:spacing w:after="160" w:line="259" w:lineRule="auto"/>
              <w:rPr>
                <w:lang w:val="en-GB"/>
              </w:rPr>
            </w:pPr>
            <w:r>
              <w:rPr>
                <w:lang w:val="en-GB"/>
              </w:rPr>
              <w:t xml:space="preserve">No information was provided on whether non-protocol interventions appeared.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1ED985D" w14:textId="17259A01" w:rsidR="00ED7695" w:rsidRPr="00122896" w:rsidRDefault="00ED7695" w:rsidP="00DA3C6E">
            <w:pPr>
              <w:keepNext w:val="0"/>
              <w:spacing w:after="160" w:line="259" w:lineRule="auto"/>
              <w:rPr>
                <w:lang w:val="es-ES"/>
              </w:rPr>
            </w:pPr>
            <w:r w:rsidRPr="00122896">
              <w:rPr>
                <w:lang w:val="es-ES"/>
              </w:rPr>
              <w:t>NI</w:t>
            </w:r>
          </w:p>
        </w:tc>
      </w:tr>
      <w:tr w:rsidR="00ED7695" w:rsidRPr="00122896" w14:paraId="35219727"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E1EDAF9" w14:textId="77777777" w:rsidR="00ED7695" w:rsidRPr="00122896" w:rsidRDefault="00ED7695" w:rsidP="00DA3C6E">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0C375EB" w14:textId="77777777" w:rsidR="00ED7695" w:rsidRPr="00122896" w:rsidRDefault="00ED7695"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58FB50D" w14:textId="49F85912" w:rsidR="00ED7695" w:rsidRPr="00122896" w:rsidRDefault="00ED7695" w:rsidP="00DA3C6E">
            <w:pPr>
              <w:keepNext w:val="0"/>
              <w:spacing w:after="160" w:line="259" w:lineRule="auto"/>
              <w:rPr>
                <w:lang w:val="es-ES"/>
              </w:rPr>
            </w:pPr>
            <w:r w:rsidRPr="00122896">
              <w:rPr>
                <w:lang w:val="es-ES"/>
              </w:rPr>
              <w:t>NA</w:t>
            </w:r>
          </w:p>
        </w:tc>
      </w:tr>
      <w:tr w:rsidR="00ED7695" w:rsidRPr="00122896" w14:paraId="4B19807E"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4B08E6E" w14:textId="77777777" w:rsidR="00ED7695" w:rsidRPr="00122896" w:rsidRDefault="00ED7695" w:rsidP="00DA3C6E">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454F4F0" w14:textId="56CB4F5F" w:rsidR="00ED7695" w:rsidRPr="00042DD7" w:rsidRDefault="00042DD7" w:rsidP="00DA3C6E">
            <w:pPr>
              <w:keepNext w:val="0"/>
              <w:spacing w:after="160" w:line="259" w:lineRule="auto"/>
              <w:rPr>
                <w:lang w:val="en-GB"/>
              </w:rPr>
            </w:pPr>
            <w:r>
              <w:rPr>
                <w:lang w:val="en-GB"/>
              </w:rPr>
              <w:t xml:space="preserve">Non-adherence hasn’t been reported, only </w:t>
            </w:r>
            <w:r w:rsidR="00BB5D79">
              <w:rPr>
                <w:lang w:val="en-GB"/>
              </w:rPr>
              <w:t xml:space="preserve">attrition/dropout.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A45995E" w14:textId="0712D0BF" w:rsidR="00ED7695" w:rsidRPr="00122896" w:rsidRDefault="00ED7695" w:rsidP="00DA3C6E">
            <w:pPr>
              <w:keepNext w:val="0"/>
              <w:spacing w:after="160" w:line="259" w:lineRule="auto"/>
              <w:rPr>
                <w:lang w:val="es-ES"/>
              </w:rPr>
            </w:pPr>
            <w:r w:rsidRPr="00122896">
              <w:rPr>
                <w:u w:val="single"/>
                <w:lang w:val="es-ES"/>
              </w:rPr>
              <w:t>PN</w:t>
            </w:r>
          </w:p>
        </w:tc>
      </w:tr>
      <w:tr w:rsidR="00ED7695" w:rsidRPr="00122896" w14:paraId="7D19321B"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C633758" w14:textId="77777777" w:rsidR="00ED7695" w:rsidRPr="00122896" w:rsidRDefault="00ED7695" w:rsidP="00DA3C6E">
            <w:pPr>
              <w:keepNext w:val="0"/>
              <w:spacing w:after="160" w:line="259" w:lineRule="auto"/>
              <w:rPr>
                <w:b/>
              </w:rPr>
            </w:pPr>
            <w:r w:rsidRPr="00122896">
              <w:rPr>
                <w:b/>
              </w:rPr>
              <w:t xml:space="preserve">2.6. </w:t>
            </w:r>
            <w:r w:rsidRPr="00122896">
              <w:rPr>
                <w:b/>
                <w:u w:val="single"/>
              </w:rPr>
              <w:t>If N/PN/NI to 2.3, or Y/PY/NI to 2.4 or 2.5</w:t>
            </w:r>
            <w:r w:rsidRPr="00122896">
              <w:rPr>
                <w:b/>
              </w:rPr>
              <w:t xml:space="preserve">: Was an appropriate analysis </w:t>
            </w:r>
            <w:r w:rsidRPr="00122896">
              <w:rPr>
                <w:b/>
              </w:rPr>
              <w:lastRenderedPageBreak/>
              <w:t>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D1F3AB6" w14:textId="2C8C0BE7" w:rsidR="004716FA" w:rsidRPr="004716FA" w:rsidRDefault="004716FA" w:rsidP="004716FA">
            <w:pPr>
              <w:keepNext w:val="0"/>
              <w:spacing w:after="160" w:line="259" w:lineRule="auto"/>
              <w:rPr>
                <w:lang w:val="en-GB"/>
              </w:rPr>
            </w:pPr>
            <w:r w:rsidRPr="004716FA">
              <w:rPr>
                <w:lang w:val="en-GB"/>
              </w:rPr>
              <w:lastRenderedPageBreak/>
              <w:t xml:space="preserve">Completers only analysis: </w:t>
            </w:r>
          </w:p>
          <w:p w14:paraId="3AC77CA4" w14:textId="77777777" w:rsidR="00ED7695" w:rsidRDefault="004716FA" w:rsidP="004716FA">
            <w:pPr>
              <w:keepNext w:val="0"/>
              <w:spacing w:after="160" w:line="259" w:lineRule="auto"/>
              <w:rPr>
                <w:lang w:val="en-US"/>
              </w:rPr>
            </w:pPr>
            <w:r w:rsidRPr="004716FA">
              <w:rPr>
                <w:lang w:val="en-GB"/>
              </w:rPr>
              <w:t>“</w:t>
            </w:r>
            <w:r w:rsidRPr="004716FA">
              <w:t xml:space="preserve">Repeated-measures ANOVAs with one within-subjects factor (point of measurement) and one between-subjects factor (experimental condition) </w:t>
            </w:r>
            <w:r w:rsidRPr="004716FA">
              <w:lastRenderedPageBreak/>
              <w:t>were conducted with GSWB and WSWB as dependent variables.</w:t>
            </w:r>
            <w:r w:rsidRPr="004716FA">
              <w:rPr>
                <w:lang w:val="en-US"/>
              </w:rPr>
              <w:t>” See table 4, pre-post in PERMA is 90 which is the participants who completed the measures and intervention.</w:t>
            </w:r>
          </w:p>
          <w:p w14:paraId="754EEF13" w14:textId="7A08D96D" w:rsidR="000E0818" w:rsidRPr="00122896" w:rsidRDefault="000E0818" w:rsidP="004716FA">
            <w:pPr>
              <w:keepNext w:val="0"/>
              <w:spacing w:after="160" w:line="259" w:lineRule="auto"/>
            </w:pPr>
            <w:r>
              <w:rPr>
                <w:lang w:val="en-US"/>
              </w:rPr>
              <w:t xml:space="preserve">Table 3. Correlations and regressions based on mediation/moderation factors were explored.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036B05F" w14:textId="076A32C5" w:rsidR="00ED7695" w:rsidRPr="00122896" w:rsidRDefault="00ED7695" w:rsidP="00DA3C6E">
            <w:pPr>
              <w:keepNext w:val="0"/>
              <w:spacing w:after="160" w:line="259" w:lineRule="auto"/>
              <w:rPr>
                <w:lang w:val="es-ES"/>
              </w:rPr>
            </w:pPr>
            <w:r w:rsidRPr="00122896">
              <w:rPr>
                <w:u w:val="single"/>
                <w:lang w:val="es-ES"/>
              </w:rPr>
              <w:lastRenderedPageBreak/>
              <w:t>P</w:t>
            </w:r>
            <w:r w:rsidR="00FA6925">
              <w:rPr>
                <w:u w:val="single"/>
                <w:lang w:val="es-ES"/>
              </w:rPr>
              <w:t>N</w:t>
            </w:r>
          </w:p>
        </w:tc>
      </w:tr>
      <w:tr w:rsidR="00ED7695" w:rsidRPr="00122896" w14:paraId="4C0EBDC3" w14:textId="77777777" w:rsidTr="00DA3C6E">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AA430EA" w14:textId="77777777" w:rsidR="00ED7695" w:rsidRPr="00122896" w:rsidRDefault="00ED7695" w:rsidP="00DA3C6E">
            <w:pPr>
              <w:keepNext w:val="0"/>
              <w:spacing w:after="160" w:line="259" w:lineRule="auto"/>
            </w:pPr>
            <w:r w:rsidRPr="00122896">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7F56BA2" w14:textId="77777777" w:rsidR="00ED7695" w:rsidRPr="00122896" w:rsidRDefault="00ED7695"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D2EEB89" w14:textId="37353E31" w:rsidR="00ED7695" w:rsidRPr="00122896" w:rsidRDefault="00FA6925" w:rsidP="00DA3C6E">
            <w:pPr>
              <w:keepNext w:val="0"/>
              <w:spacing w:after="160" w:line="259" w:lineRule="auto"/>
            </w:pPr>
            <w:r>
              <w:t>High</w:t>
            </w:r>
          </w:p>
        </w:tc>
      </w:tr>
      <w:tr w:rsidR="00ED7695" w:rsidRPr="00122896" w14:paraId="2D8139E8" w14:textId="77777777" w:rsidTr="00DA3C6E">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C92B741" w14:textId="77777777" w:rsidR="00ED7695" w:rsidRPr="00122896" w:rsidRDefault="00ED7695" w:rsidP="00DA3C6E">
            <w:pPr>
              <w:keepNext w:val="0"/>
              <w:spacing w:after="160" w:line="259" w:lineRule="auto"/>
            </w:pPr>
            <w:r w:rsidRPr="00122896">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38D3B83" w14:textId="77777777" w:rsidR="00ED7695" w:rsidRPr="00122896" w:rsidRDefault="00ED7695"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C30F704" w14:textId="46DE257D" w:rsidR="00ED7695" w:rsidRPr="00122896" w:rsidRDefault="00ED7695" w:rsidP="00DA3C6E">
            <w:pPr>
              <w:keepNext w:val="0"/>
              <w:spacing w:after="160" w:line="259" w:lineRule="auto"/>
            </w:pPr>
            <w:r w:rsidRPr="00122896">
              <w:t>Unpredictable</w:t>
            </w:r>
          </w:p>
        </w:tc>
      </w:tr>
    </w:tbl>
    <w:p w14:paraId="18E700E0" w14:textId="51A817F6" w:rsidR="007A6E1E" w:rsidRDefault="007A6E1E" w:rsidP="7E7E66EA">
      <w:pPr>
        <w:spacing w:after="160" w:line="259" w:lineRule="auto"/>
        <w:rPr>
          <w:spacing w:val="15"/>
        </w:rPr>
      </w:pPr>
    </w:p>
    <w:p w14:paraId="54E3B37E" w14:textId="77777777" w:rsidR="00851D4D" w:rsidRDefault="00851D4D">
      <w:pPr>
        <w:spacing w:after="160" w:line="259" w:lineRule="auto"/>
        <w:rPr>
          <w:rFonts w:eastAsiaTheme="minorEastAsia"/>
          <w:color w:val="5A5A5A" w:themeColor="text1" w:themeTint="A5"/>
          <w:spacing w:val="15"/>
        </w:rPr>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0079530F">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3C765747" w14:textId="7BD0AAC3" w:rsidR="00C153C1" w:rsidRPr="00495C3A" w:rsidRDefault="00F74D62" w:rsidP="005B2F56">
            <w:pPr>
              <w:rPr>
                <w:rFonts w:cstheme="minorHAnsi"/>
                <w:lang w:val="en-GB"/>
              </w:rPr>
            </w:pPr>
            <w:r>
              <w:rPr>
                <w:rFonts w:cstheme="minorHAnsi"/>
                <w:lang w:val="en-US"/>
              </w:rPr>
              <w:t>No, a total of 431 were randomized and 128 (approximately 25%) dropped out.</w:t>
            </w:r>
          </w:p>
        </w:tc>
        <w:tc>
          <w:tcPr>
            <w:tcW w:w="2836" w:type="dxa"/>
            <w:shd w:val="clear" w:color="auto" w:fill="auto"/>
          </w:tcPr>
          <w:p w14:paraId="4AFA6BAC" w14:textId="6818C5A5" w:rsidR="00C153C1" w:rsidRDefault="004D722D"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00C153C1" w:rsidRPr="004B666A" w14:paraId="7EECE6A2" w14:textId="77777777" w:rsidTr="0079530F">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581DA57F" w14:textId="51BC7E98" w:rsidR="00F74D62" w:rsidRPr="00F74D62" w:rsidRDefault="00F74D62" w:rsidP="00F74D62">
            <w:pPr>
              <w:rPr>
                <w:lang w:val="en-US"/>
              </w:rPr>
            </w:pPr>
            <w:r w:rsidRPr="00F74D62">
              <w:rPr>
                <w:lang w:val="en-US"/>
              </w:rPr>
              <w:t>“</w:t>
            </w:r>
            <w:r>
              <w:t xml:space="preserve">The overall attrition rate was 29.70% (128/431), leading to a final sample of 303 participants that were analysed according to a per-protocol approach to analysis. A Pearson’s Chi-square analysis showed that attrition rates differed significantly over the 562 L. M. NEUMEIER ET AL. three conditions, χ 2 (2) = 36.11, p = .000 (two-tailed test), yielding a medium effect size (Cramer’s V = .289) according to Cohen (1988). The cell percentages and counts in the contingency table clearly indicated greater attrition rates in both of the intervention groups (attrition rates were 40.56% in the gratitude condition, 37.50% in the PERMA condition, and 11.11% in the wait list condition). Another Pearson’s Chi-square analysis comparing attrition rates in the two intervention groups showed no significant association between attrition rate and intervention group, χ 2 (1) = .28, p = .629 (two-tailed test). To explore differences due to attrition, baseline variables were compared for those who completed all stages through to Questionnaire 2 (N = 303) versus those who dropped out at any point after Questionnaire 1 (N = 128). Student’s t-tests for independent samples and Pearson’s Chi-square analysis showed that completers and drop-outs were </w:t>
            </w:r>
            <w:r>
              <w:lastRenderedPageBreak/>
              <w:t>not significantly different in any of the variables apart from age: Those remaining in the study were significantly older (N = 299, M = 41.16, SD = 12.26) than drop-outs (N = 127, M = 37.82, SD = 10.97), as indicated by a significant difference between means with a small effect size according to Cohen (1992), t (263.73) = 2.77, p = .006, d = .29.</w:t>
            </w:r>
            <w:r w:rsidRPr="00F74D62">
              <w:rPr>
                <w:lang w:val="en-US"/>
              </w:rPr>
              <w:t>”</w:t>
            </w:r>
          </w:p>
          <w:p w14:paraId="1ED71559" w14:textId="2E89F608" w:rsidR="00C153C1" w:rsidRPr="00E90BF4" w:rsidRDefault="00C153C1" w:rsidP="00E90BF4"/>
        </w:tc>
        <w:tc>
          <w:tcPr>
            <w:tcW w:w="2836" w:type="dxa"/>
            <w:shd w:val="clear" w:color="auto" w:fill="auto"/>
          </w:tcPr>
          <w:p w14:paraId="39D91496" w14:textId="47517A2A" w:rsidR="00C153C1" w:rsidRDefault="004D722D" w:rsidP="00C153C1">
            <w:pPr>
              <w:jc w:val="center"/>
              <w:rPr>
                <w:rFonts w:cstheme="minorHAnsi"/>
                <w:color w:val="FF0000"/>
              </w:rPr>
            </w:pPr>
            <w:r w:rsidRPr="004B666A">
              <w:rPr>
                <w:rFonts w:cstheme="minorHAnsi"/>
                <w:color w:val="FF0000"/>
              </w:rPr>
              <w:lastRenderedPageBreak/>
              <w:t>N</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0079530F">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54AD3D77" w14:textId="77777777" w:rsidR="00C14F66" w:rsidRDefault="006D39D4" w:rsidP="00C153C1">
            <w:pPr>
              <w:rPr>
                <w:rFonts w:cstheme="minorHAnsi"/>
                <w:lang w:val="en-US"/>
              </w:rPr>
            </w:pPr>
            <w:r w:rsidRPr="006D39D4">
              <w:rPr>
                <w:rFonts w:cstheme="minorHAnsi"/>
                <w:lang w:val="en-US"/>
              </w:rPr>
              <w:t>There’s no documented reasons why participants dropped out</w:t>
            </w:r>
            <w:r>
              <w:rPr>
                <w:rFonts w:cstheme="minorHAnsi"/>
                <w:lang w:val="en-US"/>
              </w:rPr>
              <w:t>. It is known that participants dropping out were younger.</w:t>
            </w:r>
          </w:p>
          <w:p w14:paraId="69C3EA9F" w14:textId="77777777" w:rsidR="006D39D4" w:rsidRDefault="006D39D4" w:rsidP="00C153C1">
            <w:pPr>
              <w:rPr>
                <w:rFonts w:cstheme="minorHAnsi"/>
                <w:lang w:val="en-US"/>
              </w:rPr>
            </w:pPr>
          </w:p>
          <w:p w14:paraId="369A7139" w14:textId="77777777" w:rsidR="006D39D4" w:rsidRDefault="006D39D4" w:rsidP="00C153C1">
            <w:pPr>
              <w:rPr>
                <w:rFonts w:cstheme="minorHAnsi"/>
                <w:lang w:val="en-US"/>
              </w:rPr>
            </w:pPr>
            <w:r>
              <w:rPr>
                <w:rFonts w:cstheme="minorHAnsi"/>
                <w:lang w:val="en-US"/>
              </w:rPr>
              <w:t xml:space="preserve">3.4 There’s larger missing outcome data in the intervention groups compared to the Waitlist control: </w:t>
            </w:r>
          </w:p>
          <w:p w14:paraId="51F61EF6" w14:textId="77777777" w:rsidR="006D39D4" w:rsidRDefault="006D39D4" w:rsidP="00C153C1">
            <w:pPr>
              <w:rPr>
                <w:rFonts w:cstheme="minorHAnsi"/>
                <w:lang w:val="en-US"/>
              </w:rPr>
            </w:pPr>
          </w:p>
          <w:p w14:paraId="27097663" w14:textId="3FB9E50D" w:rsidR="006D39D4" w:rsidRPr="006D39D4" w:rsidRDefault="006D39D4" w:rsidP="00C153C1">
            <w:pPr>
              <w:rPr>
                <w:rFonts w:cstheme="minorHAnsi"/>
                <w:lang w:val="en-US"/>
              </w:rPr>
            </w:pPr>
            <w:r>
              <w:rPr>
                <w:rFonts w:cstheme="minorHAnsi"/>
                <w:lang w:val="en-US"/>
              </w:rPr>
              <w:t>See figure 1: dropout was 54 (37.5%) in PERMA, 58 (40.6%) in Gratitude and 16 (11.1%) in Waitlist control.</w:t>
            </w:r>
          </w:p>
        </w:tc>
        <w:tc>
          <w:tcPr>
            <w:tcW w:w="2836" w:type="dxa"/>
            <w:shd w:val="clear" w:color="auto" w:fill="auto"/>
          </w:tcPr>
          <w:p w14:paraId="5AC043F2" w14:textId="30A55259" w:rsidR="00C153C1" w:rsidRDefault="004D722D" w:rsidP="00C153C1">
            <w:pPr>
              <w:jc w:val="center"/>
              <w:rPr>
                <w:rFonts w:cstheme="minorHAnsi"/>
                <w:lang w:val="es-ES"/>
              </w:rPr>
            </w:pPr>
            <w:r w:rsidRPr="006B1069">
              <w:rPr>
                <w:rFonts w:cstheme="minorHAnsi"/>
                <w:color w:val="FF0000"/>
                <w:lang w:val="es-ES"/>
              </w:rPr>
              <w:t>PY</w:t>
            </w:r>
            <w:r w:rsidRPr="006B1069">
              <w:rPr>
                <w:rFonts w:cstheme="minorHAnsi"/>
                <w:color w:val="00B050"/>
                <w:lang w:val="es-ES"/>
              </w:rPr>
              <w:t xml:space="preserve"> </w:t>
            </w:r>
          </w:p>
          <w:p w14:paraId="75730504" w14:textId="77777777" w:rsidR="00E90BF4" w:rsidRDefault="00E90BF4" w:rsidP="00E90BF4">
            <w:pPr>
              <w:rPr>
                <w:rFonts w:cstheme="minorHAnsi"/>
                <w:lang w:val="es-ES"/>
              </w:rPr>
            </w:pPr>
          </w:p>
          <w:p w14:paraId="310F6977" w14:textId="1BC87B25" w:rsidR="00E90BF4" w:rsidRPr="00C14F66" w:rsidRDefault="00C14F66" w:rsidP="00C14F66">
            <w:r w:rsidRPr="00C14F66">
              <w:rPr>
                <w:rFonts w:cstheme="minorHAnsi"/>
                <w:sz w:val="18"/>
                <w:szCs w:val="18"/>
                <w:shd w:val="clear" w:color="auto" w:fill="FAF9F8"/>
              </w:rPr>
              <w:t>If  loss  to  follow  up,  or  withdrawal  from  the  study,  could  be  related  to  participants’  health  status,  then  it  is  possible  that</w:t>
            </w:r>
            <w:r w:rsidR="00F74D62" w:rsidRPr="00F74D62">
              <w:rPr>
                <w:rFonts w:cstheme="minorHAnsi"/>
                <w:sz w:val="18"/>
                <w:szCs w:val="18"/>
                <w:shd w:val="clear" w:color="auto" w:fill="FAF9F8"/>
                <w:lang w:val="en-US"/>
              </w:rPr>
              <w:t xml:space="preserve"> </w:t>
            </w:r>
            <w:r w:rsidRPr="00C14F66">
              <w:rPr>
                <w:rFonts w:cstheme="minorHAnsi"/>
                <w:sz w:val="18"/>
                <w:szCs w:val="18"/>
                <w:shd w:val="clear" w:color="auto" w:fill="FAF9F8"/>
              </w:rPr>
              <w: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0079530F">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14:paraId="5D46C599" w14:textId="77777777" w:rsidR="00C153C1" w:rsidRPr="004B666A" w:rsidRDefault="00C153C1" w:rsidP="00C153C1">
            <w:pPr>
              <w:rPr>
                <w:rFonts w:cstheme="minorHAnsi"/>
              </w:rPr>
            </w:pPr>
          </w:p>
        </w:tc>
        <w:tc>
          <w:tcPr>
            <w:tcW w:w="2836" w:type="dxa"/>
            <w:shd w:val="clear" w:color="auto" w:fill="auto"/>
          </w:tcPr>
          <w:p w14:paraId="0B21AD33" w14:textId="757AF8A9" w:rsidR="00C153C1" w:rsidRDefault="004D722D" w:rsidP="00C153C1">
            <w:pPr>
              <w:jc w:val="center"/>
              <w:rPr>
                <w:rFonts w:cstheme="minorHAnsi"/>
                <w:lang w:val="es-ES"/>
              </w:rPr>
            </w:pPr>
            <w:r w:rsidRPr="006B1069">
              <w:rPr>
                <w:rFonts w:cstheme="minorHAnsi"/>
                <w:color w:val="FF0000"/>
                <w:lang w:val="es-ES"/>
              </w:rPr>
              <w:t xml:space="preserve">Y </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 xml:space="preserve">2.Reported reasons for missing outcome data provide evidence that </w:t>
            </w:r>
            <w:r w:rsidRPr="00C14F66">
              <w:rPr>
                <w:rFonts w:cstheme="minorHAnsi"/>
                <w:sz w:val="18"/>
                <w:szCs w:val="18"/>
                <w:shd w:val="clear" w:color="auto" w:fill="FAF9F8"/>
              </w:rPr>
              <w:lastRenderedPageBreak/>
              <w:t>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4.The circumstances of the trial make it likely that missingness in the outcome depends on its true 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0079530F">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7DB05D54" w:rsidR="00CA084F" w:rsidRPr="004B666A" w:rsidRDefault="00CA084F" w:rsidP="003C3813">
            <w:pPr>
              <w:tabs>
                <w:tab w:val="left" w:pos="960"/>
              </w:tabs>
              <w:autoSpaceDE w:val="0"/>
              <w:autoSpaceDN w:val="0"/>
              <w:adjustRightInd w:val="0"/>
              <w:rPr>
                <w:rFonts w:cstheme="minorHAnsi"/>
              </w:rPr>
            </w:pPr>
          </w:p>
        </w:tc>
        <w:tc>
          <w:tcPr>
            <w:tcW w:w="2836" w:type="dxa"/>
            <w:shd w:val="clear" w:color="auto" w:fill="auto"/>
          </w:tcPr>
          <w:p w14:paraId="254169B7" w14:textId="6D418B81" w:rsidR="00CA084F" w:rsidRPr="004B666A" w:rsidRDefault="005B2F56" w:rsidP="003C3813">
            <w:pPr>
              <w:tabs>
                <w:tab w:val="left" w:pos="960"/>
              </w:tabs>
              <w:autoSpaceDE w:val="0"/>
              <w:autoSpaceDN w:val="0"/>
              <w:adjustRightInd w:val="0"/>
              <w:jc w:val="center"/>
              <w:rPr>
                <w:rFonts w:cstheme="minorHAnsi"/>
              </w:rPr>
            </w:pPr>
            <w:r>
              <w:rPr>
                <w:rFonts w:cstheme="minorHAnsi"/>
              </w:rPr>
              <w:t xml:space="preserve">High </w:t>
            </w:r>
          </w:p>
        </w:tc>
      </w:tr>
      <w:tr w:rsidR="0079530F" w:rsidRPr="004B666A" w14:paraId="52A93D70" w14:textId="77777777" w:rsidTr="0079530F">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3283DEE4" w:rsidR="0079530F" w:rsidRPr="004B666A" w:rsidRDefault="005B2F56" w:rsidP="0079530F">
            <w:pPr>
              <w:jc w:val="center"/>
              <w:rPr>
                <w:rFonts w:cstheme="minorHAnsi"/>
              </w:rPr>
            </w:pPr>
            <w:r>
              <w:rPr>
                <w:rFonts w:cstheme="minorHAnsi"/>
              </w:rPr>
              <w:t>Unpredictable</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0079530F">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33AF6F22" w14:textId="16D26E4B" w:rsidR="005623F3" w:rsidRDefault="005623F3" w:rsidP="005623F3">
            <w:pPr>
              <w:rPr>
                <w:lang w:val="en-US"/>
              </w:rPr>
            </w:pPr>
            <w:r>
              <w:rPr>
                <w:lang w:val="en-US"/>
              </w:rPr>
              <w:t>There was no validated measure available, so a measure was developed - reliability of this measure was good, however, there’s no indication of the validity of this measure.</w:t>
            </w:r>
          </w:p>
          <w:p w14:paraId="01F77FDA" w14:textId="77777777" w:rsidR="005623F3" w:rsidRDefault="005623F3" w:rsidP="005623F3">
            <w:pPr>
              <w:rPr>
                <w:lang w:val="en-US"/>
              </w:rPr>
            </w:pPr>
          </w:p>
          <w:p w14:paraId="1B61CFBF" w14:textId="6C472F89" w:rsidR="0001232C" w:rsidRPr="005623F3" w:rsidRDefault="005623F3" w:rsidP="005623F3">
            <w:pPr>
              <w:rPr>
                <w:lang w:val="en-US"/>
              </w:rPr>
            </w:pPr>
            <w:r w:rsidRPr="005623F3">
              <w:rPr>
                <w:lang w:val="en-US"/>
              </w:rPr>
              <w:t>“</w:t>
            </w:r>
            <w:r>
              <w:t>Although preferable with regard to the PERMA-based programme, there was no published PERMA-based employee well-being scale that was sufficiently validated at the time of this study.3 Therefore, this study drew on the holistic conceptualization of employee well-being proposed by Page and Vella-Brodrick (2009) as described in the “Introduction” section. Employee well-being was measured by the two components general SWB (GSWB)</w:t>
            </w:r>
            <w:r w:rsidRPr="005623F3">
              <w:rPr>
                <w:lang w:val="en-US"/>
              </w:rPr>
              <w:t xml:space="preserve">. </w:t>
            </w:r>
            <w:r>
              <w:rPr>
                <w:lang w:val="en-US"/>
              </w:rPr>
              <w:t xml:space="preserve">... </w:t>
            </w:r>
            <w:r>
              <w:t>higher scores on this measure indicate greater subjective happiness. In this study, Cronbach’s alpha coefficients were α = .89 and α = .91 for the first and second point of measurement.</w:t>
            </w:r>
            <w:r w:rsidRPr="005623F3">
              <w:rPr>
                <w:lang w:val="en-US"/>
              </w:rPr>
              <w:t>”</w:t>
            </w:r>
          </w:p>
        </w:tc>
        <w:tc>
          <w:tcPr>
            <w:tcW w:w="2836" w:type="dxa"/>
            <w:shd w:val="clear" w:color="auto" w:fill="auto"/>
          </w:tcPr>
          <w:p w14:paraId="4B76B9FD" w14:textId="6FC3BAB8" w:rsidR="00C153C1" w:rsidRDefault="004D722D" w:rsidP="00C153C1">
            <w:pPr>
              <w:jc w:val="center"/>
              <w:rPr>
                <w:rFonts w:cstheme="minorHAnsi"/>
              </w:rPr>
            </w:pPr>
            <w:r w:rsidRPr="004B666A">
              <w:rPr>
                <w:rFonts w:cstheme="minorHAnsi"/>
                <w:color w:val="FF0000"/>
              </w:rPr>
              <w:t>PY</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0079530F">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483456D1" w14:textId="41F0EEAA" w:rsidR="006B499C" w:rsidRPr="006262B3" w:rsidRDefault="006262B3" w:rsidP="006B499C">
            <w:pPr>
              <w:spacing w:after="120"/>
              <w:rPr>
                <w:rFonts w:cstheme="minorHAnsi"/>
                <w:lang w:val="en-US"/>
              </w:rPr>
            </w:pPr>
            <w:r w:rsidRPr="006262B3">
              <w:rPr>
                <w:rFonts w:cstheme="minorHAnsi"/>
                <w:lang w:val="en-US"/>
              </w:rPr>
              <w:t xml:space="preserve">No, both received this </w:t>
            </w:r>
            <w:r>
              <w:rPr>
                <w:rFonts w:cstheme="minorHAnsi"/>
                <w:lang w:val="en-US"/>
              </w:rPr>
              <w:t>measure through digital health technology.</w:t>
            </w:r>
          </w:p>
        </w:tc>
        <w:tc>
          <w:tcPr>
            <w:tcW w:w="2836" w:type="dxa"/>
            <w:shd w:val="clear" w:color="auto" w:fill="auto"/>
          </w:tcPr>
          <w:p w14:paraId="340276E7" w14:textId="23A1FA4E" w:rsidR="00C153C1" w:rsidRDefault="004D722D" w:rsidP="00C153C1">
            <w:pPr>
              <w:jc w:val="center"/>
              <w:rPr>
                <w:rFonts w:cstheme="minorHAnsi"/>
              </w:rPr>
            </w:pPr>
            <w:r w:rsidRPr="00076212">
              <w:rPr>
                <w:rFonts w:cstheme="minorHAnsi"/>
                <w:color w:val="00B050"/>
                <w:u w:val="single"/>
              </w:rPr>
              <w:t>PN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0079530F">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092E4F3C" w14:textId="22CA8AB3" w:rsidR="005C1F01" w:rsidRPr="004B666A" w:rsidRDefault="005C1F01" w:rsidP="00C153C1">
            <w:pPr>
              <w:rPr>
                <w:rFonts w:cstheme="minorHAnsi"/>
              </w:rPr>
            </w:pPr>
            <w:r>
              <w:t xml:space="preserve"> </w:t>
            </w:r>
          </w:p>
        </w:tc>
        <w:tc>
          <w:tcPr>
            <w:tcW w:w="2836" w:type="dxa"/>
            <w:shd w:val="clear" w:color="auto" w:fill="auto"/>
          </w:tcPr>
          <w:p w14:paraId="3BC3A928" w14:textId="2A30DEF0" w:rsidR="00C153C1" w:rsidRDefault="004D722D" w:rsidP="00C153C1">
            <w:pPr>
              <w:jc w:val="center"/>
              <w:rPr>
                <w:rFonts w:cstheme="minorHAnsi"/>
                <w:color w:val="00B050"/>
                <w:u w:val="single"/>
                <w:lang w:val="es-ES"/>
              </w:rPr>
            </w:pPr>
            <w:r w:rsidRPr="006B1069">
              <w:rPr>
                <w:rFonts w:cstheme="minorHAnsi"/>
                <w:lang w:val="es-ES"/>
              </w:rPr>
              <w:t>NA</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 xml:space="preserve">were blinded to intervention status. For participant-reported outcomes, </w:t>
            </w:r>
            <w:r w:rsidRPr="001D18A8">
              <w:rPr>
                <w:rFonts w:cstheme="minorHAnsi"/>
                <w:sz w:val="18"/>
                <w:szCs w:val="18"/>
                <w:shd w:val="clear" w:color="auto" w:fill="FAF9F8"/>
              </w:rPr>
              <w:lastRenderedPageBreak/>
              <w:t>the outcome assessor is the study participant.</w:t>
            </w:r>
          </w:p>
        </w:tc>
      </w:tr>
      <w:tr w:rsidR="00C153C1" w:rsidRPr="001D18A8" w14:paraId="369F3D20" w14:textId="77777777" w:rsidTr="0079530F">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7777777" w:rsidR="00C153C1" w:rsidRPr="004B666A" w:rsidRDefault="00C153C1" w:rsidP="00C153C1">
            <w:pPr>
              <w:rPr>
                <w:rFonts w:cstheme="minorHAnsi"/>
              </w:rPr>
            </w:pPr>
          </w:p>
        </w:tc>
        <w:tc>
          <w:tcPr>
            <w:tcW w:w="2836" w:type="dxa"/>
            <w:shd w:val="clear" w:color="auto" w:fill="auto"/>
          </w:tcPr>
          <w:p w14:paraId="3FA7CC12" w14:textId="2FE576BA" w:rsidR="00C153C1" w:rsidRDefault="004D722D" w:rsidP="00C153C1">
            <w:pPr>
              <w:jc w:val="center"/>
              <w:rPr>
                <w:rFonts w:cstheme="minorHAnsi"/>
                <w:lang w:val="es-ES"/>
              </w:rPr>
            </w:pPr>
            <w:r w:rsidRPr="006B1069">
              <w:rPr>
                <w:rFonts w:cstheme="minorHAnsi"/>
                <w:lang w:val="es-ES"/>
              </w:rPr>
              <w:t xml:space="preserve">NA </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0079530F">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shd w:val="clear" w:color="auto" w:fill="auto"/>
          </w:tcPr>
          <w:p w14:paraId="0366504E" w14:textId="77777777" w:rsidR="00C153C1" w:rsidRPr="004B666A" w:rsidRDefault="00C153C1" w:rsidP="00C153C1">
            <w:pPr>
              <w:rPr>
                <w:rFonts w:cstheme="minorHAnsi"/>
              </w:rPr>
            </w:pPr>
          </w:p>
        </w:tc>
        <w:tc>
          <w:tcPr>
            <w:tcW w:w="2836" w:type="dxa"/>
            <w:shd w:val="clear" w:color="auto" w:fill="auto"/>
          </w:tcPr>
          <w:p w14:paraId="5BAF1EB2" w14:textId="110899BC" w:rsidR="00C153C1" w:rsidRDefault="004D722D" w:rsidP="00C153C1">
            <w:pPr>
              <w:jc w:val="center"/>
              <w:rPr>
                <w:rFonts w:cstheme="minorHAnsi"/>
                <w:lang w:val="es-ES"/>
              </w:rPr>
            </w:pPr>
            <w:r w:rsidRPr="006B1069">
              <w:rPr>
                <w:rFonts w:cstheme="minorHAnsi"/>
                <w:lang w:val="es-ES"/>
              </w:rPr>
              <w:t xml:space="preserve">NA </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0079530F">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lastRenderedPageBreak/>
              <w:t>Risk-of-bias judgement</w:t>
            </w:r>
          </w:p>
        </w:tc>
        <w:tc>
          <w:tcPr>
            <w:tcW w:w="7512" w:type="dxa"/>
            <w:shd w:val="clear" w:color="auto" w:fill="auto"/>
          </w:tcPr>
          <w:p w14:paraId="0C494949" w14:textId="3D4CA73C" w:rsidR="00E677C1" w:rsidRPr="006262B3" w:rsidRDefault="006262B3" w:rsidP="003C3813">
            <w:pPr>
              <w:rPr>
                <w:rFonts w:cstheme="minorHAnsi"/>
                <w:lang w:val="en-US"/>
              </w:rPr>
            </w:pPr>
            <w:r w:rsidRPr="006262B3">
              <w:rPr>
                <w:rFonts w:cstheme="minorHAnsi"/>
                <w:lang w:val="en-US"/>
              </w:rPr>
              <w:t>Developed a measure of subjective well-being for which the validity isn’t known.</w:t>
            </w:r>
          </w:p>
        </w:tc>
        <w:tc>
          <w:tcPr>
            <w:tcW w:w="2836" w:type="dxa"/>
            <w:shd w:val="clear" w:color="auto" w:fill="auto"/>
          </w:tcPr>
          <w:p w14:paraId="728D2AA4" w14:textId="7456AABA" w:rsidR="00E677C1" w:rsidRPr="004B666A" w:rsidRDefault="005B2F56" w:rsidP="003C3813">
            <w:pPr>
              <w:tabs>
                <w:tab w:val="left" w:pos="960"/>
              </w:tabs>
              <w:autoSpaceDE w:val="0"/>
              <w:autoSpaceDN w:val="0"/>
              <w:adjustRightInd w:val="0"/>
              <w:jc w:val="center"/>
              <w:rPr>
                <w:rFonts w:cstheme="minorHAnsi"/>
              </w:rPr>
            </w:pPr>
            <w:r>
              <w:rPr>
                <w:rFonts w:cstheme="minorHAnsi"/>
              </w:rPr>
              <w:t xml:space="preserve">High </w:t>
            </w:r>
          </w:p>
        </w:tc>
      </w:tr>
      <w:tr w:rsidR="0079530F" w:rsidRPr="004B666A" w14:paraId="6941ED05" w14:textId="77777777" w:rsidTr="0079530F">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40B87A05" w:rsidR="0079530F" w:rsidRPr="004B666A" w:rsidRDefault="005B2F56" w:rsidP="0079530F">
            <w:pPr>
              <w:jc w:val="center"/>
              <w:rPr>
                <w:rFonts w:cstheme="minorHAnsi"/>
              </w:rPr>
            </w:pPr>
            <w:r>
              <w:rPr>
                <w:rFonts w:cstheme="minorHAns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6741372C" w:rsidR="006869FF" w:rsidRPr="00B81979" w:rsidRDefault="006262B3" w:rsidP="00C153C1">
            <w:pPr>
              <w:rPr>
                <w:rFonts w:cstheme="minorHAnsi"/>
                <w:lang w:val="en-US"/>
              </w:rPr>
            </w:pPr>
            <w:r>
              <w:rPr>
                <w:rFonts w:cstheme="minorHAnsi"/>
                <w:lang w:val="en-US"/>
              </w:rPr>
              <w:t>There doesn’t appear to be a pre-specified analysis plan or pre-registration.</w:t>
            </w:r>
          </w:p>
        </w:tc>
        <w:tc>
          <w:tcPr>
            <w:tcW w:w="2836" w:type="dxa"/>
            <w:tcBorders>
              <w:top w:val="nil"/>
              <w:bottom w:val="single" w:sz="4" w:space="0" w:color="auto"/>
              <w:right w:val="single" w:sz="4" w:space="0" w:color="auto"/>
            </w:tcBorders>
            <w:shd w:val="clear" w:color="auto" w:fill="auto"/>
          </w:tcPr>
          <w:p w14:paraId="50676A0A" w14:textId="4BEE7032" w:rsidR="00C153C1" w:rsidRDefault="004D722D" w:rsidP="00C153C1">
            <w:pPr>
              <w:jc w:val="center"/>
              <w:rPr>
                <w:rFonts w:cstheme="minorHAnsi"/>
                <w:color w:val="00B050"/>
                <w:u w:val="single"/>
              </w:rPr>
            </w:pPr>
            <w:r w:rsidRPr="004B666A">
              <w:rPr>
                <w:rFonts w:cstheme="minorHAnsi"/>
              </w:rPr>
              <w:t>NI</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sz="4" w:space="0" w:color="auto"/>
              <w:bottom w:val="single" w:sz="4" w:space="0" w:color="auto"/>
            </w:tcBorders>
            <w:shd w:val="clear" w:color="auto" w:fill="auto"/>
          </w:tcPr>
          <w:p w14:paraId="4248022F" w14:textId="22D0C52F" w:rsidR="00C153C1" w:rsidRPr="004B3802" w:rsidRDefault="006262B3" w:rsidP="00C153C1">
            <w:pPr>
              <w:rPr>
                <w:rFonts w:cstheme="minorHAnsi"/>
                <w:lang w:val="en-US"/>
              </w:rPr>
            </w:pPr>
            <w:r>
              <w:rPr>
                <w:rFonts w:cstheme="minorHAnsi"/>
                <w:lang w:val="en-US"/>
              </w:rPr>
              <w:t>The measure has been created by the authors and thus there’s potential for additional subscales to be included that haven’t been presented in the final study.</w:t>
            </w:r>
            <w:r w:rsidR="00130B50">
              <w:rPr>
                <w:rFonts w:cstheme="minorHAnsi"/>
                <w:lang w:val="en-US"/>
              </w:rPr>
              <w:t xml:space="preserve"> However, this is unknown. </w:t>
            </w:r>
          </w:p>
        </w:tc>
        <w:tc>
          <w:tcPr>
            <w:tcW w:w="2836" w:type="dxa"/>
            <w:tcBorders>
              <w:top w:val="single" w:sz="4" w:space="0" w:color="auto"/>
              <w:bottom w:val="single" w:sz="4" w:space="0" w:color="auto"/>
              <w:right w:val="single" w:sz="4" w:space="0" w:color="auto"/>
            </w:tcBorders>
            <w:shd w:val="clear" w:color="auto" w:fill="auto"/>
          </w:tcPr>
          <w:p w14:paraId="30EAD677" w14:textId="2AD6F2C5" w:rsidR="00C153C1" w:rsidRPr="00130B50" w:rsidRDefault="00130B50" w:rsidP="00C153C1">
            <w:pPr>
              <w:jc w:val="center"/>
              <w:rPr>
                <w:rFonts w:cstheme="minorHAnsi"/>
                <w:color w:val="000000" w:themeColor="text1"/>
                <w:lang w:val="nl-NL"/>
              </w:rPr>
            </w:pPr>
            <w:r w:rsidRPr="00130B50">
              <w:rPr>
                <w:rFonts w:cstheme="minorHAnsi"/>
                <w:color w:val="000000" w:themeColor="text1"/>
                <w:lang w:val="nl-NL"/>
              </w:rPr>
              <w:t>NI</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1A4E41B6" w14:textId="22ED37C5" w:rsidR="00C153C1" w:rsidRPr="006F70D6" w:rsidRDefault="00C153C1" w:rsidP="005B2F56">
            <w:pPr>
              <w:rPr>
                <w:rFonts w:cstheme="minorHAnsi"/>
                <w:lang w:val="en-US"/>
              </w:rPr>
            </w:pPr>
          </w:p>
        </w:tc>
        <w:tc>
          <w:tcPr>
            <w:tcW w:w="2836" w:type="dxa"/>
            <w:tcBorders>
              <w:top w:val="single" w:sz="4" w:space="0" w:color="auto"/>
              <w:bottom w:val="single" w:sz="4" w:space="0" w:color="auto"/>
              <w:right w:val="single" w:sz="4" w:space="0" w:color="auto"/>
            </w:tcBorders>
            <w:shd w:val="clear" w:color="auto" w:fill="auto"/>
          </w:tcPr>
          <w:p w14:paraId="165678FA" w14:textId="39CDE0F3" w:rsidR="00C153C1" w:rsidRPr="00130B50" w:rsidRDefault="00130B50" w:rsidP="00C153C1">
            <w:pPr>
              <w:jc w:val="center"/>
              <w:rPr>
                <w:rFonts w:cstheme="minorHAnsi"/>
                <w:color w:val="000000" w:themeColor="text1"/>
                <w:lang w:val="nl-NL"/>
              </w:rPr>
            </w:pPr>
            <w:r w:rsidRPr="00130B50">
              <w:rPr>
                <w:rFonts w:cstheme="minorHAnsi"/>
                <w:color w:val="000000" w:themeColor="text1"/>
                <w:u w:val="single"/>
                <w:lang w:val="nl-NL"/>
              </w:rPr>
              <w:t>NI</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132C2957"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203AA3CF" w:rsidR="0079530F" w:rsidRPr="004B666A" w:rsidRDefault="005B2F56" w:rsidP="0079530F">
            <w:pPr>
              <w:jc w:val="center"/>
              <w:rPr>
                <w:rFonts w:cstheme="minorHAnsi"/>
              </w:rPr>
            </w:pPr>
            <w:r>
              <w:rPr>
                <w:rFonts w:cstheme="minorHAnsi"/>
              </w:rPr>
              <w:t>Unpredictable</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3175B657" w:rsidR="00076212" w:rsidRPr="004B666A" w:rsidRDefault="005B2F56" w:rsidP="00C62D50">
            <w:pPr>
              <w:tabs>
                <w:tab w:val="left" w:pos="960"/>
              </w:tabs>
              <w:autoSpaceDE w:val="0"/>
              <w:autoSpaceDN w:val="0"/>
              <w:adjustRightInd w:val="0"/>
              <w:jc w:val="center"/>
              <w:rPr>
                <w:rFonts w:cstheme="minorHAnsi"/>
              </w:rPr>
            </w:pPr>
            <w:r>
              <w:rPr>
                <w:rFonts w:cstheme="minorHAnsi"/>
              </w:rPr>
              <w:t xml:space="preserve">High </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0BE0FD8D" w:rsidR="0079530F" w:rsidRPr="004B666A" w:rsidRDefault="005B2F56" w:rsidP="0079530F">
            <w:pPr>
              <w:jc w:val="center"/>
              <w:rPr>
                <w:rFonts w:cstheme="minorHAnsi"/>
              </w:rPr>
            </w:pPr>
            <w:r>
              <w:rPr>
                <w:rFonts w:cstheme="minorHAnsi"/>
              </w:rPr>
              <w:t>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D4438" w14:textId="77777777" w:rsidR="006F3DFB" w:rsidRDefault="006F3DFB" w:rsidP="006B1069">
      <w:r>
        <w:separator/>
      </w:r>
    </w:p>
  </w:endnote>
  <w:endnote w:type="continuationSeparator" w:id="0">
    <w:p w14:paraId="28E11272" w14:textId="77777777" w:rsidR="006F3DFB" w:rsidRDefault="006F3DFB"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859C1" w14:textId="77777777" w:rsidR="006F3DFB" w:rsidRDefault="006F3DFB" w:rsidP="006B1069">
      <w:r>
        <w:separator/>
      </w:r>
    </w:p>
  </w:footnote>
  <w:footnote w:type="continuationSeparator" w:id="0">
    <w:p w14:paraId="529830B1" w14:textId="77777777" w:rsidR="006F3DFB" w:rsidRDefault="006F3DFB"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4B6C77"/>
    <w:multiLevelType w:val="hybridMultilevel"/>
    <w:tmpl w:val="630E9E6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2DD7"/>
    <w:rsid w:val="000457EE"/>
    <w:rsid w:val="000722D3"/>
    <w:rsid w:val="00075D29"/>
    <w:rsid w:val="00076212"/>
    <w:rsid w:val="000A490D"/>
    <w:rsid w:val="000E0818"/>
    <w:rsid w:val="000E24E3"/>
    <w:rsid w:val="000F57E8"/>
    <w:rsid w:val="00101FA9"/>
    <w:rsid w:val="00130B50"/>
    <w:rsid w:val="00145DB5"/>
    <w:rsid w:val="001737C1"/>
    <w:rsid w:val="001B385C"/>
    <w:rsid w:val="001D18A8"/>
    <w:rsid w:val="00221FD2"/>
    <w:rsid w:val="0023251F"/>
    <w:rsid w:val="002713BB"/>
    <w:rsid w:val="002A7C6D"/>
    <w:rsid w:val="002E4B2B"/>
    <w:rsid w:val="002F78AD"/>
    <w:rsid w:val="003373FE"/>
    <w:rsid w:val="003414A1"/>
    <w:rsid w:val="00341861"/>
    <w:rsid w:val="00377210"/>
    <w:rsid w:val="00391E05"/>
    <w:rsid w:val="003B36AF"/>
    <w:rsid w:val="003B36FC"/>
    <w:rsid w:val="003C2F57"/>
    <w:rsid w:val="003C3813"/>
    <w:rsid w:val="003E7B9F"/>
    <w:rsid w:val="00403E6A"/>
    <w:rsid w:val="00405A6D"/>
    <w:rsid w:val="00405BF1"/>
    <w:rsid w:val="00420E6C"/>
    <w:rsid w:val="00446AB7"/>
    <w:rsid w:val="004716FA"/>
    <w:rsid w:val="00482C9D"/>
    <w:rsid w:val="00495C3A"/>
    <w:rsid w:val="004B24A7"/>
    <w:rsid w:val="004B3802"/>
    <w:rsid w:val="004B666A"/>
    <w:rsid w:val="004D722D"/>
    <w:rsid w:val="00507ECD"/>
    <w:rsid w:val="005127E9"/>
    <w:rsid w:val="00517FCF"/>
    <w:rsid w:val="00531A02"/>
    <w:rsid w:val="00541655"/>
    <w:rsid w:val="00560AE9"/>
    <w:rsid w:val="005623F3"/>
    <w:rsid w:val="00571133"/>
    <w:rsid w:val="00581ED2"/>
    <w:rsid w:val="00584878"/>
    <w:rsid w:val="005909E4"/>
    <w:rsid w:val="005A454C"/>
    <w:rsid w:val="005B2F56"/>
    <w:rsid w:val="005C1F01"/>
    <w:rsid w:val="005D7FE3"/>
    <w:rsid w:val="00600AE8"/>
    <w:rsid w:val="00611B3D"/>
    <w:rsid w:val="00623C1A"/>
    <w:rsid w:val="006262B3"/>
    <w:rsid w:val="00626CD4"/>
    <w:rsid w:val="006702DE"/>
    <w:rsid w:val="00682AB9"/>
    <w:rsid w:val="006869FF"/>
    <w:rsid w:val="006B1069"/>
    <w:rsid w:val="006B499C"/>
    <w:rsid w:val="006D39D4"/>
    <w:rsid w:val="006F3DFB"/>
    <w:rsid w:val="006F70D6"/>
    <w:rsid w:val="00730D7D"/>
    <w:rsid w:val="00736FB2"/>
    <w:rsid w:val="00752BD4"/>
    <w:rsid w:val="007535B6"/>
    <w:rsid w:val="00792157"/>
    <w:rsid w:val="0079530F"/>
    <w:rsid w:val="007A6E1E"/>
    <w:rsid w:val="007A6F9B"/>
    <w:rsid w:val="007C25C0"/>
    <w:rsid w:val="007F1A90"/>
    <w:rsid w:val="00816889"/>
    <w:rsid w:val="0083521D"/>
    <w:rsid w:val="008509C5"/>
    <w:rsid w:val="00851D4D"/>
    <w:rsid w:val="00871668"/>
    <w:rsid w:val="00895457"/>
    <w:rsid w:val="008B41B4"/>
    <w:rsid w:val="008C7515"/>
    <w:rsid w:val="008F3A05"/>
    <w:rsid w:val="0093299E"/>
    <w:rsid w:val="00966081"/>
    <w:rsid w:val="00996C31"/>
    <w:rsid w:val="009B619D"/>
    <w:rsid w:val="009B71E3"/>
    <w:rsid w:val="009D036C"/>
    <w:rsid w:val="00A027FC"/>
    <w:rsid w:val="00A2022F"/>
    <w:rsid w:val="00A47E63"/>
    <w:rsid w:val="00A563C9"/>
    <w:rsid w:val="00A960BF"/>
    <w:rsid w:val="00AA043F"/>
    <w:rsid w:val="00AA5364"/>
    <w:rsid w:val="00AE432F"/>
    <w:rsid w:val="00B02401"/>
    <w:rsid w:val="00B03CF5"/>
    <w:rsid w:val="00B07A53"/>
    <w:rsid w:val="00B2304A"/>
    <w:rsid w:val="00B34EF8"/>
    <w:rsid w:val="00B53059"/>
    <w:rsid w:val="00B6328C"/>
    <w:rsid w:val="00B64463"/>
    <w:rsid w:val="00B666A7"/>
    <w:rsid w:val="00B81979"/>
    <w:rsid w:val="00BA3A9A"/>
    <w:rsid w:val="00BA7E56"/>
    <w:rsid w:val="00BB5D79"/>
    <w:rsid w:val="00BB74E2"/>
    <w:rsid w:val="00BE49FF"/>
    <w:rsid w:val="00BF1F19"/>
    <w:rsid w:val="00C006C7"/>
    <w:rsid w:val="00C14F66"/>
    <w:rsid w:val="00C153C1"/>
    <w:rsid w:val="00C22FCC"/>
    <w:rsid w:val="00C43BEC"/>
    <w:rsid w:val="00C446C3"/>
    <w:rsid w:val="00CA084F"/>
    <w:rsid w:val="00CC49F3"/>
    <w:rsid w:val="00CF5BDC"/>
    <w:rsid w:val="00D27846"/>
    <w:rsid w:val="00D618A2"/>
    <w:rsid w:val="00D87AEA"/>
    <w:rsid w:val="00DB7CA0"/>
    <w:rsid w:val="00DC2BE4"/>
    <w:rsid w:val="00DC73A2"/>
    <w:rsid w:val="00DE283D"/>
    <w:rsid w:val="00DF4043"/>
    <w:rsid w:val="00E23A46"/>
    <w:rsid w:val="00E67260"/>
    <w:rsid w:val="00E677C1"/>
    <w:rsid w:val="00E90BF4"/>
    <w:rsid w:val="00ED7695"/>
    <w:rsid w:val="00EF2F11"/>
    <w:rsid w:val="00F12E16"/>
    <w:rsid w:val="00F41673"/>
    <w:rsid w:val="00F41C40"/>
    <w:rsid w:val="00F74D62"/>
    <w:rsid w:val="00FA6925"/>
    <w:rsid w:val="00FB07DC"/>
    <w:rsid w:val="00FB1DAD"/>
    <w:rsid w:val="00FB4FF2"/>
    <w:rsid w:val="00FC67F1"/>
    <w:rsid w:val="00FC6EFE"/>
    <w:rsid w:val="00FD50F4"/>
    <w:rsid w:val="00FD7861"/>
    <w:rsid w:val="00FE0B54"/>
    <w:rsid w:val="63E6C644"/>
    <w:rsid w:val="7E7E66E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3F3"/>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121002970">
      <w:bodyDiv w:val="1"/>
      <w:marLeft w:val="0"/>
      <w:marRight w:val="0"/>
      <w:marTop w:val="0"/>
      <w:marBottom w:val="0"/>
      <w:divBdr>
        <w:top w:val="none" w:sz="0" w:space="0" w:color="auto"/>
        <w:left w:val="none" w:sz="0" w:space="0" w:color="auto"/>
        <w:bottom w:val="none" w:sz="0" w:space="0" w:color="auto"/>
        <w:right w:val="none" w:sz="0" w:space="0" w:color="auto"/>
      </w:divBdr>
    </w:div>
    <w:div w:id="215505929">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465010670">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656107551">
      <w:bodyDiv w:val="1"/>
      <w:marLeft w:val="0"/>
      <w:marRight w:val="0"/>
      <w:marTop w:val="0"/>
      <w:marBottom w:val="0"/>
      <w:divBdr>
        <w:top w:val="none" w:sz="0" w:space="0" w:color="auto"/>
        <w:left w:val="none" w:sz="0" w:space="0" w:color="auto"/>
        <w:bottom w:val="none" w:sz="0" w:space="0" w:color="auto"/>
        <w:right w:val="none" w:sz="0" w:space="0" w:color="auto"/>
      </w:divBdr>
    </w:div>
    <w:div w:id="686833523">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34205997">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18378741">
      <w:bodyDiv w:val="1"/>
      <w:marLeft w:val="0"/>
      <w:marRight w:val="0"/>
      <w:marTop w:val="0"/>
      <w:marBottom w:val="0"/>
      <w:divBdr>
        <w:top w:val="none" w:sz="0" w:space="0" w:color="auto"/>
        <w:left w:val="none" w:sz="0" w:space="0" w:color="auto"/>
        <w:bottom w:val="none" w:sz="0" w:space="0" w:color="auto"/>
        <w:right w:val="none" w:sz="0" w:space="0" w:color="auto"/>
      </w:divBdr>
    </w:div>
    <w:div w:id="818498313">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892424632">
      <w:bodyDiv w:val="1"/>
      <w:marLeft w:val="0"/>
      <w:marRight w:val="0"/>
      <w:marTop w:val="0"/>
      <w:marBottom w:val="0"/>
      <w:divBdr>
        <w:top w:val="none" w:sz="0" w:space="0" w:color="auto"/>
        <w:left w:val="none" w:sz="0" w:space="0" w:color="auto"/>
        <w:bottom w:val="none" w:sz="0" w:space="0" w:color="auto"/>
        <w:right w:val="none" w:sz="0" w:space="0" w:color="auto"/>
      </w:divBdr>
    </w:div>
    <w:div w:id="898129018">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03847441">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481457620">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29890844">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1968386415">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8C1266"/>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3272</Words>
  <Characters>18651</Characters>
  <Application>Microsoft Office Word</Application>
  <DocSecurity>0</DocSecurity>
  <Lines>155</Lines>
  <Paragraphs>43</Paragraphs>
  <ScaleCrop>false</ScaleCrop>
  <Company/>
  <LinksUpToDate>false</LinksUpToDate>
  <CharactersWithSpaces>21880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30</cp:revision>
  <dcterms:created xsi:type="dcterms:W3CDTF">2022-07-25T16:31:00Z</dcterms:created>
  <dcterms:modified xsi:type="dcterms:W3CDTF">2022-08-10T18:26:00Z</dcterms:modified>
</cp:coreProperties>
</file>