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Edited by Julian PT Higgins, Jelena Savović,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Pr="00180D23" w:rsidR="004B666A" w:rsidP="00E67260" w:rsidRDefault="00180D23" w14:paraId="12FB8536" w14:textId="54A15CA8">
                  <w:pPr>
                    <w:rPr>
                      <w:rFonts w:ascii="Calibri" w:hAnsi="Calibri" w:cs="Calibri"/>
                      <w:color w:val="000000"/>
                    </w:rPr>
                  </w:pPr>
                  <w:r w:rsidRPr="00180D23">
                    <w:rPr>
                      <w:rFonts w:ascii="Calibri" w:hAnsi="Calibri" w:cs="Calibri"/>
                      <w:color w:val="000000"/>
                      <w:lang w:val="nl-NL"/>
                    </w:rPr>
                    <w:t xml:space="preserve">Liu, K., Duan, Y., &amp; Wang, Y. (2021). </w:t>
                  </w:r>
                  <w:r>
                    <w:rPr>
                      <w:rFonts w:ascii="Calibri" w:hAnsi="Calibri" w:cs="Calibri"/>
                      <w:color w:val="000000"/>
                    </w:rPr>
                    <w:t xml:space="preserve">The effectiveness of a web-based positive psychology intervention in enhancing college students’ mental well-being. Social Behavior and Personality: An international journal, 49(8), e10459. https://doi.org/10.2224/sbp.10459 </w:t>
                  </w: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E67260" w14:paraId="3341EAFC" w14:textId="295761F4">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r w:rsidRPr="004B666A">
                    <w:rPr>
                      <w:rFonts w:cstheme="minorHAnsi"/>
                    </w:rPr>
                    <w:t>Individually-randomized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2"/>
              <w:gridCol w:w="1430"/>
              <w:gridCol w:w="3083"/>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287E3D" w14:paraId="6A270550" w14:textId="6A0FF85E">
                  <w:r>
                    <w:t>Positive Psychology Intervention</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287E3D" w14:paraId="08BF92E4" w14:textId="1C2386A8">
                  <w:r>
                    <w:t>Covid-19 health reminders (type of control?)</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1939E3" w:rsidR="00895457" w:rsidP="00895457" w:rsidRDefault="001939E3" w14:paraId="69FC9657" w14:textId="476EB12D">
                  <w:pPr>
                    <w:rPr>
                      <w:rFonts w:cstheme="minorHAnsi"/>
                    </w:rPr>
                  </w:pPr>
                  <w:r>
                    <w:rPr>
                      <w:rFonts w:cstheme="minorHAnsi"/>
                    </w:rPr>
                    <w:t xml:space="preserve">Subjective well-being - </w:t>
                  </w:r>
                  <w:r w:rsidRPr="001939E3">
                    <w:rPr>
                      <w:color w:val="000000"/>
                    </w:rPr>
                    <w:t>Positive And Negative Affect Schedule (PANAS) Mackinnon et al., 1999</w:t>
                  </w: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color="auto" w:sz="4" w:space="0"/>
                  </w:tcBorders>
                </w:tcPr>
                <w:p w:rsidRPr="00165C67" w:rsidR="00895457" w:rsidP="00895457" w:rsidRDefault="001939E3" w14:paraId="5F03FBBF" w14:textId="1A150846">
                  <w:pPr>
                    <w:rPr>
                      <w:rFonts w:cstheme="minorHAnsi"/>
                    </w:rPr>
                  </w:pPr>
                  <w:r>
                    <w:rPr>
                      <w:rFonts w:cstheme="minorHAnsi"/>
                    </w:rPr>
                    <w:t xml:space="preserve">Pre and post-intervention for both experimental and control group (journal article: table 1 for pre and table 3 for post). </w:t>
                  </w: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F3090E" w14:paraId="5E5C1273" w14:textId="71D67087">
                  <w:pPr>
                    <w:jc w:val="center"/>
                    <w:rPr>
                      <w:rFonts w:cstheme="minorHAnsi"/>
                    </w:rPr>
                  </w:pPr>
                  <w:r w:rsidRPr="00F3090E">
                    <w:rPr>
                      <w:rFonts w:ascii="Wingdings 2" w:hAnsi="Wingdings 2" w:eastAsia="Wingdings 2" w:cs="Wingdings 2" w:cstheme="minorHAnsi"/>
                      <w:lang w:val="en-GB"/>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F3090E" w:rsidR="00895457" w:rsidP="00895457" w:rsidRDefault="00F3090E" w14:paraId="6A3A1511" w14:textId="0C49152E">
                  <w:pPr>
                    <w:jc w:val="center"/>
                    <w:rPr>
                      <w:rFonts w:cstheme="minorHAnsi"/>
                      <w:lang w:val="en-GB"/>
                    </w:rPr>
                  </w:pPr>
                  <w:r>
                    <w:rPr>
                      <w:rFonts w:cstheme="minorHAnsi"/>
                      <w:lang w:val="en-GB"/>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F3090E" w14:paraId="7A4A4821" w14:textId="21D51362">
            <w:r>
              <w:rPr>
                <w:lang w:val="en-GB"/>
              </w:rPr>
              <w:t>X</w:t>
            </w:r>
            <w:r w:rsidRPr="00165C67" w:rsidR="00895457">
              <w:rPr>
                <w:szCs w:val="20"/>
              </w:rPr>
              <w:tab/>
            </w:r>
            <w:r w:rsidRPr="00165C67" w:rsidR="00895457">
              <w:rPr>
                <w:szCs w:val="20"/>
              </w:rPr>
              <w:t>occurrence of non-protocol interventions</w:t>
            </w:r>
          </w:p>
          <w:p w:rsidRPr="00165C67" w:rsidR="00895457" w:rsidP="00895457" w:rsidRDefault="00B03CF5" w14:paraId="0EBE061D" w14:textId="43F28697">
            <w:r w:rsidRPr="00517FCF">
              <w:rPr>
                <w:rFonts w:ascii="Wingdings 2" w:hAnsi="Wingdings 2" w:eastAsia="Wingdings 2" w:cs="Wingdings 2" w:cstheme="minorHAnsi"/>
                <w:lang w:val="en-GB"/>
              </w:rPr>
              <w:t>£</w:t>
            </w:r>
            <w:r w:rsidRPr="00165C67" w:rsidR="00895457">
              <w:rPr>
                <w:szCs w:val="20"/>
              </w:rPr>
              <w:tab/>
            </w:r>
            <w:r w:rsidRPr="00165C67" w:rsidR="00895457">
              <w:t>failures in implementing the intervention that could have affected the outcome</w:t>
            </w:r>
          </w:p>
          <w:p w:rsidRPr="00165C67" w:rsidR="00895457" w:rsidP="00895457" w:rsidRDefault="00F3090E" w14:paraId="2AFD3E35" w14:textId="13CAD320">
            <w:r>
              <w:rPr>
                <w:lang w:val="en-GB"/>
              </w:rPr>
              <w:lastRenderedPageBreak/>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rsidRPr="004B666A" w:rsidR="0023251F" w:rsidP="003C3813" w:rsidRDefault="001939E3" w14:paraId="3B6C228E" w14:textId="2342DBC4">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p>
          <w:p w:rsidRPr="004B666A" w:rsidR="0023251F" w:rsidP="003C3813" w:rsidRDefault="00B03CF5" w14:paraId="3E767F9F" w14:textId="57EDC2E4">
            <w:pPr>
              <w:rPr>
                <w:rFonts w:cstheme="minorHAnsi"/>
              </w:rPr>
            </w:pPr>
            <w:r w:rsidRPr="00517FCF">
              <w:rPr>
                <w:rFonts w:ascii="Wingdings 2" w:hAnsi="Wingdings 2" w:eastAsia="Wingdings 2" w:cs="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Statistical analysis plan (SAP)</w:t>
            </w:r>
          </w:p>
          <w:p w:rsidRPr="004B666A" w:rsidR="0023251F" w:rsidP="003C3813" w:rsidRDefault="0023251F" w14:paraId="30B5185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Non-commercial trial registry record (e.g. ClinicalTrials.gov record)</w:t>
            </w:r>
          </w:p>
          <w:p w:rsidRPr="004B666A" w:rsidR="0023251F" w:rsidP="003C3813" w:rsidRDefault="0023251F" w14:paraId="2E73581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Company-owned trial registry record (e.g.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Wingdings 2" w:cstheme="minorHAnsi"/>
              </w:rPr>
              <w:t>£</w:t>
            </w:r>
            <w:r w:rsidRPr="004B666A">
              <w:rPr>
                <w:rFonts w:cstheme="minorHAnsi"/>
              </w:rPr>
              <w:t xml:space="preserve"> </w:t>
            </w:r>
            <w:r w:rsidRPr="004B666A">
              <w:rPr>
                <w:rFonts w:cstheme="minorHAnsi"/>
              </w:rPr>
              <w:tab/>
            </w:r>
            <w:r w:rsidRPr="004B666A">
              <w:rPr>
                <w:rFonts w:cstheme="minorHAnsi"/>
              </w:rPr>
              <w:t>“Grey literature” (e.g. unpublished thesis)</w:t>
            </w:r>
          </w:p>
          <w:p w:rsidRPr="004B666A" w:rsidR="0023251F" w:rsidP="003C3813" w:rsidRDefault="0023251F" w14:paraId="1B24E7AE"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Regulatory document (e.g.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 xml:space="preserve">Grant database summary (e.g.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0079530F"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0079530F"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Pr>
          <w:p w:rsidR="001939E3" w:rsidP="001939E3" w:rsidRDefault="001939E3" w14:paraId="3662D034" w14:textId="0570432B">
            <w:r>
              <w:t>“All students who completed the consent form along with submitting baseline measurements were then randomly assigned to either the web-based PPI condition or the control condition”.</w:t>
            </w:r>
          </w:p>
          <w:p w:rsidRPr="001939E3" w:rsidR="00FD50F4" w:rsidP="005B2F56" w:rsidRDefault="00FD50F4" w14:paraId="23F9127E" w14:textId="75EA8E06">
            <w:pPr>
              <w:rPr>
                <w:lang w:val="en-GB"/>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1B9C5436" w14:textId="4E7BCC81">
            <w:pPr>
              <w:jc w:val="center"/>
              <w:rPr>
                <w:rFonts w:cstheme="minorHAnsi"/>
                <w:color w:val="00B050"/>
                <w:u w:val="single"/>
              </w:rPr>
            </w:pPr>
            <w:r w:rsidRPr="004B666A">
              <w:rPr>
                <w:rFonts w:cstheme="minorHAnsi"/>
              </w:rPr>
              <w:t>NI</w:t>
            </w:r>
          </w:p>
          <w:p w:rsidR="00600AE8" w:rsidP="00600AE8" w:rsidRDefault="00600AE8" w14:paraId="4CDB0DDF"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0079530F"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color="auto" w:sz="4" w:space="0"/>
              <w:bottom w:val="single" w:color="auto" w:sz="4" w:space="0"/>
              <w:right w:val="single" w:color="auto" w:sz="4" w:space="0"/>
            </w:tcBorders>
            <w:shd w:val="clear" w:color="auto" w:fill="auto"/>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4CF159D3" w14:textId="56401DC6">
            <w:pPr>
              <w:tabs>
                <w:tab w:val="left" w:pos="960"/>
              </w:tabs>
              <w:autoSpaceDE w:val="0"/>
              <w:autoSpaceDN w:val="0"/>
              <w:adjustRightInd w:val="0"/>
              <w:jc w:val="center"/>
              <w:rPr>
                <w:rFonts w:cstheme="minorHAnsi"/>
              </w:rPr>
            </w:pPr>
            <w:r w:rsidRPr="004B666A">
              <w:rPr>
                <w:rFonts w:cstheme="minorHAnsi"/>
              </w:rPr>
              <w:t>NI</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0079530F"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002D6B1F" w:rsidP="006725B8" w:rsidRDefault="006725B8" w14:paraId="588D07D8" w14:textId="77777777">
            <w:r>
              <w:t xml:space="preserve">Group sizes are relatively </w:t>
            </w:r>
            <w:r w:rsidR="002D6B1F">
              <w:t xml:space="preserve">similar – 420 intervention and 448 control. </w:t>
            </w:r>
          </w:p>
          <w:p w:rsidR="002D6B1F" w:rsidP="006725B8" w:rsidRDefault="002D6B1F" w14:paraId="0E512429" w14:textId="77777777"/>
          <w:p w:rsidRPr="006725B8" w:rsidR="00FD50F4" w:rsidP="006725B8" w:rsidRDefault="002D6B1F" w14:paraId="7CC43D0D" w14:textId="700FF450">
            <w:pPr>
              <w:rPr>
                <w:lang w:val="en-CA"/>
              </w:rPr>
            </w:pPr>
            <w:r>
              <w:t>No differences between groups based on baseline characteristics or prognostic factors: “</w:t>
            </w:r>
            <w:r w:rsidR="006725B8">
              <w:t>Results show that the gender distribution was not significantly different across the two conditions, χ2 (1,868) = .286, p = .593, V = .036. Table 1 shows the baseline characteristics for both groups, including gender and age, and baseline affective state as measured by the PANAS score. In addition, we ran two independent-samples t tests to assess whether there was a difference in PA and NA scores between the two groups in the pretest phase. Analyses revealed that neither PA nor NA scores differed significantly for the two groups (see Table 1).</w:t>
            </w:r>
            <w:r>
              <w:t>”</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CA084F" w:rsidP="003C3813" w:rsidRDefault="004D722D" w14:paraId="60E6AB3D" w14:textId="63648563">
            <w:pPr>
              <w:jc w:val="center"/>
              <w:rPr>
                <w:rFonts w:cstheme="minorHAnsi"/>
              </w:rPr>
            </w:pPr>
            <w:r w:rsidRPr="00076212">
              <w:rPr>
                <w:rFonts w:cstheme="minorHAnsi"/>
                <w:color w:val="00B050"/>
                <w:u w:val="single"/>
              </w:rPr>
              <w:t>N</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0079530F"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5B2F56" w14:paraId="09526CB8" w14:textId="3AA2CB6B">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9D6382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79530F" w14:paraId="7AAFB60A" w14:textId="77777777">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5B2F56" w14:paraId="41E78496" w14:textId="68F95D90">
            <w:pPr>
              <w:jc w:val="center"/>
              <w:rPr>
                <w:rFonts w:cstheme="minorHAnsi"/>
              </w:rPr>
            </w:pPr>
            <w:r>
              <w:rPr>
                <w:rFonts w:cstheme="minorHAnsi"/>
              </w:rPr>
              <w:t>Unpredictable</w:t>
            </w:r>
          </w:p>
        </w:tc>
      </w:tr>
    </w:tbl>
    <w:p w:rsidR="00730D7D" w:rsidRDefault="00730D7D" w14:paraId="5A34D27C" w14:textId="67123BAE">
      <w:pPr>
        <w:spacing w:after="160" w:line="259" w:lineRule="auto"/>
      </w:pPr>
      <w:r>
        <w:br w:type="page"/>
      </w:r>
    </w:p>
    <w:p w:rsidRPr="00122896" w:rsidR="008D48B8" w:rsidP="008D48B8" w:rsidRDefault="008D48B8" w14:paraId="6D1FF21B" w14:textId="77777777">
      <w:pPr>
        <w:spacing w:after="160" w:line="259" w:lineRule="auto"/>
        <w:rPr>
          <w:rFonts w:eastAsiaTheme="minorEastAsia"/>
          <w:color w:val="5A5A5A" w:themeColor="text1" w:themeTint="A5"/>
          <w:spacing w:val="15"/>
        </w:rPr>
      </w:pPr>
      <w:r w:rsidRPr="00122896">
        <w:lastRenderedPageBreak/>
        <w:t>Domain 2: Risk of bias due to deviations from the intended interventions (</w:t>
      </w:r>
      <w:r w:rsidRPr="00122896">
        <w:rPr>
          <w:i/>
        </w:rPr>
        <w:t>effect of adhering to intervention</w:t>
      </w:r>
      <w:r w:rsidRP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122896" w:rsidR="008D48B8" w:rsidTr="00DA3C6E" w14:paraId="667624E4"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7D97E7C5" w14:textId="77777777">
            <w:pPr>
              <w:keepNext w:val="0"/>
              <w:spacing w:after="160" w:line="259" w:lineRule="auto"/>
              <w:rPr>
                <w:b/>
              </w:rPr>
            </w:pPr>
            <w:r w:rsidRPr="00122896">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47A37B69" w14:textId="77777777">
            <w:pPr>
              <w:keepNext w:val="0"/>
              <w:spacing w:after="160" w:line="259" w:lineRule="auto"/>
              <w:rPr>
                <w:b/>
              </w:rPr>
            </w:pPr>
            <w:r w:rsidRPr="00122896">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65C234F2" w14:textId="77777777">
            <w:pPr>
              <w:keepNext w:val="0"/>
              <w:spacing w:after="160" w:line="259" w:lineRule="auto"/>
              <w:rPr>
                <w:b/>
              </w:rPr>
            </w:pPr>
            <w:r w:rsidRPr="00122896">
              <w:rPr>
                <w:b/>
              </w:rPr>
              <w:t>Response options</w:t>
            </w:r>
          </w:p>
        </w:tc>
      </w:tr>
      <w:tr w:rsidRPr="00122896" w:rsidR="008D48B8" w:rsidTr="00DA3C6E" w14:paraId="16AAF454"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5D723E21" w14:textId="77777777">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Pr>
          <w:p w:rsidRPr="008D48B8" w:rsidR="008D48B8" w:rsidP="008D48B8" w:rsidRDefault="008D48B8" w14:paraId="283C5DEA" w14:textId="0FC2A5D3">
            <w:pPr>
              <w:keepNext w:val="0"/>
              <w:spacing w:after="160" w:line="259" w:lineRule="auto"/>
            </w:pPr>
            <w:r w:rsidRPr="008D48B8">
              <w:t>Interventions differed substantially and participants in control group were probably aware they didn’t actively conduct an intervention (they might’ve only received 1 health related email in between pre and post measures):</w:t>
            </w:r>
          </w:p>
          <w:p w:rsidRPr="008D48B8" w:rsidR="008D48B8" w:rsidP="008D48B8" w:rsidRDefault="008D48B8" w14:paraId="20E6F9F5" w14:textId="33751581">
            <w:pPr>
              <w:keepNext w:val="0"/>
              <w:spacing w:after="160" w:line="259" w:lineRule="auto"/>
              <w:rPr>
                <w:lang w:val="en-CA"/>
              </w:rPr>
            </w:pPr>
            <w:r w:rsidRPr="008D48B8">
              <w:t>“For those assigned to the PPI group, the web-based intervention program that followed positive psychological guidelines was sent to the respondent’s university email account. Once participants had accessed the intervention website, which was also affiliated with Harbin University of Science and Technology, the instructions for positive future imagination based on the original version proposed by Sheldon and Lyubomirsky (2006) appeared on the screen. Immediately after completing the second session of PPI, participants received an automatically generated email directing them to return to the posttreatment assessment website.</w:t>
            </w:r>
          </w:p>
          <w:p w:rsidRPr="008D48B8" w:rsidR="008D48B8" w:rsidP="008D48B8" w:rsidRDefault="008D48B8" w14:paraId="580FF74E" w14:textId="77777777">
            <w:pPr>
              <w:keepNext w:val="0"/>
              <w:spacing w:after="160" w:line="259" w:lineRule="auto"/>
            </w:pPr>
            <w:r w:rsidRPr="008D48B8">
              <w:t xml:space="preserve"> After the participants assigned to the control group had submitted the baseline measures, they received only mental health reminders sent to their university email account. These reminders were sent to the control group members four times during the two weeks following their submission of the baseline measure, preceding their first postintervention assessment using the PANAS.”</w:t>
            </w:r>
          </w:p>
          <w:p w:rsidRPr="008D48B8" w:rsidR="008D48B8" w:rsidP="008D48B8" w:rsidRDefault="008D48B8" w14:paraId="778F5A3A" w14:textId="77777777">
            <w:pPr>
              <w:keepNext w:val="0"/>
              <w:spacing w:after="160" w:line="259" w:lineRule="auto"/>
            </w:pPr>
          </w:p>
          <w:p w:rsidRPr="00122896" w:rsidR="008D48B8" w:rsidP="008D48B8" w:rsidRDefault="008D48B8" w14:paraId="02C66922" w14:textId="51855CAE">
            <w:pPr>
              <w:keepNext w:val="0"/>
              <w:spacing w:after="160" w:line="259" w:lineRule="auto"/>
            </w:pPr>
            <w:r w:rsidRPr="008D48B8">
              <w:t>2.2 intervention delivery is fully automated digital.</w:t>
            </w: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8D48B8" w:rsidP="00DA3C6E" w:rsidRDefault="008D48B8" w14:paraId="10BBFB78" w14:textId="4D524A90">
            <w:pPr>
              <w:keepNext w:val="0"/>
              <w:spacing w:after="160" w:line="259" w:lineRule="auto"/>
              <w:rPr>
                <w:lang w:val="es-ES"/>
              </w:rPr>
            </w:pPr>
            <w:r w:rsidRPr="00122896">
              <w:t>PY</w:t>
            </w:r>
          </w:p>
        </w:tc>
      </w:tr>
      <w:tr w:rsidRPr="00122896" w:rsidR="008D48B8" w:rsidTr="00DA3C6E" w14:paraId="018AE43D"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376BFACE" w14:textId="77777777">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122896" w:rsidR="008D48B8" w:rsidP="00DA3C6E" w:rsidRDefault="008D48B8" w14:paraId="448184D5"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8D48B8" w:rsidP="00DA3C6E" w:rsidRDefault="008D48B8" w14:paraId="37D1AA9C" w14:textId="1ABC66C9">
            <w:pPr>
              <w:keepNext w:val="0"/>
              <w:spacing w:after="160" w:line="259" w:lineRule="auto"/>
              <w:rPr>
                <w:lang w:val="es-ES"/>
              </w:rPr>
            </w:pPr>
            <w:r w:rsidRPr="00122896">
              <w:rPr>
                <w:u w:val="single"/>
              </w:rPr>
              <w:t>N</w:t>
            </w:r>
          </w:p>
        </w:tc>
      </w:tr>
      <w:tr w:rsidRPr="00122896" w:rsidR="008D48B8" w:rsidTr="00DA3C6E" w14:paraId="066C634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4862A92A" w14:textId="77777777">
            <w:pPr>
              <w:keepNext w:val="0"/>
              <w:spacing w:after="160" w:line="259" w:lineRule="auto"/>
              <w:rPr>
                <w:b/>
              </w:rPr>
            </w:pPr>
            <w:r w:rsidRPr="00122896">
              <w:rPr>
                <w:b/>
              </w:rPr>
              <w:t xml:space="preserve">2.3. [If applicable:] </w:t>
            </w:r>
            <w:r w:rsidRPr="00122896">
              <w:rPr>
                <w:b/>
                <w:u w:val="single"/>
              </w:rPr>
              <w:t>If Y/PY/NI to 2.1 or 2.2</w:t>
            </w:r>
            <w:r w:rsidRPr="00122896">
              <w:rPr>
                <w:b/>
              </w:rPr>
              <w:t xml:space="preserve">: Were important non-protocol </w:t>
            </w:r>
            <w:r w:rsidRPr="00122896">
              <w:rPr>
                <w:b/>
              </w:rPr>
              <w:lastRenderedPageBreak/>
              <w:t>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D860E5" w:rsidR="008D48B8" w:rsidP="00DA3C6E" w:rsidRDefault="00D860E5" w14:paraId="0C008229" w14:textId="07CC3E15">
            <w:pPr>
              <w:keepNext w:val="0"/>
              <w:spacing w:after="160" w:line="259" w:lineRule="auto"/>
              <w:rPr>
                <w:lang w:val="en-GB"/>
              </w:rPr>
            </w:pPr>
            <w:r>
              <w:rPr>
                <w:lang w:val="en-GB"/>
              </w:rPr>
              <w:lastRenderedPageBreak/>
              <w:t xml:space="preserve">The intervention is a single </w:t>
            </w:r>
            <w:r w:rsidR="00E3387A">
              <w:rPr>
                <w:lang w:val="en-GB"/>
              </w:rPr>
              <w:t xml:space="preserve">session, and people signing up to the study didn’t specifically sign up as they were hoping to receive an intervention (it </w:t>
            </w:r>
            <w:r w:rsidR="00E3387A">
              <w:rPr>
                <w:lang w:val="en-GB"/>
              </w:rPr>
              <w:lastRenderedPageBreak/>
              <w:t>was a mandatory part of their university course). Therefore, it is considered unlikely</w:t>
            </w:r>
            <w:r w:rsidR="004857BB">
              <w:rPr>
                <w:lang w:val="en-GB"/>
              </w:rPr>
              <w:t xml:space="preserve"> – despite no information being provided on this. </w:t>
            </w: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8D48B8" w:rsidP="00DA3C6E" w:rsidRDefault="008D48B8" w14:paraId="0A8E0BEE" w14:textId="6379C753">
            <w:pPr>
              <w:keepNext w:val="0"/>
              <w:spacing w:after="160" w:line="259" w:lineRule="auto"/>
              <w:rPr>
                <w:lang w:val="es-ES"/>
              </w:rPr>
            </w:pPr>
            <w:r w:rsidRPr="00122896">
              <w:rPr>
                <w:lang w:val="es-ES"/>
              </w:rPr>
              <w:lastRenderedPageBreak/>
              <w:t>PN</w:t>
            </w:r>
          </w:p>
        </w:tc>
      </w:tr>
      <w:tr w:rsidRPr="00122896" w:rsidR="008D48B8" w:rsidTr="00DA3C6E" w14:paraId="41984100"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072A89DF" w14:textId="77777777">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8D48B8" w:rsidP="00DA3C6E" w:rsidRDefault="008D48B8" w14:paraId="05F7DE06"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8D48B8" w:rsidP="00DA3C6E" w:rsidRDefault="008D48B8" w14:paraId="110D2D87" w14:textId="3466B068">
            <w:pPr>
              <w:keepNext w:val="0"/>
              <w:spacing w:after="160" w:line="259" w:lineRule="auto"/>
              <w:rPr>
                <w:lang w:val="es-ES"/>
              </w:rPr>
            </w:pPr>
            <w:r w:rsidRPr="00122896">
              <w:rPr>
                <w:lang w:val="es-ES"/>
              </w:rPr>
              <w:t>NA</w:t>
            </w:r>
          </w:p>
        </w:tc>
      </w:tr>
      <w:tr w:rsidRPr="00122896" w:rsidR="008D48B8" w:rsidTr="00DA3C6E" w14:paraId="5CE4042D"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0902763E" w14:textId="77777777">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4857BB" w:rsidR="008D48B8" w:rsidP="00DA3C6E" w:rsidRDefault="004857BB" w14:paraId="3E7EE8D0" w14:textId="7E589F04">
            <w:pPr>
              <w:keepNext w:val="0"/>
              <w:spacing w:after="160" w:line="259" w:lineRule="auto"/>
              <w:rPr>
                <w:lang w:val="en-GB"/>
              </w:rPr>
            </w:pPr>
            <w:r>
              <w:rPr>
                <w:lang w:val="en-GB"/>
              </w:rPr>
              <w:t xml:space="preserve">There is no information on the level of </w:t>
            </w:r>
            <w:r w:rsidR="00E233B4">
              <w:rPr>
                <w:lang w:val="en-GB"/>
              </w:rPr>
              <w:t>non-adherence or whether this was the reason a certain number of participants were excluded from the intervention</w:t>
            </w:r>
            <w:r>
              <w:rPr>
                <w:lang w:val="en-GB"/>
              </w:rPr>
              <w:t xml:space="preserve">. </w:t>
            </w: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8D48B8" w:rsidP="00DA3C6E" w:rsidRDefault="008D48B8" w14:paraId="25B6478F" w14:textId="628A4D09">
            <w:pPr>
              <w:keepNext w:val="0"/>
              <w:spacing w:after="160" w:line="259" w:lineRule="auto"/>
              <w:rPr>
                <w:lang w:val="es-ES"/>
              </w:rPr>
            </w:pPr>
            <w:r w:rsidRPr="00122896">
              <w:rPr>
                <w:lang w:val="es-ES"/>
              </w:rPr>
              <w:t>NI</w:t>
            </w:r>
          </w:p>
        </w:tc>
      </w:tr>
      <w:tr w:rsidRPr="00122896" w:rsidR="008D48B8" w:rsidTr="00DA3C6E" w14:paraId="5BD2DEA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32811A46" w14:textId="77777777">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601778" w:rsidR="00601778" w:rsidP="00601778" w:rsidRDefault="00601778" w14:paraId="02A0DCEC" w14:textId="5AF609DF">
            <w:pPr>
              <w:keepNext w:val="0"/>
              <w:spacing w:after="160" w:line="259" w:lineRule="auto"/>
            </w:pPr>
            <w:r w:rsidRPr="00601778">
              <w:t xml:space="preserve">Two analysis were conducted, one on positive affect and one on negative affect: </w:t>
            </w:r>
          </w:p>
          <w:p w:rsidRPr="00601778" w:rsidR="00601778" w:rsidP="00601778" w:rsidRDefault="00601778" w14:paraId="1376A18E" w14:textId="0B3C1CD9">
            <w:pPr>
              <w:keepNext w:val="0"/>
              <w:spacing w:after="160" w:line="259" w:lineRule="auto"/>
            </w:pPr>
            <w:r w:rsidRPr="00601778">
              <w:t>“Two 2 × 4 mixed-design analyses of variance (ANOVAs) with Bonferroni adjustments were applied to test the effectiveness of the PPI over the 6-month duration of the experiment.”</w:t>
            </w:r>
          </w:p>
          <w:p w:rsidRPr="00601778" w:rsidR="00601778" w:rsidP="00601778" w:rsidRDefault="00601778" w14:paraId="7F31BDE4" w14:textId="645C13E1">
            <w:pPr>
              <w:keepNext w:val="0"/>
              <w:spacing w:after="160" w:line="259" w:lineRule="auto"/>
            </w:pPr>
            <w:r w:rsidRPr="00601778">
              <w:t xml:space="preserve">A completers only analysis was conducted: </w:t>
            </w:r>
          </w:p>
          <w:p w:rsidRPr="00122896" w:rsidR="008D48B8" w:rsidP="00601778" w:rsidRDefault="00601778" w14:paraId="1DD9C6CC" w14:textId="324EE291">
            <w:pPr>
              <w:keepNext w:val="0"/>
              <w:spacing w:after="160" w:line="259" w:lineRule="auto"/>
            </w:pPr>
            <w:r w:rsidRPr="00601778">
              <w:t>“The data of 132 participants were removed because they did not submit complete responses. Thus, 868 students remained”</w:t>
            </w: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8D48B8" w:rsidP="00DA3C6E" w:rsidRDefault="008D48B8" w14:paraId="46AC5202" w14:textId="34EA318B">
            <w:pPr>
              <w:keepNext w:val="0"/>
              <w:spacing w:after="160" w:line="259" w:lineRule="auto"/>
              <w:rPr>
                <w:lang w:val="es-ES"/>
              </w:rPr>
            </w:pPr>
            <w:r w:rsidRPr="00122896">
              <w:rPr>
                <w:lang w:val="es-ES"/>
              </w:rPr>
              <w:t>N</w:t>
            </w:r>
          </w:p>
        </w:tc>
      </w:tr>
      <w:tr w:rsidRPr="00122896" w:rsidR="008D48B8" w:rsidTr="00DA3C6E" w14:paraId="38CBFAE3"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43B4BB42" w14:textId="77777777">
            <w:pPr>
              <w:keepNext w:val="0"/>
              <w:spacing w:after="160" w:line="259" w:lineRule="auto"/>
            </w:pPr>
            <w:r w:rsidRPr="00122896">
              <w:rPr>
                <w:b/>
              </w:rPr>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8D48B8" w:rsidP="00DA3C6E" w:rsidRDefault="008D48B8" w14:paraId="07809FDB"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8D48B8" w:rsidP="00DA3C6E" w:rsidRDefault="008D48B8" w14:paraId="6C8155F8" w14:textId="4ACF01AC">
            <w:pPr>
              <w:keepNext w:val="0"/>
              <w:spacing w:after="160" w:line="259" w:lineRule="auto"/>
            </w:pPr>
            <w:r w:rsidRPr="00122896">
              <w:t>High</w:t>
            </w:r>
          </w:p>
        </w:tc>
      </w:tr>
      <w:tr w:rsidRPr="00122896" w:rsidR="008D48B8" w:rsidTr="00DA3C6E" w14:paraId="1B5CDDF0"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8D48B8" w:rsidP="00DA3C6E" w:rsidRDefault="008D48B8" w14:paraId="0464B09C" w14:textId="77777777">
            <w:pPr>
              <w:keepNext w:val="0"/>
              <w:spacing w:after="160" w:line="259" w:lineRule="auto"/>
            </w:pPr>
            <w:r w:rsidRPr="00122896">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8D48B8" w:rsidP="00DA3C6E" w:rsidRDefault="008D48B8" w14:paraId="25D7F17E"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8D48B8" w:rsidP="00DA3C6E" w:rsidRDefault="008D48B8" w14:paraId="685837AD" w14:textId="028005CB">
            <w:pPr>
              <w:keepNext w:val="0"/>
              <w:spacing w:after="160" w:line="259" w:lineRule="auto"/>
            </w:pPr>
            <w:r w:rsidRPr="00122896">
              <w:t>Unpredictable</w:t>
            </w:r>
          </w:p>
        </w:tc>
      </w:tr>
    </w:tbl>
    <w:p w:rsidRPr="00182E51" w:rsidR="00851D4D" w:rsidRDefault="00851D4D" w14:paraId="54E3B37E" w14:textId="4A966DC5">
      <w:pPr>
        <w:spacing w:after="160" w:line="259" w:lineRule="auto"/>
      </w:pPr>
      <w:r>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6EAA7851"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6EAA7851" w14:paraId="2F4CB16E" w14:textId="77777777">
        <w:trPr>
          <w:cantSplit/>
          <w:trHeight w:val="1002"/>
        </w:trPr>
        <w:tc>
          <w:tcPr>
            <w:tcW w:w="4248" w:type="dxa"/>
            <w:shd w:val="clear" w:color="auto" w:fill="D9D9D9" w:themeFill="background1" w:themeFillShade="D9"/>
            <w:tcMar/>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Mar/>
          </w:tcPr>
          <w:p w:rsidRPr="00A12AF3" w:rsidR="00C153C1" w:rsidP="00A12AF3" w:rsidRDefault="00A12AF3" w14:paraId="3C765747" w14:textId="4022C296">
            <w:r w:rsidRPr="00A12AF3">
              <w:rPr>
                <w:lang w:val="en-US"/>
              </w:rPr>
              <w:t>Un</w:t>
            </w:r>
            <w:r>
              <w:rPr>
                <w:lang w:val="en-US"/>
              </w:rPr>
              <w:t xml:space="preserve">known at what stage participants dropped out and whether this was prior to or following randomisation: </w:t>
            </w:r>
            <w:r>
              <w:t>“We initially recruited 1,000 second-year undergraduate students</w:t>
            </w:r>
            <w:r w:rsidRPr="007E02E4">
              <w:rPr>
                <w:lang w:val="en-US"/>
              </w:rPr>
              <w:t xml:space="preserve"> … </w:t>
            </w:r>
            <w:r>
              <w:t>The data of 132 participants were removed because they did not submit complete responses. Thus, 868 students remained: 420 students in the PPI group and 448 in the control group.”</w:t>
            </w:r>
          </w:p>
        </w:tc>
        <w:tc>
          <w:tcPr>
            <w:tcW w:w="2836" w:type="dxa"/>
            <w:shd w:val="clear" w:color="auto" w:fill="auto"/>
            <w:tcMar/>
          </w:tcPr>
          <w:p w:rsidR="00C153C1" w:rsidP="6EAA7851" w:rsidRDefault="004D722D" w14:paraId="4AFA6BAC" w14:textId="259F9EEA">
            <w:pPr>
              <w:jc w:val="center"/>
              <w:rPr>
                <w:rFonts w:cs="Calibri" w:cstheme="minorAscii"/>
                <w:color w:val="FF0000"/>
              </w:rPr>
            </w:pPr>
            <w:r w:rsidRPr="6EAA7851" w:rsidR="004D722D">
              <w:rPr>
                <w:rFonts w:cs="Calibri" w:cstheme="minorAscii"/>
                <w:color w:val="FF0000"/>
              </w:rPr>
              <w:t>PN</w:t>
            </w:r>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Pr="004B666A" w:rsidR="00C153C1" w:rsidTr="6EAA7851" w14:paraId="7EECE6A2" w14:textId="77777777">
        <w:trPr>
          <w:cantSplit/>
          <w:trHeight w:val="1042"/>
        </w:trPr>
        <w:tc>
          <w:tcPr>
            <w:tcW w:w="4248" w:type="dxa"/>
            <w:shd w:val="clear" w:color="auto" w:fill="D9D9D9" w:themeFill="background1" w:themeFillShade="D9"/>
            <w:tcMar/>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Mar/>
          </w:tcPr>
          <w:p w:rsidRPr="00A12AF3" w:rsidR="00C153C1" w:rsidP="00E90BF4" w:rsidRDefault="00A12AF3" w14:paraId="1ED71559" w14:textId="4CEF46AB">
            <w:pPr>
              <w:rPr>
                <w:lang w:val="en-US"/>
              </w:rPr>
            </w:pPr>
            <w:r w:rsidRPr="00A12AF3">
              <w:rPr>
                <w:lang w:val="en-US"/>
              </w:rPr>
              <w:t xml:space="preserve">There is no evidence in the </w:t>
            </w:r>
            <w:r>
              <w:rPr>
                <w:lang w:val="en-US"/>
              </w:rPr>
              <w:t xml:space="preserve">journal article. </w:t>
            </w:r>
          </w:p>
        </w:tc>
        <w:tc>
          <w:tcPr>
            <w:tcW w:w="2836" w:type="dxa"/>
            <w:shd w:val="clear" w:color="auto" w:fill="auto"/>
            <w:tcMar/>
          </w:tcPr>
          <w:p w:rsidR="00C153C1" w:rsidP="00C153C1" w:rsidRDefault="004D722D" w14:paraId="39D91496" w14:textId="1276F347">
            <w:pPr>
              <w:jc w:val="center"/>
              <w:rPr>
                <w:rFonts w:cstheme="minorHAnsi"/>
                <w:color w:val="FF0000"/>
              </w:rPr>
            </w:pPr>
            <w:r w:rsidRPr="004B666A">
              <w:rPr>
                <w:rFonts w:cstheme="minorHAnsi"/>
                <w:color w:val="FF0000"/>
              </w:rPr>
              <w:t>N</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6EAA7851" w14:paraId="374DC83B" w14:textId="77777777">
        <w:trPr>
          <w:cantSplit/>
          <w:trHeight w:val="939"/>
        </w:trPr>
        <w:tc>
          <w:tcPr>
            <w:tcW w:w="4248" w:type="dxa"/>
            <w:shd w:val="clear" w:color="auto" w:fill="D9D9D9" w:themeFill="background1" w:themeFillShade="D9"/>
            <w:tcMar/>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Mar/>
          </w:tcPr>
          <w:p w:rsidRPr="004B666A" w:rsidR="00C14F66" w:rsidP="00C153C1" w:rsidRDefault="00C14F66" w14:paraId="27097663" w14:textId="3148ABCD">
            <w:pPr>
              <w:rPr>
                <w:rFonts w:cstheme="minorHAnsi"/>
              </w:rPr>
            </w:pPr>
          </w:p>
        </w:tc>
        <w:tc>
          <w:tcPr>
            <w:tcW w:w="2836" w:type="dxa"/>
            <w:shd w:val="clear" w:color="auto" w:fill="auto"/>
            <w:tcMar/>
          </w:tcPr>
          <w:p w:rsidR="00C153C1" w:rsidP="00C153C1" w:rsidRDefault="004D722D" w14:paraId="5AC043F2" w14:textId="785FA682">
            <w:pPr>
              <w:jc w:val="center"/>
              <w:rPr>
                <w:rFonts w:cstheme="minorHAnsi"/>
                <w:lang w:val="es-ES"/>
              </w:rPr>
            </w:pPr>
            <w:r w:rsidRPr="006B1069">
              <w:rPr>
                <w:rFonts w:cstheme="minorHAnsi"/>
                <w:lang w:val="es-ES"/>
              </w:rPr>
              <w:t>NI</w:t>
            </w:r>
          </w:p>
          <w:p w:rsidR="00E90BF4" w:rsidP="00E90BF4" w:rsidRDefault="00E90BF4" w14:paraId="75730504" w14:textId="77777777">
            <w:pPr>
              <w:rPr>
                <w:rFonts w:cstheme="minorHAnsi"/>
                <w:lang w:val="es-ES"/>
              </w:rPr>
            </w:pPr>
          </w:p>
          <w:p w:rsidRPr="00C14F66" w:rsidR="00E90BF4" w:rsidP="00C14F66" w:rsidRDefault="00C14F66" w14:paraId="310F6977" w14:textId="61E69A54">
            <w:r w:rsidRPr="00C14F66">
              <w:rPr>
                <w:rFonts w:cstheme="minorHAnsi"/>
                <w:sz w:val="18"/>
                <w:szCs w:val="18"/>
                <w:shd w:val="clear" w:color="auto" w:fill="FAF9F8"/>
              </w:rPr>
              <w:t>If  loss  to  follow  up,  or  withdrawal  from  the  study,  could  be  related  to  participants’  health  status,  then  it  is  possible  thatmissingness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6EAA7851" w14:paraId="3FD87FB0" w14:textId="77777777">
        <w:trPr>
          <w:cantSplit/>
          <w:trHeight w:val="973"/>
        </w:trPr>
        <w:tc>
          <w:tcPr>
            <w:tcW w:w="4248" w:type="dxa"/>
            <w:shd w:val="clear" w:color="auto" w:fill="D9D9D9" w:themeFill="background1" w:themeFillShade="D9"/>
            <w:tcMar/>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tcMar/>
          </w:tcPr>
          <w:p w:rsidRPr="004B666A" w:rsidR="00C153C1" w:rsidP="00C153C1" w:rsidRDefault="00C153C1" w14:paraId="5D46C599" w14:textId="77777777">
            <w:pPr>
              <w:rPr>
                <w:rFonts w:cstheme="minorHAnsi"/>
              </w:rPr>
            </w:pPr>
          </w:p>
        </w:tc>
        <w:tc>
          <w:tcPr>
            <w:tcW w:w="2836" w:type="dxa"/>
            <w:shd w:val="clear" w:color="auto" w:fill="auto"/>
            <w:tcMar/>
          </w:tcPr>
          <w:p w:rsidR="00C153C1" w:rsidP="00C153C1" w:rsidRDefault="004D722D" w14:paraId="0B21AD33" w14:textId="383D4D32">
            <w:pPr>
              <w:jc w:val="center"/>
              <w:rPr>
                <w:rFonts w:cstheme="minorHAnsi"/>
                <w:lang w:val="es-ES"/>
              </w:rPr>
            </w:pPr>
            <w:r w:rsidRPr="006B1069">
              <w:rPr>
                <w:rFonts w:cstheme="minorHAnsi"/>
                <w:lang w:val="es-ES"/>
              </w:rPr>
              <w:t>NI</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6EAA7851" w14:paraId="598167F3" w14:textId="77777777">
        <w:trPr>
          <w:cantSplit/>
          <w:trHeight w:val="1001"/>
        </w:trPr>
        <w:tc>
          <w:tcPr>
            <w:tcW w:w="4248" w:type="dxa"/>
            <w:shd w:val="clear" w:color="auto" w:fill="D9D9D9" w:themeFill="background1" w:themeFillShade="D9"/>
            <w:tcMar/>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t>Risk-of-bias judgement</w:t>
            </w:r>
          </w:p>
        </w:tc>
        <w:tc>
          <w:tcPr>
            <w:tcW w:w="7512" w:type="dxa"/>
            <w:shd w:val="clear" w:color="auto" w:fill="auto"/>
            <w:tcMar/>
          </w:tcPr>
          <w:p w:rsidRPr="004B666A" w:rsidR="00CA084F" w:rsidP="003C3813" w:rsidRDefault="00CA084F" w14:paraId="02DE4D20" w14:textId="7DB05D54">
            <w:pPr>
              <w:tabs>
                <w:tab w:val="left" w:pos="960"/>
              </w:tabs>
              <w:autoSpaceDE w:val="0"/>
              <w:autoSpaceDN w:val="0"/>
              <w:adjustRightInd w:val="0"/>
              <w:rPr>
                <w:rFonts w:cstheme="minorHAnsi"/>
              </w:rPr>
            </w:pPr>
          </w:p>
        </w:tc>
        <w:tc>
          <w:tcPr>
            <w:tcW w:w="2836" w:type="dxa"/>
            <w:shd w:val="clear" w:color="auto" w:fill="auto"/>
            <w:tcMar/>
          </w:tcPr>
          <w:p w:rsidRPr="004B666A" w:rsidR="00CA084F" w:rsidP="003C3813" w:rsidRDefault="005B2F56" w14:paraId="254169B7" w14:textId="2F94E9A4">
            <w:pPr>
              <w:tabs>
                <w:tab w:val="left" w:pos="960"/>
              </w:tabs>
              <w:autoSpaceDE w:val="0"/>
              <w:autoSpaceDN w:val="0"/>
              <w:adjustRightInd w:val="0"/>
              <w:jc w:val="center"/>
              <w:rPr>
                <w:rFonts w:cstheme="minorHAnsi"/>
              </w:rPr>
            </w:pPr>
            <w:r>
              <w:rPr>
                <w:rFonts w:cstheme="minorHAnsi"/>
              </w:rPr>
              <w:t>High</w:t>
            </w:r>
          </w:p>
        </w:tc>
      </w:tr>
      <w:tr w:rsidRPr="004B666A" w:rsidR="0079530F" w:rsidTr="6EAA7851" w14:paraId="52A93D70" w14:textId="77777777">
        <w:trPr>
          <w:cantSplit/>
          <w:trHeight w:val="20"/>
        </w:trPr>
        <w:tc>
          <w:tcPr>
            <w:tcW w:w="4248" w:type="dxa"/>
            <w:shd w:val="clear" w:color="auto" w:fill="D9D9D9" w:themeFill="background1" w:themeFillShade="D9"/>
            <w:tcMar/>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Mar/>
          </w:tcPr>
          <w:p w:rsidRPr="004B666A" w:rsidR="0079530F" w:rsidP="0079530F" w:rsidRDefault="0079530F" w14:paraId="75ED3579" w14:textId="5F0A631F">
            <w:pPr>
              <w:rPr>
                <w:rFonts w:cstheme="minorHAnsi"/>
              </w:rPr>
            </w:pPr>
          </w:p>
        </w:tc>
        <w:tc>
          <w:tcPr>
            <w:tcW w:w="2836" w:type="dxa"/>
            <w:shd w:val="clear" w:color="auto" w:fill="auto"/>
            <w:tcMar/>
          </w:tcPr>
          <w:p w:rsidRPr="004B666A" w:rsidR="0079530F" w:rsidP="0079530F" w:rsidRDefault="005B2F56" w14:paraId="28294783" w14:textId="7ED3F92A">
            <w:pPr>
              <w:jc w:val="center"/>
              <w:rPr>
                <w:rFonts w:cstheme="minorHAnsi"/>
              </w:rPr>
            </w:pPr>
            <w:r>
              <w:rPr>
                <w:rFonts w:cstheme="minorHAnsi"/>
              </w:rPr>
              <w:t>Unpredictable</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0079530F" w14:paraId="4331B2FD" w14:textId="77777777">
        <w:trPr>
          <w:cantSplit/>
          <w:trHeight w:val="860"/>
        </w:trPr>
        <w:tc>
          <w:tcPr>
            <w:tcW w:w="4248" w:type="dxa"/>
            <w:shd w:val="clear" w:color="auto" w:fill="D9D9D9" w:themeFill="background1" w:themeFillShade="D9"/>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Pr>
          <w:p w:rsidR="006E3547" w:rsidP="006E3547" w:rsidRDefault="00566E24" w14:paraId="6F8645C1" w14:textId="76535A48">
            <w:pPr>
              <w:rPr>
                <w:lang w:val="en-US"/>
              </w:rPr>
            </w:pPr>
            <w:r>
              <w:rPr>
                <w:lang w:val="en-US"/>
              </w:rPr>
              <w:t>According to the journal article</w:t>
            </w:r>
            <w:r w:rsidR="006E3547">
              <w:rPr>
                <w:lang w:val="en-US"/>
              </w:rPr>
              <w:t xml:space="preserve"> </w:t>
            </w:r>
            <w:r>
              <w:rPr>
                <w:lang w:val="en-US"/>
              </w:rPr>
              <w:t>the short version of PANAS containing 10 items, 5-items for PA and 5-items for NA was used, measured using</w:t>
            </w:r>
            <w:r w:rsidR="006E3547">
              <w:rPr>
                <w:lang w:val="en-US"/>
              </w:rPr>
              <w:t xml:space="preserve"> </w:t>
            </w:r>
            <w:r>
              <w:rPr>
                <w:lang w:val="en-US"/>
              </w:rPr>
              <w:t>a</w:t>
            </w:r>
            <w:r w:rsidR="006E3547">
              <w:rPr>
                <w:lang w:val="en-US"/>
              </w:rPr>
              <w:t xml:space="preserve"> 5-point Likert scale</w:t>
            </w:r>
            <w:r>
              <w:rPr>
                <w:lang w:val="en-US"/>
              </w:rPr>
              <w:t xml:space="preserve">. If so, scores are expected to </w:t>
            </w:r>
            <w:r w:rsidR="006E3547">
              <w:rPr>
                <w:lang w:val="en-US"/>
              </w:rPr>
              <w:t>rang</w:t>
            </w:r>
            <w:r>
              <w:rPr>
                <w:lang w:val="en-US"/>
              </w:rPr>
              <w:t>e</w:t>
            </w:r>
            <w:r w:rsidR="006E3547">
              <w:rPr>
                <w:lang w:val="en-US"/>
              </w:rPr>
              <w:t xml:space="preserve"> from 5-25</w:t>
            </w:r>
            <w:r>
              <w:rPr>
                <w:lang w:val="en-US"/>
              </w:rPr>
              <w:t>, with means in a Chinese population for PA ar</w:t>
            </w:r>
            <w:r w:rsidR="007B07EC">
              <w:rPr>
                <w:lang w:val="en-US"/>
              </w:rPr>
              <w:t>ound</w:t>
            </w:r>
            <w:r>
              <w:rPr>
                <w:lang w:val="en-US"/>
              </w:rPr>
              <w:t xml:space="preserve"> 18 and NA ar</w:t>
            </w:r>
            <w:r w:rsidR="007B07EC">
              <w:rPr>
                <w:lang w:val="en-US"/>
              </w:rPr>
              <w:t>ound</w:t>
            </w:r>
            <w:r>
              <w:rPr>
                <w:lang w:val="en-US"/>
              </w:rPr>
              <w:t xml:space="preserve"> 12 (Thompson, 2012). </w:t>
            </w:r>
            <w:r w:rsidR="006E3547">
              <w:rPr>
                <w:lang w:val="en-US"/>
              </w:rPr>
              <w:t xml:space="preserve">However, tables indicate </w:t>
            </w:r>
            <w:r>
              <w:rPr>
                <w:lang w:val="en-US"/>
              </w:rPr>
              <w:t xml:space="preserve">all </w:t>
            </w:r>
            <w:r w:rsidR="006E3547">
              <w:rPr>
                <w:lang w:val="en-US"/>
              </w:rPr>
              <w:t>scores</w:t>
            </w:r>
            <w:r w:rsidR="007B07EC">
              <w:rPr>
                <w:lang w:val="en-US"/>
              </w:rPr>
              <w:t xml:space="preserve"> in this study</w:t>
            </w:r>
            <w:r w:rsidR="006E3547">
              <w:rPr>
                <w:lang w:val="en-US"/>
              </w:rPr>
              <w:t xml:space="preserve"> exceed 25</w:t>
            </w:r>
            <w:r w:rsidR="007B07EC">
              <w:rPr>
                <w:lang w:val="en-US"/>
              </w:rPr>
              <w:t>. Perhaps the 20-item version was used instead, however, in this case the NA score would still be highly unlikely:</w:t>
            </w:r>
            <w:r w:rsidR="006E3547">
              <w:rPr>
                <w:lang w:val="en-US"/>
              </w:rPr>
              <w:t xml:space="preserve"> baseline NA </w:t>
            </w:r>
            <w:r w:rsidR="007B07EC">
              <w:rPr>
                <w:lang w:val="en-US"/>
              </w:rPr>
              <w:t xml:space="preserve">in the study </w:t>
            </w:r>
            <w:r w:rsidR="006E3547">
              <w:rPr>
                <w:lang w:val="en-US"/>
              </w:rPr>
              <w:t>is 27 whilst the norm is considered around 17</w:t>
            </w:r>
            <w:r w:rsidR="007B07EC">
              <w:rPr>
                <w:lang w:val="en-US"/>
              </w:rPr>
              <w:t>.</w:t>
            </w:r>
            <w:r w:rsidR="006E3547">
              <w:rPr>
                <w:lang w:val="en-US"/>
              </w:rPr>
              <w:t xml:space="preserve"> </w:t>
            </w:r>
          </w:p>
          <w:p w:rsidR="006E3547" w:rsidP="006E3547" w:rsidRDefault="006E3547" w14:paraId="6B2FD339" w14:textId="77777777">
            <w:pPr>
              <w:rPr>
                <w:lang w:val="en-US"/>
              </w:rPr>
            </w:pPr>
          </w:p>
          <w:p w:rsidRPr="006E3547" w:rsidR="0001232C" w:rsidP="006E3547" w:rsidRDefault="006E3547" w14:paraId="1B61CFBF" w14:textId="417690FE">
            <w:pPr>
              <w:rPr>
                <w:lang w:val="nl-NL"/>
              </w:rPr>
            </w:pPr>
            <w:r w:rsidRPr="006E3547">
              <w:rPr>
                <w:lang w:val="en-US"/>
              </w:rPr>
              <w:t>“</w:t>
            </w:r>
            <w:r>
              <w:t>We employed the abbreviated form of the PANAS (Mackinnon et al., 1999) to assess the general affective state of all participants. The PANAS is designed around 10 items of affect (five for PA, the other for NA) and comprises words that describe different emotions and feelings. Participants are instructed to read each item and use a 5-point Likert scale to indicate to what extent they feel these emotions at the moment: 1 (very slightly or not at all), 2 (a little), 3 (moderately), 4 (quite a bit), and 5 (extremely). The frame of reference was the current psychological state of the participant. This abbreviated PANAS was completed four times by all participants, at four time points (baseline, posttreatment, 3-month follow-up, and 6-month follow-up) amid the whole study period. Cronbach’s alphas indicating degree of internal consistency in this sample were .71, .75, .73 and .81 for the NA items and .73, .78, .72, and .79 for the PA items at the baseline assessment, postintervention evaluation, 3-month follow-up, and 6-month follow-up time points, respectively. These results are indicative of good internal consistency.</w:t>
            </w:r>
            <w:r>
              <w:rPr>
                <w:lang w:val="nl-NL"/>
              </w:rPr>
              <w:t>”</w:t>
            </w:r>
          </w:p>
        </w:tc>
        <w:tc>
          <w:tcPr>
            <w:tcW w:w="2836" w:type="dxa"/>
            <w:shd w:val="clear" w:color="auto" w:fill="auto"/>
          </w:tcPr>
          <w:p w:rsidR="00C153C1" w:rsidP="00C153C1" w:rsidRDefault="004D722D" w14:paraId="4B76B9FD" w14:textId="0981E13C">
            <w:pPr>
              <w:jc w:val="center"/>
              <w:rPr>
                <w:rFonts w:cstheme="minorHAnsi"/>
              </w:rPr>
            </w:pPr>
            <w:r w:rsidRPr="00076212">
              <w:rPr>
                <w:rFonts w:cstheme="minorHAnsi"/>
                <w:color w:val="00B050"/>
                <w:u w:val="single"/>
              </w:rPr>
              <w:t>N</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0079530F" w14:paraId="058F6880" w14:textId="77777777">
        <w:trPr>
          <w:cantSplit/>
          <w:trHeight w:val="20"/>
        </w:trPr>
        <w:tc>
          <w:tcPr>
            <w:tcW w:w="4248" w:type="dxa"/>
            <w:shd w:val="clear" w:color="auto" w:fill="D9D9D9" w:themeFill="background1" w:themeFillShade="D9"/>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Pr>
          <w:p w:rsidRPr="00D92360" w:rsidR="006B499C" w:rsidP="006B499C" w:rsidRDefault="00D92360" w14:paraId="483456D1" w14:textId="5AAE145F">
            <w:pPr>
              <w:spacing w:after="120"/>
              <w:rPr>
                <w:rFonts w:cstheme="minorHAnsi"/>
                <w:lang w:val="en-US"/>
              </w:rPr>
            </w:pPr>
            <w:proofErr w:type="spellStart"/>
            <w:r w:rsidRPr="00D92360">
              <w:rPr>
                <w:rFonts w:cstheme="minorHAnsi"/>
                <w:lang w:val="en-US"/>
              </w:rPr>
              <w:t>Standardised</w:t>
            </w:r>
            <w:proofErr w:type="spellEnd"/>
            <w:r w:rsidRPr="00D92360">
              <w:rPr>
                <w:rFonts w:cstheme="minorHAnsi"/>
                <w:lang w:val="en-US"/>
              </w:rPr>
              <w:t xml:space="preserve"> questionnaire</w:t>
            </w:r>
            <w:r>
              <w:rPr>
                <w:rFonts w:cstheme="minorHAnsi"/>
                <w:lang w:val="en-US"/>
              </w:rPr>
              <w:t xml:space="preserve"> which was automatically delivered</w:t>
            </w:r>
            <w:r w:rsidRPr="00D92360">
              <w:rPr>
                <w:rFonts w:cstheme="minorHAnsi"/>
                <w:lang w:val="en-US"/>
              </w:rPr>
              <w:t xml:space="preserve"> via digital technology.</w:t>
            </w:r>
          </w:p>
        </w:tc>
        <w:tc>
          <w:tcPr>
            <w:tcW w:w="2836" w:type="dxa"/>
            <w:shd w:val="clear" w:color="auto" w:fill="auto"/>
          </w:tcPr>
          <w:p w:rsidR="00C153C1" w:rsidP="00C153C1" w:rsidRDefault="004D722D" w14:paraId="340276E7" w14:textId="32C9C2C0">
            <w:pPr>
              <w:jc w:val="center"/>
              <w:rPr>
                <w:rFonts w:cstheme="minorHAnsi"/>
              </w:rPr>
            </w:pPr>
            <w:r w:rsidRPr="00076212">
              <w:rPr>
                <w:rFonts w:cstheme="minorHAnsi"/>
                <w:color w:val="00B050"/>
                <w:u w:val="single"/>
              </w:rPr>
              <w:t>N</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 xml:space="preserve">Comparable methods of outcome measurement (data collection) involve the same measurement methods and thresholds, used at </w:t>
            </w:r>
            <w:r w:rsidRPr="00623C1A">
              <w:rPr>
                <w:rFonts w:cstheme="minorHAnsi"/>
                <w:sz w:val="18"/>
                <w:szCs w:val="18"/>
                <w:shd w:val="clear" w:color="auto" w:fill="FAF9F8"/>
              </w:rPr>
              <w:lastRenderedPageBreak/>
              <w:t>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Pr="001D18A8" w:rsidR="00C153C1" w:rsidTr="0079530F" w14:paraId="00132CEF" w14:textId="77777777">
        <w:trPr>
          <w:cantSplit/>
          <w:trHeight w:val="20"/>
        </w:trPr>
        <w:tc>
          <w:tcPr>
            <w:tcW w:w="4248" w:type="dxa"/>
            <w:shd w:val="clear" w:color="auto" w:fill="D9D9D9" w:themeFill="background1" w:themeFillShade="D9"/>
          </w:tcPr>
          <w:p w:rsidRPr="004B666A" w:rsidR="00C153C1" w:rsidP="00C153C1" w:rsidRDefault="00C153C1" w14:paraId="69A8BB82" w14:textId="488833DC">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rsidRPr="004B666A" w:rsidR="005C1F01" w:rsidP="00C153C1" w:rsidRDefault="005C1F01" w14:paraId="092E4F3C" w14:textId="22CA8AB3">
            <w:pPr>
              <w:rPr>
                <w:rFonts w:cstheme="minorHAnsi"/>
              </w:rPr>
            </w:pPr>
            <w:r>
              <w:t xml:space="preserve"> </w:t>
            </w:r>
          </w:p>
        </w:tc>
        <w:tc>
          <w:tcPr>
            <w:tcW w:w="2836" w:type="dxa"/>
            <w:shd w:val="clear" w:color="auto" w:fill="auto"/>
          </w:tcPr>
          <w:p w:rsidR="00C153C1" w:rsidP="00C153C1" w:rsidRDefault="004D722D" w14:paraId="3BC3A928" w14:textId="35E1F12C">
            <w:pPr>
              <w:jc w:val="center"/>
              <w:rPr>
                <w:rFonts w:cstheme="minorHAnsi"/>
                <w:color w:val="00B050"/>
                <w:u w:val="single"/>
                <w:lang w:val="es-ES"/>
              </w:rPr>
            </w:pPr>
            <w:r w:rsidRPr="006B1069">
              <w:rPr>
                <w:rFonts w:cstheme="minorHAnsi"/>
                <w:lang w:val="es-ES"/>
              </w:rPr>
              <w:t>NA</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0079530F" w14:paraId="369F3D20" w14:textId="77777777">
        <w:trPr>
          <w:cantSplit/>
          <w:trHeight w:val="20"/>
        </w:trPr>
        <w:tc>
          <w:tcPr>
            <w:tcW w:w="4248" w:type="dxa"/>
            <w:shd w:val="clear" w:color="auto" w:fill="D9D9D9" w:themeFill="background1" w:themeFillShade="D9"/>
          </w:tcPr>
          <w:p w:rsidRPr="004B666A" w:rsidR="00C153C1" w:rsidP="00C153C1" w:rsidRDefault="00C153C1" w14:paraId="7AAF8624" w14:textId="54ED8833">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rsidRPr="004B666A" w:rsidR="00C153C1" w:rsidP="00C153C1" w:rsidRDefault="00C153C1" w14:paraId="3ABA118F" w14:textId="77777777">
            <w:pPr>
              <w:rPr>
                <w:rFonts w:cstheme="minorHAnsi"/>
              </w:rPr>
            </w:pPr>
          </w:p>
        </w:tc>
        <w:tc>
          <w:tcPr>
            <w:tcW w:w="2836" w:type="dxa"/>
            <w:shd w:val="clear" w:color="auto" w:fill="auto"/>
          </w:tcPr>
          <w:p w:rsidR="00C153C1" w:rsidP="00C153C1" w:rsidRDefault="004D722D" w14:paraId="3FA7CC12" w14:textId="2A54EA07">
            <w:pPr>
              <w:jc w:val="center"/>
              <w:rPr>
                <w:rFonts w:cstheme="minorHAnsi"/>
                <w:lang w:val="es-ES"/>
              </w:rPr>
            </w:pPr>
            <w:r w:rsidRPr="006B1069">
              <w:rPr>
                <w:rFonts w:cstheme="minorHAnsi"/>
                <w:lang w:val="es-ES"/>
              </w:rPr>
              <w:t xml:space="preserve">NA </w:t>
            </w:r>
          </w:p>
          <w:p w:rsidR="001D18A8" w:rsidP="001D18A8" w:rsidRDefault="001D18A8" w14:paraId="4FA7DA1E" w14:textId="77777777">
            <w:pP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0079530F" w14:paraId="76B43D82" w14:textId="77777777">
        <w:trPr>
          <w:cantSplit/>
          <w:trHeight w:val="20"/>
        </w:trPr>
        <w:tc>
          <w:tcPr>
            <w:tcW w:w="4248" w:type="dxa"/>
            <w:shd w:val="clear" w:color="auto" w:fill="D9D9D9" w:themeFill="background1" w:themeFillShade="D9"/>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3"/>
            <w:r>
              <w:rPr>
                <w:b/>
              </w:rPr>
              <w:t>Is it likely that assessment of the outcome was influenced by knowledge of intervention received?</w:t>
            </w:r>
            <w:bookmarkEnd w:id="3"/>
          </w:p>
        </w:tc>
        <w:tc>
          <w:tcPr>
            <w:tcW w:w="7512" w:type="dxa"/>
            <w:vMerge/>
            <w:shd w:val="clear" w:color="auto" w:fill="auto"/>
          </w:tcPr>
          <w:p w:rsidRPr="004B666A" w:rsidR="00C153C1" w:rsidP="00C153C1" w:rsidRDefault="00C153C1" w14:paraId="0366504E" w14:textId="77777777">
            <w:pPr>
              <w:rPr>
                <w:rFonts w:cstheme="minorHAnsi"/>
              </w:rPr>
            </w:pPr>
          </w:p>
        </w:tc>
        <w:tc>
          <w:tcPr>
            <w:tcW w:w="2836" w:type="dxa"/>
            <w:shd w:val="clear" w:color="auto" w:fill="auto"/>
          </w:tcPr>
          <w:p w:rsidR="00C153C1" w:rsidP="00C153C1" w:rsidRDefault="004D722D" w14:paraId="5BAF1EB2" w14:textId="16A2DEF2">
            <w:pPr>
              <w:jc w:val="center"/>
              <w:rPr>
                <w:rFonts w:cstheme="minorHAnsi"/>
                <w:lang w:val="es-ES"/>
              </w:rPr>
            </w:pPr>
            <w:r w:rsidRPr="006B1069">
              <w:rPr>
                <w:rFonts w:cstheme="minorHAnsi"/>
                <w:lang w:val="es-ES"/>
              </w:rPr>
              <w:t xml:space="preserve">NA </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 xml:space="preserve">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w:t>
            </w:r>
            <w:r w:rsidRPr="001D18A8">
              <w:rPr>
                <w:rFonts w:cstheme="minorHAnsi"/>
                <w:sz w:val="18"/>
                <w:szCs w:val="18"/>
                <w:shd w:val="clear" w:color="auto" w:fill="FAF9F8"/>
              </w:rPr>
              <w:lastRenderedPageBreak/>
              <w:t>(assessed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Pr="004B666A" w:rsidR="00E677C1" w:rsidTr="0079530F" w14:paraId="2CA9CD77" w14:textId="77777777">
        <w:trPr>
          <w:cantSplit/>
          <w:trHeight w:val="943"/>
        </w:trPr>
        <w:tc>
          <w:tcPr>
            <w:tcW w:w="4248" w:type="dxa"/>
            <w:shd w:val="clear" w:color="auto" w:fill="D9D9D9" w:themeFill="background1" w:themeFillShade="D9"/>
          </w:tcPr>
          <w:p w:rsidRPr="004B666A" w:rsidR="00E677C1" w:rsidP="003C3813" w:rsidRDefault="00E677C1" w14:paraId="7BA88D7F" w14:textId="77777777">
            <w:pPr>
              <w:rPr>
                <w:rFonts w:cstheme="minorHAnsi"/>
                <w:b/>
              </w:rPr>
            </w:pPr>
            <w:r w:rsidRPr="004B666A">
              <w:rPr>
                <w:rFonts w:cstheme="minorHAnsi"/>
                <w:b/>
              </w:rPr>
              <w:t>Risk-of-bias judgement</w:t>
            </w:r>
          </w:p>
        </w:tc>
        <w:tc>
          <w:tcPr>
            <w:tcW w:w="7512" w:type="dxa"/>
            <w:shd w:val="clear" w:color="auto" w:fill="auto"/>
          </w:tcPr>
          <w:p w:rsidRPr="004B666A" w:rsidR="00E677C1" w:rsidP="003C3813" w:rsidRDefault="00E677C1" w14:paraId="0C494949" w14:textId="6A0BB9AF">
            <w:pPr>
              <w:rPr>
                <w:rFonts w:cstheme="minorHAnsi"/>
              </w:rPr>
            </w:pPr>
          </w:p>
        </w:tc>
        <w:tc>
          <w:tcPr>
            <w:tcW w:w="2836" w:type="dxa"/>
            <w:shd w:val="clear" w:color="auto" w:fill="auto"/>
          </w:tcPr>
          <w:p w:rsidRPr="004B666A" w:rsidR="00E677C1" w:rsidP="003C3813" w:rsidRDefault="005B2F56" w14:paraId="728D2AA4" w14:textId="3F0B36FD">
            <w:pPr>
              <w:tabs>
                <w:tab w:val="left" w:pos="960"/>
              </w:tabs>
              <w:autoSpaceDE w:val="0"/>
              <w:autoSpaceDN w:val="0"/>
              <w:adjustRightInd w:val="0"/>
              <w:jc w:val="center"/>
              <w:rPr>
                <w:rFonts w:cstheme="minorHAnsi"/>
              </w:rPr>
            </w:pPr>
            <w:r>
              <w:rPr>
                <w:rFonts w:cstheme="minorHAnsi"/>
              </w:rPr>
              <w:t>High</w:t>
            </w:r>
          </w:p>
        </w:tc>
      </w:tr>
      <w:tr w:rsidRPr="004B666A" w:rsidR="0079530F" w:rsidTr="0079530F" w14:paraId="6941ED05" w14:textId="77777777">
        <w:trPr>
          <w:cantSplit/>
          <w:trHeight w:val="20"/>
        </w:trPr>
        <w:tc>
          <w:tcPr>
            <w:tcW w:w="4248" w:type="dxa"/>
            <w:shd w:val="clear" w:color="auto" w:fill="D9D9D9" w:themeFill="background1" w:themeFillShade="D9"/>
          </w:tcPr>
          <w:p w:rsidRPr="004B666A" w:rsidR="0079530F" w:rsidP="0079530F" w:rsidRDefault="0079530F" w14:paraId="093C19B0" w14:textId="77777777">
            <w:pPr>
              <w:rPr>
                <w:rFonts w:cstheme="minorHAnsi"/>
              </w:rPr>
            </w:pPr>
            <w:r w:rsidRPr="004B666A">
              <w:rPr>
                <w:rFonts w:cstheme="minorHAnsi"/>
              </w:rPr>
              <w:t>Optional: What is the predicted direction of bias in measurement of the outcome?</w:t>
            </w:r>
          </w:p>
        </w:tc>
        <w:tc>
          <w:tcPr>
            <w:tcW w:w="7512" w:type="dxa"/>
            <w:shd w:val="clear" w:color="auto" w:fill="auto"/>
          </w:tcPr>
          <w:p w:rsidRPr="004B666A" w:rsidR="0079530F" w:rsidP="0079530F" w:rsidRDefault="0079530F" w14:paraId="61B2250A" w14:textId="77777777">
            <w:pPr>
              <w:rPr>
                <w:rFonts w:cstheme="minorHAnsi"/>
              </w:rPr>
            </w:pPr>
          </w:p>
        </w:tc>
        <w:tc>
          <w:tcPr>
            <w:tcW w:w="2836" w:type="dxa"/>
            <w:shd w:val="clear" w:color="auto" w:fill="auto"/>
          </w:tcPr>
          <w:p w:rsidRPr="004B666A" w:rsidR="0079530F" w:rsidP="0079530F" w:rsidRDefault="005B2F56" w14:paraId="0A43E201" w14:textId="2C495550">
            <w:pPr>
              <w:jc w:val="center"/>
              <w:rPr>
                <w:rFonts w:cstheme="minorHAnsi"/>
              </w:rPr>
            </w:pPr>
            <w:r>
              <w:rPr>
                <w:rFonts w:cstheme="minorHAnsi"/>
              </w:rPr>
              <w:t>Unpredictable</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628B524"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Mar/>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Mar/>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Mar/>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0628B524"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Mar/>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Mar/>
          </w:tcPr>
          <w:p w:rsidRPr="00B81979" w:rsidR="006869FF" w:rsidP="00C153C1" w:rsidRDefault="0058646D" w14:paraId="37755D66" w14:textId="435263DD">
            <w:pPr>
              <w:rPr>
                <w:rFonts w:cstheme="minorHAnsi"/>
                <w:lang w:val="en-US"/>
              </w:rPr>
            </w:pPr>
            <w:r>
              <w:rPr>
                <w:rFonts w:cstheme="minorHAnsi"/>
                <w:lang w:val="en-US"/>
              </w:rPr>
              <w:t>No analysis plan, pre-registration, study protocol, etc. was found.</w:t>
            </w:r>
          </w:p>
        </w:tc>
        <w:tc>
          <w:tcPr>
            <w:tcW w:w="2836" w:type="dxa"/>
            <w:tcBorders>
              <w:top w:val="nil"/>
              <w:bottom w:val="single" w:color="auto" w:sz="4" w:space="0"/>
              <w:right w:val="single" w:color="auto" w:sz="4" w:space="0"/>
            </w:tcBorders>
            <w:shd w:val="clear" w:color="auto" w:fill="auto"/>
            <w:tcMar/>
          </w:tcPr>
          <w:p w:rsidR="00C153C1" w:rsidP="0058646D" w:rsidRDefault="004D722D" w14:paraId="50676A0A" w14:textId="23FBC9FC">
            <w:pPr>
              <w:jc w:val="center"/>
              <w:rPr>
                <w:rFonts w:cstheme="minorHAnsi"/>
                <w:color w:val="00B050"/>
                <w:u w:val="single"/>
              </w:rPr>
            </w:pPr>
            <w:r w:rsidRPr="004B666A">
              <w:rPr>
                <w:rFonts w:cstheme="minorHAnsi"/>
              </w:rPr>
              <w:t>NI</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0628B524"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Mar/>
          </w:tcPr>
          <w:p w:rsidRPr="004B666A" w:rsidR="00C153C1" w:rsidP="00C153C1" w:rsidRDefault="00C153C1" w14:paraId="20D287F2" w14:textId="50E792B4">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color="auto" w:sz="4" w:space="0"/>
              <w:bottom w:val="single" w:color="auto" w:sz="4" w:space="0"/>
            </w:tcBorders>
            <w:shd w:val="clear" w:color="auto" w:fill="D9D9D9" w:themeFill="background1" w:themeFillShade="D9"/>
            <w:tcMar/>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Mar/>
          </w:tcPr>
          <w:p w:rsidRPr="004B666A" w:rsidR="00C153C1" w:rsidP="00C153C1" w:rsidRDefault="00C153C1" w14:paraId="31B96C20" w14:textId="77777777">
            <w:pPr>
              <w:jc w:val="center"/>
              <w:rPr>
                <w:rFonts w:cstheme="minorHAnsi"/>
                <w:color w:val="FF0000"/>
              </w:rPr>
            </w:pPr>
          </w:p>
        </w:tc>
      </w:tr>
      <w:tr w:rsidRPr="004B666A" w:rsidR="00C153C1" w:rsidTr="0628B524"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color="auto" w:sz="4" w:space="0"/>
              <w:bottom w:val="single" w:color="auto" w:sz="4" w:space="0"/>
            </w:tcBorders>
            <w:shd w:val="clear" w:color="auto" w:fill="auto"/>
            <w:tcMar/>
          </w:tcPr>
          <w:p w:rsidRPr="004B3802" w:rsidR="00C153C1" w:rsidP="0628B524" w:rsidRDefault="005C555B" w14:noSpellErr="1" w14:paraId="2EBC1FF0" w14:textId="5C748E4F">
            <w:pPr>
              <w:rPr>
                <w:rFonts w:cs="Calibri" w:cstheme="minorAscii"/>
                <w:lang w:val="en-US"/>
              </w:rPr>
            </w:pPr>
            <w:r w:rsidRPr="0628B524" w:rsidR="005C555B">
              <w:rPr>
                <w:rFonts w:cs="Calibri" w:cstheme="minorAscii"/>
                <w:lang w:val="en-US"/>
              </w:rPr>
              <w:t>Potentially a different (multiple) scale(s) was used.</w:t>
            </w:r>
          </w:p>
          <w:p w:rsidRPr="004B3802" w:rsidR="00C153C1" w:rsidP="0628B524" w:rsidRDefault="005C555B" w14:paraId="5F070641" w14:textId="08FD8923">
            <w:pPr>
              <w:pStyle w:val="Normal"/>
              <w:rPr>
                <w:rFonts w:ascii="Times New Roman" w:hAnsi="Times New Roman" w:eastAsia="Times New Roman" w:cs="Times New Roman"/>
                <w:sz w:val="24"/>
                <w:szCs w:val="24"/>
                <w:lang w:val="en-US"/>
              </w:rPr>
            </w:pPr>
          </w:p>
          <w:p w:rsidRPr="004B3802" w:rsidR="00C153C1" w:rsidP="0628B524" w:rsidRDefault="005C555B" w14:paraId="4248022F" w14:textId="210170AC">
            <w:pPr>
              <w:pStyle w:val="Normal"/>
              <w:rPr>
                <w:rFonts w:ascii="Times New Roman" w:hAnsi="Times New Roman" w:eastAsia="Times New Roman" w:cs="Times New Roman"/>
                <w:sz w:val="24"/>
                <w:szCs w:val="24"/>
                <w:lang w:val="en-US"/>
              </w:rPr>
            </w:pPr>
            <w:r w:rsidRPr="0628B524" w:rsidR="0628B524">
              <w:rPr>
                <w:rFonts w:ascii="Times New Roman" w:hAnsi="Times New Roman" w:eastAsia="Times New Roman" w:cs="Calibri" w:cstheme="minorAscii"/>
                <w:sz w:val="24"/>
                <w:szCs w:val="24"/>
                <w:lang w:val="en-US"/>
              </w:rPr>
              <w:t>PANAS subscale 10-item was mentioned but likely 20-item was used.</w:t>
            </w:r>
          </w:p>
        </w:tc>
        <w:tc>
          <w:tcPr>
            <w:tcW w:w="2836" w:type="dxa"/>
            <w:tcBorders>
              <w:top w:val="single" w:color="auto" w:sz="4" w:space="0"/>
              <w:bottom w:val="single" w:color="auto" w:sz="4" w:space="0"/>
              <w:right w:val="single" w:color="auto" w:sz="4" w:space="0"/>
            </w:tcBorders>
            <w:shd w:val="clear" w:color="auto" w:fill="auto"/>
            <w:tcMar/>
          </w:tcPr>
          <w:p w:rsidRPr="00112BE2" w:rsidR="00C153C1" w:rsidP="00C153C1" w:rsidRDefault="00112BE2" w14:paraId="30EAD677" w14:textId="6FAF0894">
            <w:pPr>
              <w:jc w:val="center"/>
              <w:rPr>
                <w:rFonts w:cstheme="minorHAnsi"/>
                <w:color w:val="FF0000"/>
                <w:lang w:val="nl-NL"/>
              </w:rPr>
            </w:pPr>
            <w:r w:rsidRPr="00112BE2">
              <w:rPr>
                <w:rFonts w:cstheme="minorHAnsi"/>
                <w:color w:val="FF0000"/>
                <w:lang w:val="nl-NL"/>
              </w:rPr>
              <w:t>PY</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0628B524"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C153C1" w:rsidP="00C153C1" w:rsidRDefault="00C153C1" w14:paraId="5DF4FB01" w14:textId="1B36FA08">
            <w:pPr>
              <w:ind w:left="317"/>
              <w:rPr>
                <w:rFonts w:cstheme="minorHAnsi"/>
                <w:b/>
              </w:rPr>
            </w:pPr>
            <w:r w:rsidRPr="00165C67">
              <w:rPr>
                <w:rFonts w:cstheme="minorHAnsi"/>
                <w:b/>
                <w:lang w:val="en-US"/>
              </w:rPr>
              <w:t>5.3 ... multiple eligible analyses of the data?</w:t>
            </w:r>
          </w:p>
        </w:tc>
        <w:tc>
          <w:tcPr>
            <w:tcW w:w="7512" w:type="dxa"/>
            <w:tcBorders>
              <w:top w:val="single" w:color="auto" w:sz="4" w:space="0"/>
              <w:bottom w:val="single" w:color="auto" w:sz="4" w:space="0"/>
            </w:tcBorders>
            <w:shd w:val="clear" w:color="auto" w:fill="auto"/>
            <w:tcMar/>
          </w:tcPr>
          <w:p w:rsidRPr="005C555B" w:rsidR="00C153C1" w:rsidP="005B2F56" w:rsidRDefault="005C555B" w14:paraId="1A4E41B6" w14:textId="17E06501">
            <w:pPr>
              <w:rPr>
                <w:rFonts w:cstheme="minorHAnsi"/>
                <w:lang w:val="en-US"/>
              </w:rPr>
            </w:pPr>
            <w:r>
              <w:rPr>
                <w:rFonts w:cstheme="minorHAnsi"/>
                <w:lang w:val="en-US"/>
              </w:rPr>
              <w:t>We don’t consider it likely, but it’s impossible to rule this out entirely due to the difficulty assessing whether an appropriate measure was used and unexpected outcome data (e.g. NA 27 instead of 17).</w:t>
            </w:r>
          </w:p>
        </w:tc>
        <w:tc>
          <w:tcPr>
            <w:tcW w:w="2836" w:type="dxa"/>
            <w:tcBorders>
              <w:top w:val="single" w:color="auto" w:sz="4" w:space="0"/>
              <w:bottom w:val="single" w:color="auto" w:sz="4" w:space="0"/>
              <w:right w:val="single" w:color="auto" w:sz="4" w:space="0"/>
            </w:tcBorders>
            <w:shd w:val="clear" w:color="auto" w:fill="auto"/>
            <w:tcMar/>
          </w:tcPr>
          <w:p w:rsidR="00C153C1" w:rsidP="00C153C1" w:rsidRDefault="004D722D" w14:paraId="165678FA" w14:textId="168FA7EA">
            <w:pPr>
              <w:jc w:val="center"/>
              <w:rPr>
                <w:rFonts w:cstheme="minorHAnsi"/>
              </w:rPr>
            </w:pPr>
            <w:r w:rsidRPr="004B666A">
              <w:rPr>
                <w:rFonts w:cstheme="minorHAnsi"/>
              </w:rPr>
              <w:t>NI</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Pr="004B666A" w:rsidR="00E677C1" w:rsidTr="0628B524"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Mar/>
          </w:tcPr>
          <w:p w:rsidRPr="004B666A" w:rsidR="00E677C1" w:rsidP="003C3813" w:rsidRDefault="00E677C1" w14:paraId="54D6904B" w14:textId="77777777">
            <w:pPr>
              <w:tabs>
                <w:tab w:val="left" w:pos="960"/>
              </w:tabs>
              <w:autoSpaceDE w:val="0"/>
              <w:autoSpaceDN w:val="0"/>
              <w:adjustRightInd w:val="0"/>
              <w:rPr>
                <w:rFonts w:cstheme="minorHAnsi"/>
              </w:rPr>
            </w:pPr>
          </w:p>
        </w:tc>
        <w:tc>
          <w:tcPr>
            <w:tcW w:w="2836" w:type="dxa"/>
            <w:tcBorders>
              <w:top w:val="single" w:color="auto" w:sz="4" w:space="0"/>
              <w:bottom w:val="single" w:color="auto" w:sz="4" w:space="0"/>
              <w:right w:val="single" w:color="auto" w:sz="4" w:space="0"/>
            </w:tcBorders>
            <w:shd w:val="clear" w:color="auto" w:fill="auto"/>
            <w:tcMar/>
          </w:tcPr>
          <w:p w:rsidRPr="00112BE2" w:rsidR="00E677C1" w:rsidP="003C3813" w:rsidRDefault="00112BE2" w14:paraId="466A6630" w14:textId="46139FF9">
            <w:pPr>
              <w:tabs>
                <w:tab w:val="left" w:pos="960"/>
              </w:tabs>
              <w:autoSpaceDE w:val="0"/>
              <w:autoSpaceDN w:val="0"/>
              <w:adjustRightInd w:val="0"/>
              <w:jc w:val="center"/>
              <w:rPr>
                <w:rFonts w:cstheme="minorHAnsi"/>
                <w:lang w:val="nl-NL"/>
              </w:rPr>
            </w:pPr>
            <w:r>
              <w:rPr>
                <w:rFonts w:cstheme="minorHAnsi"/>
                <w:lang w:val="nl-NL"/>
              </w:rPr>
              <w:t>High</w:t>
            </w:r>
          </w:p>
        </w:tc>
      </w:tr>
      <w:tr w:rsidRPr="004B666A" w:rsidR="0079530F" w:rsidTr="0628B524"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Mar/>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Mar/>
          </w:tcPr>
          <w:p w:rsidRPr="00112BE2" w:rsidR="0079530F" w:rsidP="0079530F" w:rsidRDefault="00112BE2" w14:paraId="1AE5191B" w14:textId="13235E84">
            <w:pPr>
              <w:jc w:val="center"/>
              <w:rPr>
                <w:rFonts w:cstheme="minorHAnsi"/>
                <w:lang w:val="nl-NL"/>
              </w:rPr>
            </w:pPr>
            <w:r>
              <w:rPr>
                <w:rFonts w:cstheme="minorHAnsi"/>
                <w:lang w:val="nl-NL"/>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000F57E8"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Pr>
          <w:p w:rsidRPr="00531A02" w:rsidR="00076212" w:rsidP="00C62D50" w:rsidRDefault="00076212" w14:paraId="21D8F5B6" w14:textId="28CFD6ED">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Pr>
          <w:p w:rsidRPr="004B666A" w:rsidR="00076212" w:rsidP="00C62D50" w:rsidRDefault="005B2F56" w14:paraId="1B571186" w14:textId="57FEA311">
            <w:pPr>
              <w:tabs>
                <w:tab w:val="left" w:pos="960"/>
              </w:tabs>
              <w:autoSpaceDE w:val="0"/>
              <w:autoSpaceDN w:val="0"/>
              <w:adjustRightInd w:val="0"/>
              <w:jc w:val="center"/>
              <w:rPr>
                <w:rFonts w:cstheme="minorHAnsi"/>
              </w:rPr>
            </w:pPr>
            <w:r>
              <w:rPr>
                <w:rFonts w:cstheme="minorHAnsi"/>
              </w:rPr>
              <w:t>High</w:t>
            </w:r>
          </w:p>
        </w:tc>
      </w:tr>
      <w:tr w:rsidRPr="004B666A" w:rsidR="0079530F" w:rsidTr="00B666A7"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Pr>
          <w:p w:rsidRPr="004B666A" w:rsidR="0079530F" w:rsidP="0079530F" w:rsidRDefault="0079530F" w14:paraId="6F26BEB0" w14:textId="77777777">
            <w:pPr>
              <w:rPr>
                <w:rFonts w:cstheme="minorHAnsi"/>
              </w:rPr>
            </w:pPr>
          </w:p>
        </w:tc>
        <w:tc>
          <w:tcPr>
            <w:tcW w:w="2552"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3C6E5B93" w14:textId="5EC29EBD">
            <w:pPr>
              <w:jc w:val="center"/>
              <w:rPr>
                <w:rFonts w:cstheme="minorHAnsi"/>
              </w:rPr>
            </w:pPr>
            <w:r>
              <w:rPr>
                <w:rFonts w:cstheme="minorHAnsi"/>
              </w:rPr>
              <w:t>Unpredictable</w:t>
            </w: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13">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3C80" w:rsidP="006B1069" w:rsidRDefault="00313C80" w14:paraId="6D3443D0" w14:textId="77777777">
      <w:r>
        <w:separator/>
      </w:r>
    </w:p>
  </w:endnote>
  <w:endnote w:type="continuationSeparator" w:id="0">
    <w:p w:rsidR="00313C80" w:rsidP="006B1069" w:rsidRDefault="00313C80" w14:paraId="57963C4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3C80" w:rsidP="006B1069" w:rsidRDefault="00313C80" w14:paraId="2E603D55" w14:textId="77777777">
      <w:r>
        <w:separator/>
      </w:r>
    </w:p>
  </w:footnote>
  <w:footnote w:type="continuationSeparator" w:id="0">
    <w:p w:rsidR="00313C80" w:rsidP="006B1069" w:rsidRDefault="00313C80" w14:paraId="34883E9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4946"/>
    <w:rsid w:val="000457EE"/>
    <w:rsid w:val="000722D3"/>
    <w:rsid w:val="00076212"/>
    <w:rsid w:val="000A490D"/>
    <w:rsid w:val="000E24E3"/>
    <w:rsid w:val="000F57E8"/>
    <w:rsid w:val="00112BE2"/>
    <w:rsid w:val="001737C1"/>
    <w:rsid w:val="00180D23"/>
    <w:rsid w:val="00182E51"/>
    <w:rsid w:val="001939E3"/>
    <w:rsid w:val="001B385C"/>
    <w:rsid w:val="001D18A8"/>
    <w:rsid w:val="00221FD2"/>
    <w:rsid w:val="0023251F"/>
    <w:rsid w:val="00287E3D"/>
    <w:rsid w:val="002D6B1F"/>
    <w:rsid w:val="002E4B2B"/>
    <w:rsid w:val="002E6CB2"/>
    <w:rsid w:val="002F78AD"/>
    <w:rsid w:val="00313C80"/>
    <w:rsid w:val="003373FE"/>
    <w:rsid w:val="003414A1"/>
    <w:rsid w:val="00341861"/>
    <w:rsid w:val="00377210"/>
    <w:rsid w:val="00391E05"/>
    <w:rsid w:val="003B36AF"/>
    <w:rsid w:val="003B36FC"/>
    <w:rsid w:val="003C2F57"/>
    <w:rsid w:val="003C3813"/>
    <w:rsid w:val="003E0B56"/>
    <w:rsid w:val="00403E6A"/>
    <w:rsid w:val="00405A6D"/>
    <w:rsid w:val="00405BF1"/>
    <w:rsid w:val="00420E6C"/>
    <w:rsid w:val="00423884"/>
    <w:rsid w:val="00446AB7"/>
    <w:rsid w:val="00482C9D"/>
    <w:rsid w:val="004857BB"/>
    <w:rsid w:val="00495C3A"/>
    <w:rsid w:val="004B24A7"/>
    <w:rsid w:val="004B3802"/>
    <w:rsid w:val="004B666A"/>
    <w:rsid w:val="004D722D"/>
    <w:rsid w:val="00507ECD"/>
    <w:rsid w:val="005127E9"/>
    <w:rsid w:val="00517FCF"/>
    <w:rsid w:val="00531A02"/>
    <w:rsid w:val="00541655"/>
    <w:rsid w:val="00566E24"/>
    <w:rsid w:val="00571133"/>
    <w:rsid w:val="00581ED2"/>
    <w:rsid w:val="00584878"/>
    <w:rsid w:val="0058646D"/>
    <w:rsid w:val="005909E4"/>
    <w:rsid w:val="005B2F56"/>
    <w:rsid w:val="005C1F01"/>
    <w:rsid w:val="005C555B"/>
    <w:rsid w:val="00600AE8"/>
    <w:rsid w:val="00601778"/>
    <w:rsid w:val="00623C1A"/>
    <w:rsid w:val="00626CD4"/>
    <w:rsid w:val="006725B8"/>
    <w:rsid w:val="00682AB9"/>
    <w:rsid w:val="006869FF"/>
    <w:rsid w:val="006B1069"/>
    <w:rsid w:val="006B499C"/>
    <w:rsid w:val="006E3547"/>
    <w:rsid w:val="00717198"/>
    <w:rsid w:val="00730D7D"/>
    <w:rsid w:val="00752BD4"/>
    <w:rsid w:val="007535B6"/>
    <w:rsid w:val="007668EA"/>
    <w:rsid w:val="00792157"/>
    <w:rsid w:val="0079530F"/>
    <w:rsid w:val="007A6F9B"/>
    <w:rsid w:val="007B07EC"/>
    <w:rsid w:val="007B54A7"/>
    <w:rsid w:val="007C25C0"/>
    <w:rsid w:val="007E02E4"/>
    <w:rsid w:val="0083521D"/>
    <w:rsid w:val="008509C5"/>
    <w:rsid w:val="00851D4D"/>
    <w:rsid w:val="00871668"/>
    <w:rsid w:val="00895457"/>
    <w:rsid w:val="008C7515"/>
    <w:rsid w:val="008D3BDE"/>
    <w:rsid w:val="008D48B8"/>
    <w:rsid w:val="008F3A05"/>
    <w:rsid w:val="00932633"/>
    <w:rsid w:val="0093299E"/>
    <w:rsid w:val="00966081"/>
    <w:rsid w:val="009B619D"/>
    <w:rsid w:val="009B71E3"/>
    <w:rsid w:val="009C607D"/>
    <w:rsid w:val="009D036C"/>
    <w:rsid w:val="00A027FC"/>
    <w:rsid w:val="00A12AF3"/>
    <w:rsid w:val="00A2022F"/>
    <w:rsid w:val="00A47E63"/>
    <w:rsid w:val="00A563C9"/>
    <w:rsid w:val="00A960BF"/>
    <w:rsid w:val="00AA043F"/>
    <w:rsid w:val="00AE432F"/>
    <w:rsid w:val="00B02401"/>
    <w:rsid w:val="00B03CF5"/>
    <w:rsid w:val="00B07A53"/>
    <w:rsid w:val="00B2304A"/>
    <w:rsid w:val="00B34EF8"/>
    <w:rsid w:val="00B53059"/>
    <w:rsid w:val="00B6328C"/>
    <w:rsid w:val="00B64463"/>
    <w:rsid w:val="00B666A7"/>
    <w:rsid w:val="00B81580"/>
    <w:rsid w:val="00B81979"/>
    <w:rsid w:val="00BA3A9A"/>
    <w:rsid w:val="00BA7E56"/>
    <w:rsid w:val="00BB74E2"/>
    <w:rsid w:val="00BE49FF"/>
    <w:rsid w:val="00C006C7"/>
    <w:rsid w:val="00C14F66"/>
    <w:rsid w:val="00C153C1"/>
    <w:rsid w:val="00C22FCC"/>
    <w:rsid w:val="00CA084F"/>
    <w:rsid w:val="00CA39F4"/>
    <w:rsid w:val="00CF5BDC"/>
    <w:rsid w:val="00D27846"/>
    <w:rsid w:val="00D618A2"/>
    <w:rsid w:val="00D860E5"/>
    <w:rsid w:val="00D87AEA"/>
    <w:rsid w:val="00D92360"/>
    <w:rsid w:val="00DB7CA0"/>
    <w:rsid w:val="00DE283D"/>
    <w:rsid w:val="00DF4043"/>
    <w:rsid w:val="00E233B4"/>
    <w:rsid w:val="00E23A46"/>
    <w:rsid w:val="00E3387A"/>
    <w:rsid w:val="00E67260"/>
    <w:rsid w:val="00E677C1"/>
    <w:rsid w:val="00E90BF4"/>
    <w:rsid w:val="00EF2F11"/>
    <w:rsid w:val="00F12E16"/>
    <w:rsid w:val="00F13E22"/>
    <w:rsid w:val="00F3090E"/>
    <w:rsid w:val="00F41673"/>
    <w:rsid w:val="00F41C40"/>
    <w:rsid w:val="00FB07DC"/>
    <w:rsid w:val="00FB4FF2"/>
    <w:rsid w:val="00FC67F1"/>
    <w:rsid w:val="00FC6EFE"/>
    <w:rsid w:val="00FD50F4"/>
    <w:rsid w:val="00FD7861"/>
    <w:rsid w:val="00FE0B54"/>
    <w:rsid w:val="0628B524"/>
    <w:rsid w:val="6EAA785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E3547"/>
    <w:pPr>
      <w:spacing w:after="0" w:line="240" w:lineRule="auto"/>
    </w:pPr>
    <w:rPr>
      <w:rFonts w:ascii="Times New Roman" w:hAnsi="Times New Roman" w:eastAsia="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val="en-GB"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val="en-GB" w:eastAsia="en-US"/>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val="en-GB"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val="en-GB"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val="en-GB"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val="en-GB"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val="en-GB"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val="en-GB"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39682558">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43409483">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20751198">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569267751">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88653002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57626281">
      <w:bodyDiv w:val="1"/>
      <w:marLeft w:val="0"/>
      <w:marRight w:val="0"/>
      <w:marTop w:val="0"/>
      <w:marBottom w:val="0"/>
      <w:divBdr>
        <w:top w:val="none" w:sz="0" w:space="0" w:color="auto"/>
        <w:left w:val="none" w:sz="0" w:space="0" w:color="auto"/>
        <w:bottom w:val="none" w:sz="0" w:space="0" w:color="auto"/>
        <w:right w:val="none" w:sz="0" w:space="0" w:color="auto"/>
      </w:divBdr>
    </w:div>
    <w:div w:id="1061946968">
      <w:bodyDiv w:val="1"/>
      <w:marLeft w:val="0"/>
      <w:marRight w:val="0"/>
      <w:marTop w:val="0"/>
      <w:marBottom w:val="0"/>
      <w:divBdr>
        <w:top w:val="none" w:sz="0" w:space="0" w:color="auto"/>
        <w:left w:val="none" w:sz="0" w:space="0" w:color="auto"/>
        <w:bottom w:val="none" w:sz="0" w:space="0" w:color="auto"/>
        <w:right w:val="none" w:sz="0" w:space="0" w:color="auto"/>
      </w:divBdr>
    </w:div>
    <w:div w:id="1079181671">
      <w:bodyDiv w:val="1"/>
      <w:marLeft w:val="0"/>
      <w:marRight w:val="0"/>
      <w:marTop w:val="0"/>
      <w:marBottom w:val="0"/>
      <w:divBdr>
        <w:top w:val="none" w:sz="0" w:space="0" w:color="auto"/>
        <w:left w:val="none" w:sz="0" w:space="0" w:color="auto"/>
        <w:bottom w:val="none" w:sz="0" w:space="0" w:color="auto"/>
        <w:right w:val="none" w:sz="0" w:space="0" w:color="auto"/>
      </w:divBdr>
    </w:div>
    <w:div w:id="1093746165">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2100073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03513342">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357191670">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05401652">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28652204">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48266586">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hyperlink" Target="http://creativecommons.org/licenses/by-nc-nd/4.0/" TargetMode="Externa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glossaryDocument" Target="glossary/document.xml" Id="rId16" /><Relationship Type="http://schemas.openxmlformats.org/officeDocument/2006/relationships/numbering" Target="numbering.xml" Id="rId1" /><Relationship Type="http://schemas.openxmlformats.org/officeDocument/2006/relationships/endnotes" Target="endnotes.xml" Id="rId6" /><Relationship Type="http://schemas.microsoft.com/office/2016/09/relationships/commentsIds" Target="commentsIds.xml" Id="rId11" /><Relationship Type="http://schemas.openxmlformats.org/officeDocument/2006/relationships/footnotes" Target="footnotes.xml" Id="rId5" /><Relationship Type="http://schemas.microsoft.com/office/2011/relationships/people" Target="people.xml" Id="rId15" /><Relationship Type="http://schemas.microsoft.com/office/2011/relationships/commentsExtended" Target="commentsExtended.xml" Id="rId10" /><Relationship Type="http://schemas.openxmlformats.org/officeDocument/2006/relationships/webSettings" Target="webSettings.xml" Id="rId4" /><Relationship Type="http://schemas.openxmlformats.org/officeDocument/2006/relationships/fontTable" Target="fontTable.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1B3A14"/>
    <w:rsid w:val="003E0B56"/>
    <w:rsid w:val="00767319"/>
    <w:rsid w:val="007B54A7"/>
    <w:rsid w:val="007F5BE1"/>
    <w:rsid w:val="0088737F"/>
    <w:rsid w:val="009544D7"/>
    <w:rsid w:val="00A07571"/>
    <w:rsid w:val="00AA6ACF"/>
    <w:rsid w:val="00B36B55"/>
    <w:rsid w:val="00BA5F3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14</revision>
  <dcterms:created xsi:type="dcterms:W3CDTF">2022-07-22T13:38:00.0000000Z</dcterms:created>
  <dcterms:modified xsi:type="dcterms:W3CDTF">2022-08-04T17:03:30.7537243Z</dcterms:modified>
</coreProperties>
</file>