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D96" w:rsidRPr="00323291" w:rsidRDefault="00323291">
      <w:pPr>
        <w:rPr>
          <w:b/>
        </w:rPr>
      </w:pPr>
      <w:r w:rsidRPr="00323291">
        <w:rPr>
          <w:b/>
        </w:rPr>
        <w:t>RAISE Additional information</w:t>
      </w:r>
      <w:r>
        <w:rPr>
          <w:b/>
        </w:rPr>
        <w:t xml:space="preserve"> on sampled population</w:t>
      </w:r>
    </w:p>
    <w:p w:rsidR="00280788" w:rsidRDefault="00280788" w:rsidP="00280788">
      <w:r w:rsidRPr="003060C0">
        <w:rPr>
          <w:lang w:eastAsia="en-GB"/>
        </w:rPr>
        <w:t>The</w:t>
      </w:r>
      <w:r>
        <w:rPr>
          <w:lang w:eastAsia="en-GB"/>
        </w:rPr>
        <w:t xml:space="preserve"> RAISE </w:t>
      </w:r>
      <w:r w:rsidRPr="003060C0">
        <w:rPr>
          <w:lang w:eastAsia="en-GB"/>
        </w:rPr>
        <w:t xml:space="preserve">research project is a </w:t>
      </w:r>
      <w:proofErr w:type="gramStart"/>
      <w:r w:rsidRPr="003060C0">
        <w:rPr>
          <w:lang w:eastAsia="en-GB"/>
        </w:rPr>
        <w:t>mixed-methods</w:t>
      </w:r>
      <w:proofErr w:type="gramEnd"/>
      <w:r w:rsidRPr="003060C0">
        <w:rPr>
          <w:lang w:eastAsia="en-GB"/>
        </w:rPr>
        <w:t xml:space="preserve">, multi-site </w:t>
      </w:r>
      <w:r w:rsidRPr="003060C0">
        <w:t>study of accountability relations in elementary schooling in India. It examines how norms for educational</w:t>
      </w:r>
      <w:r w:rsidRPr="003060C0">
        <w:rPr>
          <w:shd w:val="clear" w:color="auto" w:fill="F6F6F6"/>
        </w:rPr>
        <w:t xml:space="preserve"> </w:t>
      </w:r>
      <w:r w:rsidRPr="003060C0">
        <w:t>provision as set out in India’s RTE Act are reshaped as they interact with</w:t>
      </w:r>
      <w:r w:rsidRPr="003060C0">
        <w:rPr>
          <w:shd w:val="clear" w:color="auto" w:fill="F6F6F6"/>
        </w:rPr>
        <w:t xml:space="preserve"> </w:t>
      </w:r>
      <w:r w:rsidRPr="003060C0">
        <w:t>competing ideas and conditions across and within four scales of the education system: families, communities</w:t>
      </w:r>
      <w:r>
        <w:t>,</w:t>
      </w:r>
      <w:r w:rsidRPr="003060C0">
        <w:t xml:space="preserve"> schools, and the educational bureaucracy. Across these four scales, we studied accountability relations that concerned educational access, participation and monitoring. </w:t>
      </w:r>
    </w:p>
    <w:p w:rsidR="00280788" w:rsidRPr="003060C0" w:rsidRDefault="00280788" w:rsidP="00280788">
      <w:r>
        <w:rPr>
          <w:rFonts w:cs="Times New Roman"/>
        </w:rPr>
        <w:t xml:space="preserve">This study was carried out in the States of Bihar and Rajasthan. </w:t>
      </w:r>
      <w:r w:rsidR="00001553">
        <w:rPr>
          <w:rFonts w:cs="Times New Roman"/>
        </w:rPr>
        <w:t>According to the 2011 census, a</w:t>
      </w:r>
      <w:r w:rsidRPr="005E3C7C">
        <w:rPr>
          <w:rFonts w:cs="Times New Roman"/>
          <w:color w:val="1B2228"/>
          <w:shd w:val="clear" w:color="auto" w:fill="FFFFFF"/>
        </w:rPr>
        <w:t xml:space="preserve">gainst </w:t>
      </w:r>
      <w:r>
        <w:rPr>
          <w:rFonts w:cs="Times New Roman"/>
          <w:color w:val="1B2228"/>
          <w:shd w:val="clear" w:color="auto" w:fill="FFFFFF"/>
        </w:rPr>
        <w:t xml:space="preserve">India’s </w:t>
      </w:r>
      <w:r w:rsidRPr="005E3C7C">
        <w:rPr>
          <w:rFonts w:cs="Times New Roman"/>
          <w:color w:val="1B2228"/>
          <w:shd w:val="clear" w:color="auto" w:fill="FFFFFF"/>
        </w:rPr>
        <w:t xml:space="preserve">average adult literacy rate of 74.04 per cent, </w:t>
      </w:r>
      <w:r w:rsidRPr="005E3C7C">
        <w:rPr>
          <w:rFonts w:cs="Times New Roman"/>
        </w:rPr>
        <w:t>Bihar averages 63.8 per cent (male 73.4 per cent, female 53.3 per cent); Rajasthan</w:t>
      </w:r>
      <w:r>
        <w:rPr>
          <w:rFonts w:cs="Times New Roman"/>
        </w:rPr>
        <w:t xml:space="preserve">’s </w:t>
      </w:r>
      <w:r w:rsidRPr="005E3C7C">
        <w:rPr>
          <w:rFonts w:cs="Times New Roman"/>
        </w:rPr>
        <w:t>average rate of 67.1 per cent is slightly higher</w:t>
      </w:r>
      <w:r>
        <w:rPr>
          <w:rFonts w:cs="Times New Roman"/>
        </w:rPr>
        <w:t xml:space="preserve">, albeit still well below the national average, </w:t>
      </w:r>
      <w:r w:rsidRPr="005E3C7C">
        <w:rPr>
          <w:rFonts w:cs="Times New Roman"/>
        </w:rPr>
        <w:t>but the gender discrepancy is greater (male 80.5 per cent, female 52.7</w:t>
      </w:r>
      <w:r>
        <w:rPr>
          <w:rFonts w:cs="Times New Roman"/>
        </w:rPr>
        <w:t xml:space="preserve"> per cent</w:t>
      </w:r>
      <w:r w:rsidRPr="005E3C7C">
        <w:rPr>
          <w:rFonts w:cs="Times New Roman"/>
        </w:rPr>
        <w:t>)</w:t>
      </w:r>
      <w:r w:rsidR="00001553">
        <w:rPr>
          <w:rFonts w:cs="Times New Roman"/>
        </w:rPr>
        <w:t>.</w:t>
      </w:r>
      <w:r w:rsidRPr="005E3C7C">
        <w:rPr>
          <w:rFonts w:cs="Times New Roman"/>
        </w:rPr>
        <w:t xml:space="preserve"> </w:t>
      </w:r>
      <w:r w:rsidRPr="005E3C7C">
        <w:rPr>
          <w:rFonts w:cs="Times New Roman"/>
          <w:shd w:val="clear" w:color="auto" w:fill="FFFFFF"/>
        </w:rPr>
        <w:t xml:space="preserve">In </w:t>
      </w:r>
      <w:r>
        <w:rPr>
          <w:rFonts w:cs="Times New Roman"/>
          <w:shd w:val="clear" w:color="auto" w:fill="FFFFFF"/>
        </w:rPr>
        <w:t xml:space="preserve">both States, approximately </w:t>
      </w:r>
      <w:r w:rsidRPr="005E3C7C">
        <w:rPr>
          <w:rFonts w:cs="Times New Roman"/>
          <w:shd w:val="clear" w:color="auto" w:fill="FFFFFF"/>
        </w:rPr>
        <w:t>5 per cent of children aged 6</w:t>
      </w:r>
      <w:r>
        <w:rPr>
          <w:rFonts w:cs="Times New Roman"/>
          <w:shd w:val="clear" w:color="auto" w:fill="FFFFFF"/>
        </w:rPr>
        <w:t>-</w:t>
      </w:r>
      <w:r w:rsidRPr="005E3C7C">
        <w:rPr>
          <w:rFonts w:cs="Times New Roman"/>
          <w:shd w:val="clear" w:color="auto" w:fill="FFFFFF"/>
        </w:rPr>
        <w:t xml:space="preserve">13 </w:t>
      </w:r>
      <w:r>
        <w:rPr>
          <w:rFonts w:cs="Times New Roman"/>
        </w:rPr>
        <w:t xml:space="preserve">are </w:t>
      </w:r>
      <w:r w:rsidRPr="005E3C7C">
        <w:rPr>
          <w:rFonts w:cs="Times New Roman"/>
        </w:rPr>
        <w:t>out of school</w:t>
      </w:r>
      <w:r>
        <w:rPr>
          <w:rFonts w:cs="Times New Roman"/>
          <w:shd w:val="clear" w:color="auto" w:fill="FFFFFF"/>
        </w:rPr>
        <w:t xml:space="preserve">. </w:t>
      </w:r>
      <w:r w:rsidR="00001553">
        <w:rPr>
          <w:rFonts w:cs="Times New Roman"/>
          <w:shd w:val="clear" w:color="auto" w:fill="FFFFFF"/>
        </w:rPr>
        <w:t>A</w:t>
      </w:r>
      <w:r w:rsidR="00001553">
        <w:rPr>
          <w:rFonts w:cs="Times New Roman"/>
        </w:rPr>
        <w:t xml:space="preserve">ccording to Government of India sources in </w:t>
      </w:r>
      <w:r w:rsidR="00001553" w:rsidRPr="005E3C7C">
        <w:rPr>
          <w:rFonts w:cs="Times New Roman"/>
        </w:rPr>
        <w:t>2018</w:t>
      </w:r>
      <w:r w:rsidR="00001553">
        <w:rPr>
          <w:rFonts w:cs="Times New Roman"/>
        </w:rPr>
        <w:t>, t</w:t>
      </w:r>
      <w:r>
        <w:rPr>
          <w:rFonts w:cs="Times New Roman"/>
          <w:shd w:val="clear" w:color="auto" w:fill="FFFFFF"/>
        </w:rPr>
        <w:t xml:space="preserve">he </w:t>
      </w:r>
      <w:r w:rsidRPr="005E3C7C">
        <w:rPr>
          <w:rFonts w:cs="Times New Roman"/>
        </w:rPr>
        <w:t xml:space="preserve">transition rate from the primary stage (Grades 1-5) to the upper primary stage (Grades 6-8) </w:t>
      </w:r>
      <w:r>
        <w:rPr>
          <w:rFonts w:cs="Times New Roman"/>
        </w:rPr>
        <w:t xml:space="preserve">in </w:t>
      </w:r>
      <w:r>
        <w:rPr>
          <w:rFonts w:cs="Times New Roman"/>
          <w:shd w:val="clear" w:color="auto" w:fill="FFFFFF"/>
        </w:rPr>
        <w:t xml:space="preserve">Bihar is </w:t>
      </w:r>
      <w:r w:rsidRPr="005E3C7C">
        <w:rPr>
          <w:rFonts w:cs="Times New Roman"/>
        </w:rPr>
        <w:t>76.1 per cent</w:t>
      </w:r>
      <w:r>
        <w:rPr>
          <w:rFonts w:cs="Times New Roman"/>
        </w:rPr>
        <w:t xml:space="preserve"> — </w:t>
      </w:r>
      <w:r w:rsidRPr="005E3C7C">
        <w:rPr>
          <w:rFonts w:cs="Times New Roman"/>
          <w:shd w:val="clear" w:color="auto" w:fill="FFFFFF"/>
        </w:rPr>
        <w:t>India’s lowest</w:t>
      </w:r>
      <w:r>
        <w:rPr>
          <w:rFonts w:cs="Times New Roman"/>
        </w:rPr>
        <w:t xml:space="preserve">, compared with </w:t>
      </w:r>
      <w:r w:rsidRPr="005E3C7C">
        <w:rPr>
          <w:rFonts w:cs="Times New Roman"/>
        </w:rPr>
        <w:t xml:space="preserve">91.6 per cent </w:t>
      </w:r>
      <w:r>
        <w:rPr>
          <w:rFonts w:cs="Times New Roman"/>
        </w:rPr>
        <w:t xml:space="preserve">in Rajasthan. </w:t>
      </w:r>
      <w:r>
        <w:t>I</w:t>
      </w:r>
      <w:r w:rsidRPr="003060C0">
        <w:t>n both States</w:t>
      </w:r>
      <w:r>
        <w:t xml:space="preserve">, while low learning levels </w:t>
      </w:r>
      <w:r w:rsidRPr="003060C0">
        <w:t>have been reported annually for over a decade in the Annual Status of Education Report (ASER)</w:t>
      </w:r>
      <w:r>
        <w:t>, t</w:t>
      </w:r>
      <w:r w:rsidRPr="003060C0">
        <w:t>he 2018</w:t>
      </w:r>
      <w:r w:rsidR="00001553">
        <w:t>-19</w:t>
      </w:r>
      <w:r w:rsidRPr="003060C0">
        <w:t xml:space="preserve"> </w:t>
      </w:r>
      <w:r>
        <w:t>(pre-</w:t>
      </w:r>
      <w:proofErr w:type="spellStart"/>
      <w:r>
        <w:t>Covid</w:t>
      </w:r>
      <w:proofErr w:type="spellEnd"/>
      <w:r>
        <w:t xml:space="preserve">) </w:t>
      </w:r>
      <w:r w:rsidRPr="003060C0">
        <w:t>ASER</w:t>
      </w:r>
      <w:r>
        <w:t xml:space="preserve"> </w:t>
      </w:r>
      <w:r w:rsidRPr="003060C0">
        <w:t xml:space="preserve">reported </w:t>
      </w:r>
      <w:proofErr w:type="gramStart"/>
      <w:r w:rsidRPr="003060C0">
        <w:t>a deterioration</w:t>
      </w:r>
      <w:proofErr w:type="gramEnd"/>
      <w:r w:rsidRPr="003060C0">
        <w:t xml:space="preserve"> in learning outcomes </w:t>
      </w:r>
      <w:r>
        <w:t xml:space="preserve">in the </w:t>
      </w:r>
      <w:r w:rsidRPr="003060C0">
        <w:t xml:space="preserve">primary </w:t>
      </w:r>
      <w:r>
        <w:t>Grades</w:t>
      </w:r>
      <w:r w:rsidRPr="003060C0">
        <w:t>. Fewer than 40 per</w:t>
      </w:r>
      <w:r>
        <w:t xml:space="preserve"> </w:t>
      </w:r>
      <w:r w:rsidRPr="003060C0">
        <w:t xml:space="preserve">cent of Grade 5 students in government schools </w:t>
      </w:r>
      <w:r>
        <w:t xml:space="preserve">across </w:t>
      </w:r>
      <w:r w:rsidRPr="003060C0">
        <w:t xml:space="preserve">both </w:t>
      </w:r>
      <w:r>
        <w:t xml:space="preserve">States </w:t>
      </w:r>
      <w:r w:rsidRPr="003060C0">
        <w:t>could read a Grade 2 level text</w:t>
      </w:r>
      <w:r>
        <w:t>, while over</w:t>
      </w:r>
      <w:r w:rsidRPr="003060C0">
        <w:t xml:space="preserve"> three quarters of all Grade 5</w:t>
      </w:r>
      <w:r w:rsidRPr="00366F23">
        <w:t xml:space="preserve"> </w:t>
      </w:r>
      <w:r w:rsidRPr="003060C0">
        <w:t>students</w:t>
      </w:r>
      <w:r>
        <w:t xml:space="preserve"> </w:t>
      </w:r>
      <w:r w:rsidRPr="003060C0">
        <w:t>could not do basic (Grade 2 level) arithmetic operations.</w:t>
      </w:r>
    </w:p>
    <w:p w:rsidR="00280788" w:rsidRPr="003060C0" w:rsidRDefault="00280788" w:rsidP="00280788">
      <w:pPr>
        <w:rPr>
          <w:color w:val="000000"/>
        </w:rPr>
      </w:pPr>
      <w:r w:rsidRPr="003060C0">
        <w:t xml:space="preserve">Both Bihar and Rajasthan have </w:t>
      </w:r>
      <w:r>
        <w:t xml:space="preserve">a </w:t>
      </w:r>
      <w:r w:rsidRPr="003060C0">
        <w:t xml:space="preserve">high proportion of </w:t>
      </w:r>
      <w:r>
        <w:t xml:space="preserve">groups recognised by the state </w:t>
      </w:r>
      <w:r w:rsidRPr="003060C0">
        <w:t xml:space="preserve">as </w:t>
      </w:r>
      <w:r>
        <w:t xml:space="preserve">India’s </w:t>
      </w:r>
      <w:r w:rsidRPr="003060C0">
        <w:t xml:space="preserve">most socially and educationally disadvantaged populations. In </w:t>
      </w:r>
      <w:r w:rsidRPr="003060C0">
        <w:rPr>
          <w:shd w:val="clear" w:color="auto" w:fill="FFFFFF"/>
        </w:rPr>
        <w:t>Bihar, 15.72 per</w:t>
      </w:r>
      <w:r>
        <w:rPr>
          <w:shd w:val="clear" w:color="auto" w:fill="FFFFFF"/>
        </w:rPr>
        <w:t xml:space="preserve"> </w:t>
      </w:r>
      <w:r w:rsidRPr="003060C0">
        <w:rPr>
          <w:shd w:val="clear" w:color="auto" w:fill="FFFFFF"/>
        </w:rPr>
        <w:t xml:space="preserve">cent of the population </w:t>
      </w:r>
      <w:r>
        <w:rPr>
          <w:shd w:val="clear" w:color="auto" w:fill="FFFFFF"/>
        </w:rPr>
        <w:t xml:space="preserve">is classified </w:t>
      </w:r>
      <w:r w:rsidRPr="003060C0">
        <w:rPr>
          <w:shd w:val="clear" w:color="auto" w:fill="FFFFFF"/>
        </w:rPr>
        <w:t xml:space="preserve">as </w:t>
      </w:r>
      <w:r>
        <w:rPr>
          <w:shd w:val="clear" w:color="auto" w:fill="FFFFFF"/>
        </w:rPr>
        <w:t>Scheduled Caste (</w:t>
      </w:r>
      <w:r w:rsidRPr="003060C0">
        <w:rPr>
          <w:rFonts w:eastAsia="Times New Roman"/>
        </w:rPr>
        <w:t>SC</w:t>
      </w:r>
      <w:r>
        <w:rPr>
          <w:rFonts w:eastAsia="Times New Roman"/>
        </w:rPr>
        <w:t xml:space="preserve">), </w:t>
      </w:r>
      <w:r w:rsidRPr="003060C0">
        <w:rPr>
          <w:rFonts w:eastAsia="Times New Roman"/>
        </w:rPr>
        <w:t>1.3 per</w:t>
      </w:r>
      <w:r>
        <w:rPr>
          <w:rFonts w:eastAsia="Times New Roman"/>
        </w:rPr>
        <w:t xml:space="preserve"> </w:t>
      </w:r>
      <w:r w:rsidRPr="003060C0">
        <w:rPr>
          <w:rFonts w:eastAsia="Times New Roman"/>
        </w:rPr>
        <w:t xml:space="preserve">cent as </w:t>
      </w:r>
      <w:r>
        <w:rPr>
          <w:shd w:val="clear" w:color="auto" w:fill="FFFFFF"/>
        </w:rPr>
        <w:t>Scheduled Tribe (</w:t>
      </w:r>
      <w:r w:rsidRPr="003060C0">
        <w:rPr>
          <w:rFonts w:eastAsia="Times New Roman"/>
        </w:rPr>
        <w:t>ST</w:t>
      </w:r>
      <w:r>
        <w:rPr>
          <w:rFonts w:eastAsia="Times New Roman"/>
        </w:rPr>
        <w:t xml:space="preserve">), </w:t>
      </w:r>
      <w:r w:rsidRPr="007B327B">
        <w:rPr>
          <w:rFonts w:eastAsia="Times New Roman" w:cs="Times New Roman"/>
        </w:rPr>
        <w:t xml:space="preserve">and </w:t>
      </w:r>
      <w:r w:rsidRPr="007B327B">
        <w:rPr>
          <w:rFonts w:cs="Times New Roman"/>
          <w:color w:val="202124"/>
          <w:shd w:val="clear" w:color="auto" w:fill="FFFFFF"/>
        </w:rPr>
        <w:t>17.6 percent Muslim</w:t>
      </w:r>
      <w:r>
        <w:rPr>
          <w:rFonts w:eastAsia="Times New Roman" w:cs="Times New Roman"/>
        </w:rPr>
        <w:t xml:space="preserve">; </w:t>
      </w:r>
      <w:r>
        <w:rPr>
          <w:rFonts w:eastAsia="Times New Roman"/>
        </w:rPr>
        <w:t>i</w:t>
      </w:r>
      <w:r w:rsidRPr="003060C0">
        <w:t>n Rajasthan, 17.8 per</w:t>
      </w:r>
      <w:r>
        <w:t xml:space="preserve"> </w:t>
      </w:r>
      <w:r w:rsidRPr="003060C0">
        <w:t xml:space="preserve">cent </w:t>
      </w:r>
      <w:r>
        <w:t xml:space="preserve">of the population is </w:t>
      </w:r>
      <w:r w:rsidRPr="003060C0">
        <w:t>SC</w:t>
      </w:r>
      <w:r>
        <w:t xml:space="preserve">, </w:t>
      </w:r>
      <w:r w:rsidRPr="003060C0">
        <w:t>13.5 per</w:t>
      </w:r>
      <w:r>
        <w:t xml:space="preserve"> </w:t>
      </w:r>
      <w:r w:rsidRPr="003060C0">
        <w:t>cent ST</w:t>
      </w:r>
      <w:r>
        <w:t>,</w:t>
      </w:r>
      <w:r w:rsidRPr="003060C0">
        <w:t xml:space="preserve"> </w:t>
      </w:r>
      <w:r>
        <w:t xml:space="preserve">and </w:t>
      </w:r>
      <w:r w:rsidRPr="003060C0">
        <w:t>9.0 per</w:t>
      </w:r>
      <w:r>
        <w:t xml:space="preserve"> </w:t>
      </w:r>
      <w:r w:rsidRPr="003060C0">
        <w:t xml:space="preserve">cent </w:t>
      </w:r>
      <w:r>
        <w:t>Muslim</w:t>
      </w:r>
      <w:r w:rsidRPr="003060C0">
        <w:t xml:space="preserve"> (NIEPA</w:t>
      </w:r>
      <w:r>
        <w:t>,</w:t>
      </w:r>
      <w:r w:rsidRPr="003060C0">
        <w:t xml:space="preserve"> 2017)</w:t>
      </w:r>
      <w:r w:rsidR="00001553">
        <w:t>. UNICEF and official government sources report that c</w:t>
      </w:r>
      <w:r w:rsidRPr="003060C0">
        <w:rPr>
          <w:color w:val="000000"/>
        </w:rPr>
        <w:t xml:space="preserve">hildren from these communities have the lowest </w:t>
      </w:r>
      <w:r>
        <w:rPr>
          <w:color w:val="000000"/>
        </w:rPr>
        <w:t xml:space="preserve">levels of </w:t>
      </w:r>
      <w:r w:rsidRPr="003060C0">
        <w:rPr>
          <w:color w:val="000000"/>
        </w:rPr>
        <w:t xml:space="preserve">attendance </w:t>
      </w:r>
      <w:r>
        <w:rPr>
          <w:color w:val="000000"/>
        </w:rPr>
        <w:t xml:space="preserve">and </w:t>
      </w:r>
      <w:r w:rsidRPr="003060C0">
        <w:rPr>
          <w:color w:val="000000"/>
        </w:rPr>
        <w:t xml:space="preserve">highest rates of dropout </w:t>
      </w:r>
      <w:r>
        <w:rPr>
          <w:color w:val="000000"/>
        </w:rPr>
        <w:t xml:space="preserve">from primary </w:t>
      </w:r>
      <w:r w:rsidR="00001553">
        <w:rPr>
          <w:color w:val="000000"/>
        </w:rPr>
        <w:t xml:space="preserve">schooling. </w:t>
      </w:r>
    </w:p>
    <w:p w:rsidR="00001553" w:rsidRDefault="00280788" w:rsidP="00280788">
      <w:pPr>
        <w:rPr>
          <w:rFonts w:cs="Times New Roman"/>
        </w:rPr>
      </w:pPr>
      <w:r>
        <w:rPr>
          <w:rFonts w:cs="Times New Roman"/>
        </w:rPr>
        <w:t xml:space="preserve">The RAISE </w:t>
      </w:r>
      <w:r w:rsidRPr="005E3C7C">
        <w:rPr>
          <w:rFonts w:cs="Times New Roman"/>
        </w:rPr>
        <w:t>empirical research</w:t>
      </w:r>
      <w:r>
        <w:rPr>
          <w:rFonts w:cs="Times New Roman"/>
        </w:rPr>
        <w:t xml:space="preserve"> was carried out in one District in each State</w:t>
      </w:r>
      <w:r w:rsidRPr="005E3C7C">
        <w:rPr>
          <w:rFonts w:cs="Times New Roman"/>
        </w:rPr>
        <w:t xml:space="preserve">: Patna District in Bihar and Udaipur District in Rajasthan. </w:t>
      </w:r>
    </w:p>
    <w:p w:rsidR="00001553" w:rsidRPr="00001553" w:rsidRDefault="00001553" w:rsidP="00280788">
      <w:pPr>
        <w:rPr>
          <w:rFonts w:cs="Times New Roman"/>
          <w:b/>
        </w:rPr>
      </w:pPr>
      <w:r w:rsidRPr="00001553">
        <w:rPr>
          <w:rFonts w:cs="Times New Roman"/>
          <w:b/>
        </w:rPr>
        <w:t>Qualitative sample</w:t>
      </w:r>
    </w:p>
    <w:p w:rsidR="00280788" w:rsidRDefault="00280788" w:rsidP="00280788">
      <w:pPr>
        <w:rPr>
          <w:rFonts w:eastAsia="Times New Roman" w:cs="Times New Roman"/>
        </w:rPr>
      </w:pPr>
      <w:r>
        <w:rPr>
          <w:rFonts w:cs="Times New Roman"/>
        </w:rPr>
        <w:t xml:space="preserve">Within each </w:t>
      </w:r>
      <w:r>
        <w:t xml:space="preserve">District, we drew up one urban and one rural cluster, informed by </w:t>
      </w:r>
      <w:r w:rsidRPr="003060C0">
        <w:t>transect walks</w:t>
      </w:r>
      <w:r>
        <w:t xml:space="preserve"> </w:t>
      </w:r>
      <w:r w:rsidRPr="003060C0">
        <w:t xml:space="preserve">and </w:t>
      </w:r>
      <w:r>
        <w:t xml:space="preserve">open-ended </w:t>
      </w:r>
      <w:r w:rsidRPr="003060C0">
        <w:t>interviews</w:t>
      </w:r>
      <w:r>
        <w:t xml:space="preserve"> with key informants such as village leaders and school principals which added geographical and social nuance to data already in the public domain. Each cluster comprised six schools and </w:t>
      </w:r>
      <w:r w:rsidRPr="009A02F7">
        <w:rPr>
          <w:rFonts w:eastAsia="Times New Roman" w:cs="Times New Roman"/>
        </w:rPr>
        <w:t>the villages/</w:t>
      </w:r>
      <w:r>
        <w:rPr>
          <w:rFonts w:eastAsia="Times New Roman" w:cs="Times New Roman"/>
        </w:rPr>
        <w:t xml:space="preserve"> </w:t>
      </w:r>
      <w:r w:rsidRPr="009A02F7">
        <w:rPr>
          <w:rFonts w:eastAsia="Times New Roman" w:cs="Times New Roman"/>
        </w:rPr>
        <w:t xml:space="preserve">neighbourhoods </w:t>
      </w:r>
      <w:r>
        <w:rPr>
          <w:rFonts w:eastAsia="Times New Roman" w:cs="Times New Roman"/>
        </w:rPr>
        <w:t xml:space="preserve">that access each school. The total sample comprised 24 schools </w:t>
      </w:r>
      <w:r>
        <w:t>(6+6 = 12, x 2 = 24</w:t>
      </w:r>
      <w:r w:rsidRPr="003060C0">
        <w:t>)</w:t>
      </w:r>
      <w:r>
        <w:t xml:space="preserve">, purposively constructed to </w:t>
      </w:r>
      <w:r w:rsidRPr="003060C0">
        <w:t>inc</w:t>
      </w:r>
      <w:r>
        <w:t>lude government</w:t>
      </w:r>
      <w:r w:rsidRPr="003060C0">
        <w:t xml:space="preserve">, </w:t>
      </w:r>
      <w:r>
        <w:t xml:space="preserve">low-cost </w:t>
      </w:r>
      <w:r w:rsidRPr="003060C0">
        <w:t xml:space="preserve">private, </w:t>
      </w:r>
      <w:r>
        <w:t xml:space="preserve">non-government organisation (NGO) </w:t>
      </w:r>
      <w:r w:rsidRPr="003060C0">
        <w:t>and religious provision</w:t>
      </w:r>
      <w:r>
        <w:rPr>
          <w:rFonts w:eastAsia="Times New Roman" w:cs="Times New Roman"/>
        </w:rPr>
        <w:t xml:space="preserve">. </w:t>
      </w:r>
    </w:p>
    <w:p w:rsidR="00280788" w:rsidRDefault="00280788" w:rsidP="00280788">
      <w:r w:rsidRPr="00480399">
        <w:t>In Patna’s rural cluster, parents are typically landless labourers in agriculture and the service sector</w:t>
      </w:r>
      <w:r>
        <w:t>, with</w:t>
      </w:r>
      <w:r w:rsidRPr="00480399">
        <w:t xml:space="preserve"> unstable livelihoods. They belong to </w:t>
      </w:r>
      <w:r w:rsidRPr="000B715B">
        <w:t>different caste groups that</w:t>
      </w:r>
      <w:r>
        <w:t xml:space="preserve"> largely fall into the SC and Other Backward Classes (OBC)</w:t>
      </w:r>
      <w:r w:rsidRPr="009A0F22">
        <w:t xml:space="preserve"> </w:t>
      </w:r>
      <w:r>
        <w:t xml:space="preserve">categories. Generally fewer than 20 per cent (and sometimes no) students from ‘general’ castes attend government schools in the cluster. The </w:t>
      </w:r>
      <w:r w:rsidRPr="003060C0">
        <w:t xml:space="preserve">urban cluster is </w:t>
      </w:r>
      <w:r>
        <w:t xml:space="preserve">in </w:t>
      </w:r>
      <w:r w:rsidRPr="003060C0">
        <w:rPr>
          <w:rFonts w:eastAsia="Times New Roman"/>
        </w:rPr>
        <w:t xml:space="preserve">a commercial and residential neighbourhood with several informal </w:t>
      </w:r>
      <w:r w:rsidRPr="003060C0">
        <w:rPr>
          <w:rFonts w:eastAsia="Times New Roman"/>
        </w:rPr>
        <w:lastRenderedPageBreak/>
        <w:t>settlements (</w:t>
      </w:r>
      <w:proofErr w:type="spellStart"/>
      <w:r w:rsidRPr="003060C0">
        <w:rPr>
          <w:rFonts w:eastAsia="Times New Roman"/>
          <w:i/>
        </w:rPr>
        <w:t>bastis</w:t>
      </w:r>
      <w:proofErr w:type="spellEnd"/>
      <w:r w:rsidRPr="003060C0">
        <w:rPr>
          <w:rFonts w:eastAsia="Times New Roman"/>
        </w:rPr>
        <w:t>) and market areas, where m</w:t>
      </w:r>
      <w:r w:rsidRPr="003060C0">
        <w:rPr>
          <w:rFonts w:eastAsia="Avenir"/>
          <w:highlight w:val="white"/>
        </w:rPr>
        <w:t xml:space="preserve">ost of the adult population </w:t>
      </w:r>
      <w:r>
        <w:rPr>
          <w:rFonts w:eastAsia="Avenir"/>
          <w:highlight w:val="white"/>
        </w:rPr>
        <w:t>is in the informal service sector</w:t>
      </w:r>
      <w:r w:rsidRPr="003060C0">
        <w:rPr>
          <w:rFonts w:eastAsia="Avenir"/>
          <w:highlight w:val="white"/>
        </w:rPr>
        <w:t xml:space="preserve">. </w:t>
      </w:r>
      <w:proofErr w:type="gramStart"/>
      <w:r>
        <w:rPr>
          <w:rFonts w:eastAsia="Avenir"/>
        </w:rPr>
        <w:t xml:space="preserve">A prominent social grouping in the cluster </w:t>
      </w:r>
      <w:r>
        <w:rPr>
          <w:lang w:val="en"/>
        </w:rPr>
        <w:t>are</w:t>
      </w:r>
      <w:proofErr w:type="gramEnd"/>
      <w:r>
        <w:rPr>
          <w:lang w:val="en"/>
        </w:rPr>
        <w:t xml:space="preserve"> t</w:t>
      </w:r>
      <w:r>
        <w:rPr>
          <w:rFonts w:eastAsia="Times New Roman"/>
        </w:rPr>
        <w:t xml:space="preserve">he </w:t>
      </w:r>
      <w:proofErr w:type="spellStart"/>
      <w:r w:rsidRPr="003060C0">
        <w:t>Musahar</w:t>
      </w:r>
      <w:proofErr w:type="spellEnd"/>
      <w:r w:rsidRPr="003060C0">
        <w:t xml:space="preserve"> </w:t>
      </w:r>
      <w:r>
        <w:t xml:space="preserve">community, </w:t>
      </w:r>
      <w:r w:rsidRPr="003060C0">
        <w:t>which constitutes 31 per</w:t>
      </w:r>
      <w:r>
        <w:t xml:space="preserve"> </w:t>
      </w:r>
      <w:r w:rsidRPr="003060C0">
        <w:t>cent of Bihar’s SC population</w:t>
      </w:r>
      <w:r>
        <w:t xml:space="preserve"> (and among whom the </w:t>
      </w:r>
      <w:r w:rsidRPr="003060C0">
        <w:rPr>
          <w:lang w:val="en"/>
        </w:rPr>
        <w:t xml:space="preserve">average literacy rate </w:t>
      </w:r>
      <w:r>
        <w:rPr>
          <w:lang w:val="en"/>
        </w:rPr>
        <w:t xml:space="preserve">is </w:t>
      </w:r>
      <w:r w:rsidRPr="003060C0">
        <w:rPr>
          <w:lang w:val="en"/>
        </w:rPr>
        <w:t>below 20 per</w:t>
      </w:r>
      <w:r>
        <w:rPr>
          <w:lang w:val="en"/>
        </w:rPr>
        <w:t xml:space="preserve"> </w:t>
      </w:r>
      <w:r w:rsidRPr="003060C0">
        <w:rPr>
          <w:lang w:val="en"/>
        </w:rPr>
        <w:t>cent</w:t>
      </w:r>
      <w:r>
        <w:rPr>
          <w:lang w:val="en"/>
        </w:rPr>
        <w:t xml:space="preserve">, with the female rate a maximum of </w:t>
      </w:r>
      <w:r w:rsidRPr="003060C0">
        <w:rPr>
          <w:lang w:val="en"/>
        </w:rPr>
        <w:t>2 per</w:t>
      </w:r>
      <w:r>
        <w:rPr>
          <w:lang w:val="en"/>
        </w:rPr>
        <w:t xml:space="preserve"> </w:t>
      </w:r>
      <w:r w:rsidRPr="003060C0">
        <w:rPr>
          <w:lang w:val="en"/>
        </w:rPr>
        <w:t xml:space="preserve">cent </w:t>
      </w:r>
      <w:r>
        <w:rPr>
          <w:lang w:val="en"/>
        </w:rPr>
        <w:t>(</w:t>
      </w:r>
      <w:r w:rsidRPr="003060C0">
        <w:rPr>
          <w:lang w:val="en"/>
        </w:rPr>
        <w:t>Singh</w:t>
      </w:r>
      <w:r>
        <w:rPr>
          <w:lang w:val="en"/>
        </w:rPr>
        <w:t xml:space="preserve">, </w:t>
      </w:r>
      <w:r w:rsidRPr="003060C0">
        <w:rPr>
          <w:lang w:val="en"/>
        </w:rPr>
        <w:t>2018</w:t>
      </w:r>
      <w:r>
        <w:rPr>
          <w:lang w:val="en"/>
        </w:rPr>
        <w:t xml:space="preserve">)). </w:t>
      </w:r>
    </w:p>
    <w:p w:rsidR="00280788" w:rsidRDefault="00280788" w:rsidP="00280788">
      <w:r w:rsidRPr="003060C0">
        <w:t xml:space="preserve">In </w:t>
      </w:r>
      <w:r>
        <w:t xml:space="preserve">Udaipur, </w:t>
      </w:r>
      <w:r>
        <w:rPr>
          <w:rFonts w:eastAsia="Times New Roman" w:cs="Times New Roman"/>
        </w:rPr>
        <w:t>schools in</w:t>
      </w:r>
      <w:r>
        <w:t xml:space="preserve"> t</w:t>
      </w:r>
      <w:r>
        <w:rPr>
          <w:rFonts w:eastAsia="Times New Roman" w:cs="Times New Roman"/>
        </w:rPr>
        <w:t>he rural cluster served a predominantly ST (</w:t>
      </w:r>
      <w:proofErr w:type="spellStart"/>
      <w:r>
        <w:rPr>
          <w:rFonts w:eastAsia="Times New Roman" w:cs="Times New Roman"/>
        </w:rPr>
        <w:t>Gameti</w:t>
      </w:r>
      <w:proofErr w:type="spellEnd"/>
      <w:r>
        <w:rPr>
          <w:rFonts w:eastAsia="Times New Roman" w:cs="Times New Roman"/>
        </w:rPr>
        <w:t xml:space="preserve"> community) population (52%), alongside 7% SC (predominantly </w:t>
      </w:r>
      <w:proofErr w:type="spellStart"/>
      <w:r>
        <w:rPr>
          <w:rFonts w:eastAsia="Times New Roman" w:cs="Times New Roman"/>
        </w:rPr>
        <w:t>Meghwals</w:t>
      </w:r>
      <w:proofErr w:type="spellEnd"/>
      <w:r>
        <w:rPr>
          <w:rFonts w:eastAsia="Times New Roman" w:cs="Times New Roman"/>
        </w:rPr>
        <w:t>), Rajput, Brahmin and OBC communities. Most parents are either subsistence and dairy farmers or work as labourers in agriculture and the service sector of</w:t>
      </w:r>
      <w:r w:rsidRPr="003060C0">
        <w:rPr>
          <w:rFonts w:eastAsia="Times New Roman"/>
        </w:rPr>
        <w:t xml:space="preserve"> nearby towns</w:t>
      </w:r>
      <w:r>
        <w:rPr>
          <w:rFonts w:eastAsia="Times New Roman"/>
        </w:rPr>
        <w:t>. Many men migrate</w:t>
      </w:r>
      <w:r w:rsidRPr="003060C0">
        <w:rPr>
          <w:rFonts w:eastAsia="Times New Roman"/>
        </w:rPr>
        <w:t xml:space="preserve"> </w:t>
      </w:r>
      <w:r>
        <w:rPr>
          <w:rFonts w:eastAsia="Times New Roman"/>
        </w:rPr>
        <w:t xml:space="preserve">out </w:t>
      </w:r>
      <w:r w:rsidRPr="003060C0">
        <w:rPr>
          <w:rFonts w:eastAsia="Times New Roman"/>
        </w:rPr>
        <w:t xml:space="preserve">to </w:t>
      </w:r>
      <w:r>
        <w:rPr>
          <w:rFonts w:eastAsia="Times New Roman"/>
        </w:rPr>
        <w:t xml:space="preserve">access work in </w:t>
      </w:r>
      <w:r w:rsidRPr="003060C0">
        <w:rPr>
          <w:rFonts w:eastAsia="Times New Roman"/>
        </w:rPr>
        <w:t xml:space="preserve">construction </w:t>
      </w:r>
      <w:r>
        <w:rPr>
          <w:rFonts w:eastAsia="Times New Roman"/>
        </w:rPr>
        <w:t xml:space="preserve">and </w:t>
      </w:r>
      <w:r w:rsidRPr="003060C0">
        <w:rPr>
          <w:rFonts w:eastAsia="Times New Roman"/>
        </w:rPr>
        <w:t xml:space="preserve">textile industries </w:t>
      </w:r>
      <w:r>
        <w:rPr>
          <w:rFonts w:eastAsia="Times New Roman"/>
        </w:rPr>
        <w:t>in neighbouring Gujarat</w:t>
      </w:r>
      <w:r w:rsidRPr="003060C0">
        <w:rPr>
          <w:rFonts w:eastAsia="Times New Roman"/>
        </w:rPr>
        <w:t xml:space="preserve">. </w:t>
      </w:r>
      <w:r>
        <w:rPr>
          <w:rFonts w:eastAsia="Times New Roman"/>
        </w:rPr>
        <w:t xml:space="preserve">The </w:t>
      </w:r>
      <w:r w:rsidRPr="003060C0">
        <w:t xml:space="preserve">urban cluster </w:t>
      </w:r>
      <w:r>
        <w:t xml:space="preserve">is a </w:t>
      </w:r>
      <w:r w:rsidRPr="003060C0">
        <w:t>large, heterogeneously populated area</w:t>
      </w:r>
      <w:r>
        <w:t xml:space="preserve"> that falls across three wards of Udaipur city and includes several informal settlements. Mostly, the fathers of children using schools in this cluster </w:t>
      </w:r>
      <w:r w:rsidRPr="003060C0">
        <w:t xml:space="preserve">work as rickshaw drivers, daily wage labourers, or vegetable vendors, and </w:t>
      </w:r>
      <w:r>
        <w:t xml:space="preserve">mothers work </w:t>
      </w:r>
      <w:r w:rsidRPr="003060C0">
        <w:t>as domestic maids</w:t>
      </w:r>
      <w:r>
        <w:t>,</w:t>
      </w:r>
      <w:r w:rsidRPr="003060C0">
        <w:t xml:space="preserve"> </w:t>
      </w:r>
      <w:r>
        <w:t xml:space="preserve">home-based handicraft workers, </w:t>
      </w:r>
      <w:r w:rsidRPr="003060C0">
        <w:t xml:space="preserve">or </w:t>
      </w:r>
      <w:r>
        <w:t xml:space="preserve">in </w:t>
      </w:r>
      <w:r w:rsidRPr="003060C0">
        <w:t>tailor</w:t>
      </w:r>
      <w:r>
        <w:t>ing</w:t>
      </w:r>
      <w:r w:rsidRPr="003060C0">
        <w:t>.</w:t>
      </w:r>
    </w:p>
    <w:p w:rsidR="00280788" w:rsidRDefault="00001553" w:rsidP="00280788">
      <w:r w:rsidRPr="00001553">
        <w:rPr>
          <w:b/>
        </w:rPr>
        <w:t>Procedure:</w:t>
      </w:r>
      <w:r>
        <w:t xml:space="preserve"> </w:t>
      </w:r>
      <w:r w:rsidR="00280788">
        <w:t>We conducted semi-structured</w:t>
      </w:r>
      <w:r w:rsidR="00280788" w:rsidRPr="003060C0">
        <w:t xml:space="preserve"> interviews</w:t>
      </w:r>
      <w:r w:rsidR="00280788">
        <w:t xml:space="preserve"> with teachers and principals of all schools</w:t>
      </w:r>
      <w:r w:rsidR="00280788" w:rsidRPr="00E07B7E">
        <w:t xml:space="preserve"> </w:t>
      </w:r>
      <w:r w:rsidR="00280788">
        <w:t>in each cluster</w:t>
      </w:r>
      <w:r w:rsidR="00280788" w:rsidRPr="003060C0">
        <w:t>,</w:t>
      </w:r>
      <w:r w:rsidR="00280788">
        <w:t xml:space="preserve"> village and community leaders in school locations, and representatives of private school management and the state education bureaucracy, particularly District and sub-District officers. We observed Grade 2 and Grade 5 classrooms in each school for three days and talked with teachers and parents about what we observed; attended formal school meetings and events in the community such as enrolment drives; and carried out </w:t>
      </w:r>
      <w:r w:rsidR="00280788" w:rsidRPr="003060C0">
        <w:t>focus group discussions</w:t>
      </w:r>
      <w:r w:rsidR="00280788">
        <w:t xml:space="preserve"> (FGDs) with parents in all the clusters. Data generated by these methods were discussed and triangulated by each field team and then with the full project team, in an iterative process of </w:t>
      </w:r>
      <w:r w:rsidR="00280788" w:rsidRPr="003060C0">
        <w:t>r</w:t>
      </w:r>
      <w:r w:rsidR="00280788">
        <w:t xml:space="preserve">eflection, data generation and qualitative analysis that was finalised using </w:t>
      </w:r>
      <w:proofErr w:type="spellStart"/>
      <w:r w:rsidR="00280788">
        <w:t>NVivo</w:t>
      </w:r>
      <w:proofErr w:type="spellEnd"/>
      <w:r w:rsidR="00280788">
        <w:t xml:space="preserve"> software. </w:t>
      </w:r>
    </w:p>
    <w:p w:rsidR="00280788" w:rsidRPr="00001553" w:rsidRDefault="00001553" w:rsidP="00280788">
      <w:pPr>
        <w:rPr>
          <w:b/>
        </w:rPr>
      </w:pPr>
      <w:r w:rsidRPr="00001553">
        <w:rPr>
          <w:b/>
        </w:rPr>
        <w:t>Quantitative sample</w:t>
      </w:r>
    </w:p>
    <w:p w:rsidR="00001553" w:rsidRDefault="00001553" w:rsidP="00001553">
      <w:r>
        <w:t>Q</w:t>
      </w:r>
      <w:r w:rsidRPr="00E7133B">
        <w:t>uant</w:t>
      </w:r>
      <w:r>
        <w:t>itative data were</w:t>
      </w:r>
      <w:r w:rsidRPr="00E7133B">
        <w:t xml:space="preserve"> collected</w:t>
      </w:r>
      <w:r>
        <w:t xml:space="preserve"> through surveys in the period December 2019 –</w:t>
      </w:r>
      <w:r w:rsidRPr="00E7133B">
        <w:t xml:space="preserve"> Mar</w:t>
      </w:r>
      <w:r>
        <w:t>ch</w:t>
      </w:r>
      <w:r w:rsidRPr="00E7133B">
        <w:t xml:space="preserve"> 2020.</w:t>
      </w:r>
      <w:r>
        <w:t xml:space="preserve"> Repre</w:t>
      </w:r>
      <w:r w:rsidRPr="00931AE3">
        <w:t xml:space="preserve">sentative schools </w:t>
      </w:r>
      <w:r>
        <w:t xml:space="preserve">were chosen </w:t>
      </w:r>
      <w:r w:rsidRPr="00931AE3">
        <w:t>as follows. We first delineated geographical clusters in rural and urban areas of the two districts. </w:t>
      </w:r>
      <w:r>
        <w:t>Government schools and LFPSs</w:t>
      </w:r>
      <w:r w:rsidRPr="00931AE3">
        <w:t xml:space="preserve"> were identified in each cluster using the government’s Unified District Information System for Education and then chosen randomly. NGO schools were identified using separate inquiries among NGOs and chosen randomly. In each district, 25 schools each from rural and urban clusters were chosen in this manner. For each chosen school, we identified representative teachers and parents, as well as community members from local government and other locally prominent individuals, and captured their responses in a survey questionnaire.</w:t>
      </w:r>
      <w:r>
        <w:t xml:space="preserve"> In Patna, after surveys of 36 schools were completed, fieldwork had to stop because of Covid-19 induced lockdowns; in Udaipur, the selected 50 schools had been covered by then. </w:t>
      </w:r>
    </w:p>
    <w:p w:rsidR="002D3BAA" w:rsidRDefault="002D3BAA" w:rsidP="00001553">
      <w:r>
        <w:t>Table 1</w:t>
      </w:r>
      <w:r w:rsidR="00001553">
        <w:t xml:space="preserve"> presents information on the number of schools (government, LFPS, NFE) by rural and urban location across the two districts. Table 1a also gives some details of the 403 families and 70 community leaders surveyed across 86 schools. Our surveys omitted </w:t>
      </w:r>
      <w:r w:rsidR="00001553" w:rsidRPr="00931AE3">
        <w:t>community leaders</w:t>
      </w:r>
      <w:r w:rsidR="00001553">
        <w:t xml:space="preserve"> in </w:t>
      </w:r>
      <w:r w:rsidR="00001553" w:rsidRPr="00931AE3">
        <w:t>LFPS</w:t>
      </w:r>
      <w:r w:rsidR="00001553">
        <w:t xml:space="preserve"> areas because d</w:t>
      </w:r>
      <w:r w:rsidR="00001553" w:rsidRPr="005E2A9B">
        <w:t>uring</w:t>
      </w:r>
      <w:r w:rsidR="00001553">
        <w:t xml:space="preserve"> the</w:t>
      </w:r>
      <w:r w:rsidR="00001553" w:rsidRPr="005E2A9B">
        <w:t xml:space="preserve"> qualitative </w:t>
      </w:r>
      <w:r w:rsidR="00001553">
        <w:t>phase</w:t>
      </w:r>
      <w:r w:rsidR="00001553" w:rsidRPr="005E2A9B">
        <w:t xml:space="preserve"> we found that </w:t>
      </w:r>
      <w:r w:rsidR="00001553">
        <w:t>they</w:t>
      </w:r>
      <w:r w:rsidR="00001553" w:rsidRPr="005E2A9B">
        <w:t xml:space="preserve"> did not engage with </w:t>
      </w:r>
      <w:r w:rsidR="00001553">
        <w:t>LFPSs</w:t>
      </w:r>
      <w:r w:rsidR="00001553" w:rsidRPr="005E2A9B">
        <w:t xml:space="preserve"> and did not have information about the</w:t>
      </w:r>
      <w:r w:rsidR="00001553">
        <w:t xml:space="preserve">m. </w:t>
      </w:r>
    </w:p>
    <w:p w:rsidR="002D3BAA" w:rsidRPr="00931AE3" w:rsidRDefault="002D3BAA" w:rsidP="002D3BAA">
      <w:pPr>
        <w:pStyle w:val="Heading4"/>
      </w:pPr>
      <w:r>
        <w:lastRenderedPageBreak/>
        <w:t xml:space="preserve">Table 1: </w:t>
      </w:r>
      <w:r w:rsidRPr="00931AE3">
        <w:t>Information about schools and respondents</w:t>
      </w:r>
    </w:p>
    <w:tbl>
      <w:tblPr>
        <w:tblStyle w:val="TableGrid"/>
        <w:tblW w:w="0" w:type="auto"/>
        <w:tblLook w:val="04A0" w:firstRow="1" w:lastRow="0" w:firstColumn="1" w:lastColumn="0" w:noHBand="0" w:noVBand="1"/>
      </w:tblPr>
      <w:tblGrid>
        <w:gridCol w:w="816"/>
        <w:gridCol w:w="1416"/>
        <w:gridCol w:w="1663"/>
        <w:gridCol w:w="736"/>
        <w:gridCol w:w="723"/>
      </w:tblGrid>
      <w:tr w:rsidR="002D3BAA" w:rsidRPr="00931AE3" w:rsidTr="005D6DAD">
        <w:tc>
          <w:tcPr>
            <w:tcW w:w="0" w:type="auto"/>
            <w:vAlign w:val="center"/>
          </w:tcPr>
          <w:p w:rsidR="002D3BAA" w:rsidRPr="00DF7505" w:rsidRDefault="002D3BAA" w:rsidP="005D6DAD">
            <w:pPr>
              <w:rPr>
                <w:color w:val="000000"/>
              </w:rPr>
            </w:pPr>
            <w:r w:rsidRPr="00984697">
              <w:rPr>
                <w:color w:val="000000"/>
                <w:lang w:val="en-US"/>
              </w:rPr>
              <w:t> </w:t>
            </w:r>
          </w:p>
        </w:tc>
        <w:tc>
          <w:tcPr>
            <w:tcW w:w="0" w:type="auto"/>
            <w:vAlign w:val="center"/>
          </w:tcPr>
          <w:p w:rsidR="002D3BAA" w:rsidRPr="00DF7505" w:rsidRDefault="002D3BAA" w:rsidP="005D6DAD">
            <w:pPr>
              <w:jc w:val="center"/>
              <w:rPr>
                <w:color w:val="000000"/>
              </w:rPr>
            </w:pPr>
            <w:r w:rsidRPr="00DF7505">
              <w:rPr>
                <w:color w:val="000000"/>
                <w:lang w:val="en-US"/>
              </w:rPr>
              <w:t>Government</w:t>
            </w:r>
          </w:p>
        </w:tc>
        <w:tc>
          <w:tcPr>
            <w:tcW w:w="0" w:type="auto"/>
            <w:vAlign w:val="center"/>
          </w:tcPr>
          <w:p w:rsidR="002D3BAA" w:rsidRPr="00984697" w:rsidRDefault="002D3BAA" w:rsidP="005D6DAD">
            <w:pPr>
              <w:jc w:val="center"/>
              <w:rPr>
                <w:color w:val="000000"/>
              </w:rPr>
            </w:pPr>
            <w:r w:rsidRPr="00DF7505">
              <w:rPr>
                <w:color w:val="000000"/>
                <w:lang w:val="en-US"/>
              </w:rPr>
              <w:t>Private</w:t>
            </w:r>
            <w:r w:rsidRPr="005D6DAD">
              <w:rPr>
                <w:color w:val="000000"/>
                <w:lang w:val="en-US"/>
              </w:rPr>
              <w:t xml:space="preserve"> (LFPS)</w:t>
            </w:r>
          </w:p>
        </w:tc>
        <w:tc>
          <w:tcPr>
            <w:tcW w:w="0" w:type="auto"/>
            <w:vAlign w:val="center"/>
          </w:tcPr>
          <w:p w:rsidR="002D3BAA" w:rsidRPr="00DF7505" w:rsidRDefault="002D3BAA" w:rsidP="005D6DAD">
            <w:pPr>
              <w:jc w:val="center"/>
              <w:rPr>
                <w:color w:val="000000"/>
              </w:rPr>
            </w:pPr>
            <w:r w:rsidRPr="00DF7505">
              <w:rPr>
                <w:color w:val="000000"/>
                <w:lang w:val="en-US"/>
              </w:rPr>
              <w:t>NGO</w:t>
            </w:r>
          </w:p>
        </w:tc>
        <w:tc>
          <w:tcPr>
            <w:tcW w:w="0" w:type="auto"/>
            <w:vAlign w:val="center"/>
          </w:tcPr>
          <w:p w:rsidR="002D3BAA" w:rsidRPr="00DF7505" w:rsidRDefault="002D3BAA" w:rsidP="005D6DAD">
            <w:pPr>
              <w:jc w:val="center"/>
              <w:rPr>
                <w:color w:val="000000"/>
              </w:rPr>
            </w:pPr>
            <w:r w:rsidRPr="00DF7505">
              <w:rPr>
                <w:color w:val="000000"/>
                <w:lang w:val="en-US"/>
              </w:rPr>
              <w:t>Total</w:t>
            </w:r>
          </w:p>
        </w:tc>
      </w:tr>
      <w:tr w:rsidR="002D3BAA" w:rsidRPr="00931AE3" w:rsidTr="005D6DAD">
        <w:tc>
          <w:tcPr>
            <w:tcW w:w="0" w:type="auto"/>
            <w:gridSpan w:val="5"/>
          </w:tcPr>
          <w:p w:rsidR="002D3BAA" w:rsidRPr="00DF7505" w:rsidRDefault="002D3BAA" w:rsidP="005D6DAD">
            <w:pPr>
              <w:jc w:val="center"/>
            </w:pPr>
            <w:r w:rsidRPr="00984697">
              <w:t>Number of schools</w:t>
            </w:r>
          </w:p>
        </w:tc>
      </w:tr>
      <w:tr w:rsidR="002D3BAA" w:rsidRPr="00931AE3" w:rsidTr="005D6DAD">
        <w:tc>
          <w:tcPr>
            <w:tcW w:w="0" w:type="auto"/>
          </w:tcPr>
          <w:p w:rsidR="002D3BAA" w:rsidRPr="00DF7505" w:rsidRDefault="002D3BAA" w:rsidP="005D6DAD">
            <w:pPr>
              <w:rPr>
                <w:color w:val="000000"/>
              </w:rPr>
            </w:pPr>
            <w:r w:rsidRPr="00984697">
              <w:rPr>
                <w:color w:val="000000"/>
              </w:rPr>
              <w:t>Rural</w:t>
            </w:r>
          </w:p>
        </w:tc>
        <w:tc>
          <w:tcPr>
            <w:tcW w:w="0" w:type="auto"/>
          </w:tcPr>
          <w:p w:rsidR="002D3BAA" w:rsidRPr="00DF7505" w:rsidRDefault="002D3BAA" w:rsidP="005D6DAD">
            <w:pPr>
              <w:jc w:val="center"/>
              <w:rPr>
                <w:color w:val="000000"/>
              </w:rPr>
            </w:pPr>
            <w:r w:rsidRPr="00DF7505">
              <w:rPr>
                <w:color w:val="000000"/>
              </w:rPr>
              <w:t>21</w:t>
            </w:r>
          </w:p>
        </w:tc>
        <w:tc>
          <w:tcPr>
            <w:tcW w:w="0" w:type="auto"/>
          </w:tcPr>
          <w:p w:rsidR="002D3BAA" w:rsidRPr="00DF7505" w:rsidRDefault="002D3BAA" w:rsidP="005D6DAD">
            <w:pPr>
              <w:jc w:val="center"/>
              <w:rPr>
                <w:color w:val="000000"/>
              </w:rPr>
            </w:pPr>
            <w:r w:rsidRPr="00DF7505">
              <w:rPr>
                <w:color w:val="000000"/>
              </w:rPr>
              <w:t>14</w:t>
            </w:r>
          </w:p>
        </w:tc>
        <w:tc>
          <w:tcPr>
            <w:tcW w:w="0" w:type="auto"/>
          </w:tcPr>
          <w:p w:rsidR="002D3BAA" w:rsidRPr="00DF7505" w:rsidRDefault="002D3BAA" w:rsidP="005D6DAD">
            <w:pPr>
              <w:jc w:val="center"/>
              <w:rPr>
                <w:color w:val="000000"/>
              </w:rPr>
            </w:pPr>
            <w:r w:rsidRPr="00DF7505">
              <w:rPr>
                <w:color w:val="000000"/>
              </w:rPr>
              <w:t>6</w:t>
            </w:r>
          </w:p>
        </w:tc>
        <w:tc>
          <w:tcPr>
            <w:tcW w:w="0" w:type="auto"/>
          </w:tcPr>
          <w:p w:rsidR="002D3BAA" w:rsidRPr="00DF7505" w:rsidRDefault="002D3BAA" w:rsidP="005D6DAD">
            <w:pPr>
              <w:jc w:val="center"/>
              <w:rPr>
                <w:color w:val="000000"/>
              </w:rPr>
            </w:pPr>
            <w:r w:rsidRPr="00DF7505">
              <w:rPr>
                <w:color w:val="000000"/>
              </w:rPr>
              <w:t>41</w:t>
            </w:r>
          </w:p>
        </w:tc>
      </w:tr>
      <w:tr w:rsidR="002D3BAA" w:rsidRPr="00931AE3" w:rsidTr="005D6DAD">
        <w:tc>
          <w:tcPr>
            <w:tcW w:w="0" w:type="auto"/>
          </w:tcPr>
          <w:p w:rsidR="002D3BAA" w:rsidRPr="00DF7505" w:rsidRDefault="002D3BAA" w:rsidP="005D6DAD">
            <w:pPr>
              <w:rPr>
                <w:color w:val="000000"/>
              </w:rPr>
            </w:pPr>
            <w:r w:rsidRPr="00984697">
              <w:rPr>
                <w:color w:val="000000"/>
              </w:rPr>
              <w:t>Urban</w:t>
            </w:r>
          </w:p>
        </w:tc>
        <w:tc>
          <w:tcPr>
            <w:tcW w:w="0" w:type="auto"/>
          </w:tcPr>
          <w:p w:rsidR="002D3BAA" w:rsidRPr="00DF7505" w:rsidRDefault="002D3BAA" w:rsidP="005D6DAD">
            <w:pPr>
              <w:jc w:val="center"/>
              <w:rPr>
                <w:color w:val="000000"/>
              </w:rPr>
            </w:pPr>
            <w:r w:rsidRPr="00DF7505">
              <w:rPr>
                <w:color w:val="000000"/>
              </w:rPr>
              <w:t>22</w:t>
            </w:r>
          </w:p>
        </w:tc>
        <w:tc>
          <w:tcPr>
            <w:tcW w:w="0" w:type="auto"/>
          </w:tcPr>
          <w:p w:rsidR="002D3BAA" w:rsidRPr="00DF7505" w:rsidRDefault="002D3BAA" w:rsidP="005D6DAD">
            <w:pPr>
              <w:jc w:val="center"/>
              <w:rPr>
                <w:color w:val="000000"/>
              </w:rPr>
            </w:pPr>
            <w:r w:rsidRPr="00DF7505">
              <w:rPr>
                <w:color w:val="000000"/>
              </w:rPr>
              <w:t>23</w:t>
            </w:r>
          </w:p>
        </w:tc>
        <w:tc>
          <w:tcPr>
            <w:tcW w:w="0" w:type="auto"/>
          </w:tcPr>
          <w:p w:rsidR="002D3BAA" w:rsidRPr="00DF7505" w:rsidRDefault="002D3BAA" w:rsidP="005D6DAD">
            <w:pPr>
              <w:jc w:val="center"/>
              <w:rPr>
                <w:color w:val="000000"/>
              </w:rPr>
            </w:pPr>
            <w:r w:rsidRPr="00DF7505">
              <w:rPr>
                <w:color w:val="000000"/>
              </w:rPr>
              <w:t>0</w:t>
            </w:r>
          </w:p>
        </w:tc>
        <w:tc>
          <w:tcPr>
            <w:tcW w:w="0" w:type="auto"/>
          </w:tcPr>
          <w:p w:rsidR="002D3BAA" w:rsidRPr="00DF7505" w:rsidRDefault="002D3BAA" w:rsidP="005D6DAD">
            <w:pPr>
              <w:jc w:val="center"/>
              <w:rPr>
                <w:color w:val="000000"/>
              </w:rPr>
            </w:pPr>
            <w:r w:rsidRPr="00DF7505">
              <w:rPr>
                <w:color w:val="000000"/>
              </w:rPr>
              <w:t>45</w:t>
            </w:r>
          </w:p>
        </w:tc>
      </w:tr>
      <w:tr w:rsidR="002D3BAA" w:rsidRPr="00931AE3" w:rsidTr="005D6DAD">
        <w:tc>
          <w:tcPr>
            <w:tcW w:w="0" w:type="auto"/>
            <w:vAlign w:val="center"/>
          </w:tcPr>
          <w:p w:rsidR="002D3BAA" w:rsidRPr="00DF7505" w:rsidRDefault="002D3BAA" w:rsidP="005D6DAD">
            <w:pPr>
              <w:rPr>
                <w:color w:val="000000"/>
              </w:rPr>
            </w:pPr>
            <w:r w:rsidRPr="00984697">
              <w:rPr>
                <w:color w:val="000000"/>
                <w:lang w:val="en-US"/>
              </w:rPr>
              <w:t>Total</w:t>
            </w:r>
          </w:p>
        </w:tc>
        <w:tc>
          <w:tcPr>
            <w:tcW w:w="0" w:type="auto"/>
            <w:vAlign w:val="center"/>
          </w:tcPr>
          <w:p w:rsidR="002D3BAA" w:rsidRPr="00DF7505" w:rsidRDefault="002D3BAA" w:rsidP="005D6DAD">
            <w:pPr>
              <w:jc w:val="center"/>
              <w:rPr>
                <w:color w:val="000000"/>
              </w:rPr>
            </w:pPr>
            <w:r w:rsidRPr="00DF7505">
              <w:rPr>
                <w:color w:val="000000"/>
                <w:lang w:val="en-US"/>
              </w:rPr>
              <w:t>43</w:t>
            </w:r>
          </w:p>
        </w:tc>
        <w:tc>
          <w:tcPr>
            <w:tcW w:w="0" w:type="auto"/>
            <w:vAlign w:val="center"/>
          </w:tcPr>
          <w:p w:rsidR="002D3BAA" w:rsidRPr="00DF7505" w:rsidRDefault="002D3BAA" w:rsidP="005D6DAD">
            <w:pPr>
              <w:jc w:val="center"/>
              <w:rPr>
                <w:color w:val="000000"/>
              </w:rPr>
            </w:pPr>
            <w:r w:rsidRPr="00DF7505">
              <w:rPr>
                <w:color w:val="000000"/>
                <w:lang w:val="en-US"/>
              </w:rPr>
              <w:t>37</w:t>
            </w:r>
          </w:p>
        </w:tc>
        <w:tc>
          <w:tcPr>
            <w:tcW w:w="0" w:type="auto"/>
            <w:vAlign w:val="center"/>
          </w:tcPr>
          <w:p w:rsidR="002D3BAA" w:rsidRPr="00DF7505" w:rsidRDefault="002D3BAA" w:rsidP="005D6DAD">
            <w:pPr>
              <w:jc w:val="center"/>
              <w:rPr>
                <w:color w:val="000000"/>
              </w:rPr>
            </w:pPr>
            <w:r w:rsidRPr="00DF7505">
              <w:rPr>
                <w:color w:val="000000"/>
                <w:lang w:val="en-US"/>
              </w:rPr>
              <w:t>6</w:t>
            </w:r>
          </w:p>
        </w:tc>
        <w:tc>
          <w:tcPr>
            <w:tcW w:w="0" w:type="auto"/>
            <w:vAlign w:val="center"/>
          </w:tcPr>
          <w:p w:rsidR="002D3BAA" w:rsidRPr="00DF7505" w:rsidRDefault="002D3BAA" w:rsidP="005D6DAD">
            <w:pPr>
              <w:jc w:val="center"/>
              <w:rPr>
                <w:color w:val="000000"/>
              </w:rPr>
            </w:pPr>
            <w:r w:rsidRPr="00DF7505">
              <w:rPr>
                <w:color w:val="000000"/>
                <w:lang w:val="en-US"/>
              </w:rPr>
              <w:t>86</w:t>
            </w:r>
          </w:p>
        </w:tc>
      </w:tr>
      <w:tr w:rsidR="002D3BAA" w:rsidRPr="00931AE3" w:rsidTr="005D6DAD">
        <w:tc>
          <w:tcPr>
            <w:tcW w:w="0" w:type="auto"/>
            <w:gridSpan w:val="5"/>
          </w:tcPr>
          <w:p w:rsidR="002D3BAA" w:rsidRPr="00DF7505" w:rsidRDefault="002D3BAA" w:rsidP="005D6DAD">
            <w:pPr>
              <w:jc w:val="center"/>
            </w:pPr>
            <w:r w:rsidRPr="00984697">
              <w:t>Number of families</w:t>
            </w:r>
          </w:p>
        </w:tc>
      </w:tr>
      <w:tr w:rsidR="002D3BAA" w:rsidRPr="00931AE3" w:rsidTr="005D6DAD">
        <w:tc>
          <w:tcPr>
            <w:tcW w:w="0" w:type="auto"/>
          </w:tcPr>
          <w:p w:rsidR="002D3BAA" w:rsidRPr="00DF7505" w:rsidRDefault="002D3BAA" w:rsidP="005D6DAD">
            <w:pPr>
              <w:rPr>
                <w:color w:val="000000"/>
              </w:rPr>
            </w:pPr>
            <w:r w:rsidRPr="00984697">
              <w:rPr>
                <w:color w:val="000000"/>
              </w:rPr>
              <w:t>Rural</w:t>
            </w:r>
          </w:p>
        </w:tc>
        <w:tc>
          <w:tcPr>
            <w:tcW w:w="0" w:type="auto"/>
          </w:tcPr>
          <w:p w:rsidR="002D3BAA" w:rsidRPr="00DF7505" w:rsidRDefault="002D3BAA" w:rsidP="005D6DAD">
            <w:pPr>
              <w:jc w:val="center"/>
              <w:rPr>
                <w:color w:val="000000"/>
              </w:rPr>
            </w:pPr>
            <w:r w:rsidRPr="00DF7505">
              <w:rPr>
                <w:color w:val="000000"/>
              </w:rPr>
              <w:t>112</w:t>
            </w:r>
          </w:p>
        </w:tc>
        <w:tc>
          <w:tcPr>
            <w:tcW w:w="0" w:type="auto"/>
          </w:tcPr>
          <w:p w:rsidR="002D3BAA" w:rsidRPr="00DF7505" w:rsidRDefault="002D3BAA" w:rsidP="005D6DAD">
            <w:pPr>
              <w:jc w:val="center"/>
              <w:rPr>
                <w:color w:val="000000"/>
              </w:rPr>
            </w:pPr>
            <w:r w:rsidRPr="00DF7505">
              <w:rPr>
                <w:color w:val="000000"/>
              </w:rPr>
              <w:t>50</w:t>
            </w:r>
          </w:p>
        </w:tc>
        <w:tc>
          <w:tcPr>
            <w:tcW w:w="0" w:type="auto"/>
          </w:tcPr>
          <w:p w:rsidR="002D3BAA" w:rsidRPr="00DF7505" w:rsidRDefault="002D3BAA" w:rsidP="005D6DAD">
            <w:pPr>
              <w:jc w:val="center"/>
              <w:rPr>
                <w:color w:val="000000"/>
              </w:rPr>
            </w:pPr>
            <w:r w:rsidRPr="00DF7505">
              <w:rPr>
                <w:color w:val="000000"/>
              </w:rPr>
              <w:t>35</w:t>
            </w:r>
          </w:p>
        </w:tc>
        <w:tc>
          <w:tcPr>
            <w:tcW w:w="0" w:type="auto"/>
          </w:tcPr>
          <w:p w:rsidR="002D3BAA" w:rsidRPr="00DF7505" w:rsidRDefault="002D3BAA" w:rsidP="005D6DAD">
            <w:pPr>
              <w:jc w:val="center"/>
              <w:rPr>
                <w:color w:val="000000"/>
              </w:rPr>
            </w:pPr>
            <w:r w:rsidRPr="00DF7505">
              <w:rPr>
                <w:color w:val="000000"/>
              </w:rPr>
              <w:t>197</w:t>
            </w:r>
          </w:p>
        </w:tc>
      </w:tr>
      <w:tr w:rsidR="002D3BAA" w:rsidRPr="00931AE3" w:rsidTr="005D6DAD">
        <w:tc>
          <w:tcPr>
            <w:tcW w:w="0" w:type="auto"/>
          </w:tcPr>
          <w:p w:rsidR="002D3BAA" w:rsidRPr="00DF7505" w:rsidRDefault="002D3BAA" w:rsidP="005D6DAD">
            <w:pPr>
              <w:rPr>
                <w:color w:val="000000"/>
              </w:rPr>
            </w:pPr>
            <w:r w:rsidRPr="00984697">
              <w:rPr>
                <w:color w:val="000000"/>
              </w:rPr>
              <w:t>Urban</w:t>
            </w:r>
          </w:p>
        </w:tc>
        <w:tc>
          <w:tcPr>
            <w:tcW w:w="0" w:type="auto"/>
          </w:tcPr>
          <w:p w:rsidR="002D3BAA" w:rsidRPr="00DF7505" w:rsidRDefault="002D3BAA" w:rsidP="005D6DAD">
            <w:pPr>
              <w:jc w:val="center"/>
              <w:rPr>
                <w:color w:val="000000"/>
              </w:rPr>
            </w:pPr>
            <w:r w:rsidRPr="00DF7505">
              <w:rPr>
                <w:color w:val="000000"/>
              </w:rPr>
              <w:t>101</w:t>
            </w:r>
          </w:p>
        </w:tc>
        <w:tc>
          <w:tcPr>
            <w:tcW w:w="0" w:type="auto"/>
          </w:tcPr>
          <w:p w:rsidR="002D3BAA" w:rsidRPr="00DF7505" w:rsidRDefault="002D3BAA" w:rsidP="005D6DAD">
            <w:pPr>
              <w:jc w:val="center"/>
              <w:rPr>
                <w:color w:val="000000"/>
              </w:rPr>
            </w:pPr>
            <w:r w:rsidRPr="00DF7505">
              <w:rPr>
                <w:color w:val="000000"/>
              </w:rPr>
              <w:t>105</w:t>
            </w:r>
          </w:p>
        </w:tc>
        <w:tc>
          <w:tcPr>
            <w:tcW w:w="0" w:type="auto"/>
          </w:tcPr>
          <w:p w:rsidR="002D3BAA" w:rsidRPr="00DF7505" w:rsidRDefault="002D3BAA" w:rsidP="005D6DAD">
            <w:pPr>
              <w:jc w:val="center"/>
              <w:rPr>
                <w:color w:val="000000"/>
              </w:rPr>
            </w:pPr>
            <w:r w:rsidRPr="00DF7505">
              <w:rPr>
                <w:color w:val="000000"/>
              </w:rPr>
              <w:t>0</w:t>
            </w:r>
          </w:p>
        </w:tc>
        <w:tc>
          <w:tcPr>
            <w:tcW w:w="0" w:type="auto"/>
          </w:tcPr>
          <w:p w:rsidR="002D3BAA" w:rsidRPr="00DF7505" w:rsidRDefault="002D3BAA" w:rsidP="005D6DAD">
            <w:pPr>
              <w:jc w:val="center"/>
              <w:rPr>
                <w:color w:val="000000"/>
              </w:rPr>
            </w:pPr>
            <w:r w:rsidRPr="00DF7505">
              <w:rPr>
                <w:color w:val="000000"/>
              </w:rPr>
              <w:t>206</w:t>
            </w:r>
          </w:p>
        </w:tc>
      </w:tr>
      <w:tr w:rsidR="002D3BAA" w:rsidRPr="00931AE3" w:rsidTr="005D6DAD">
        <w:tc>
          <w:tcPr>
            <w:tcW w:w="0" w:type="auto"/>
            <w:vAlign w:val="center"/>
          </w:tcPr>
          <w:p w:rsidR="002D3BAA" w:rsidRPr="00DF7505" w:rsidRDefault="002D3BAA" w:rsidP="005D6DAD">
            <w:pPr>
              <w:rPr>
                <w:color w:val="000000"/>
              </w:rPr>
            </w:pPr>
            <w:r w:rsidRPr="00984697">
              <w:rPr>
                <w:color w:val="000000"/>
                <w:lang w:val="en-US"/>
              </w:rPr>
              <w:t>Total</w:t>
            </w:r>
          </w:p>
        </w:tc>
        <w:tc>
          <w:tcPr>
            <w:tcW w:w="0" w:type="auto"/>
            <w:vAlign w:val="center"/>
          </w:tcPr>
          <w:p w:rsidR="002D3BAA" w:rsidRPr="00DF7505" w:rsidRDefault="002D3BAA" w:rsidP="005D6DAD">
            <w:pPr>
              <w:jc w:val="center"/>
              <w:rPr>
                <w:color w:val="000000"/>
              </w:rPr>
            </w:pPr>
            <w:r w:rsidRPr="00DF7505">
              <w:rPr>
                <w:color w:val="000000"/>
              </w:rPr>
              <w:t>213</w:t>
            </w:r>
          </w:p>
        </w:tc>
        <w:tc>
          <w:tcPr>
            <w:tcW w:w="0" w:type="auto"/>
            <w:vAlign w:val="center"/>
          </w:tcPr>
          <w:p w:rsidR="002D3BAA" w:rsidRPr="00DF7505" w:rsidRDefault="002D3BAA" w:rsidP="005D6DAD">
            <w:pPr>
              <w:jc w:val="center"/>
              <w:rPr>
                <w:color w:val="000000"/>
              </w:rPr>
            </w:pPr>
            <w:r w:rsidRPr="00DF7505">
              <w:rPr>
                <w:color w:val="000000"/>
              </w:rPr>
              <w:t>155</w:t>
            </w:r>
          </w:p>
        </w:tc>
        <w:tc>
          <w:tcPr>
            <w:tcW w:w="0" w:type="auto"/>
            <w:vAlign w:val="center"/>
          </w:tcPr>
          <w:p w:rsidR="002D3BAA" w:rsidRPr="00DF7505" w:rsidRDefault="002D3BAA" w:rsidP="005D6DAD">
            <w:pPr>
              <w:jc w:val="center"/>
              <w:rPr>
                <w:color w:val="000000"/>
              </w:rPr>
            </w:pPr>
            <w:r w:rsidRPr="00DF7505">
              <w:rPr>
                <w:color w:val="000000"/>
              </w:rPr>
              <w:t>35</w:t>
            </w:r>
          </w:p>
        </w:tc>
        <w:tc>
          <w:tcPr>
            <w:tcW w:w="0" w:type="auto"/>
            <w:vAlign w:val="center"/>
          </w:tcPr>
          <w:p w:rsidR="002D3BAA" w:rsidRPr="00DF7505" w:rsidRDefault="002D3BAA" w:rsidP="005D6DAD">
            <w:pPr>
              <w:jc w:val="center"/>
              <w:rPr>
                <w:color w:val="000000"/>
              </w:rPr>
            </w:pPr>
            <w:r w:rsidRPr="00DF7505">
              <w:rPr>
                <w:color w:val="000000"/>
              </w:rPr>
              <w:t>403</w:t>
            </w:r>
          </w:p>
        </w:tc>
      </w:tr>
      <w:tr w:rsidR="002D3BAA" w:rsidRPr="00931AE3" w:rsidTr="005D6DAD">
        <w:tc>
          <w:tcPr>
            <w:tcW w:w="0" w:type="auto"/>
            <w:gridSpan w:val="5"/>
          </w:tcPr>
          <w:p w:rsidR="002D3BAA" w:rsidRPr="00DF7505" w:rsidRDefault="002D3BAA" w:rsidP="005D6DAD">
            <w:pPr>
              <w:jc w:val="center"/>
            </w:pPr>
            <w:r w:rsidRPr="00984697">
              <w:t>Number of community leaders</w:t>
            </w:r>
          </w:p>
        </w:tc>
      </w:tr>
      <w:tr w:rsidR="002D3BAA" w:rsidRPr="00931AE3" w:rsidTr="005D6DAD">
        <w:tc>
          <w:tcPr>
            <w:tcW w:w="0" w:type="auto"/>
          </w:tcPr>
          <w:p w:rsidR="002D3BAA" w:rsidRPr="00DF7505" w:rsidRDefault="002D3BAA" w:rsidP="005D6DAD">
            <w:pPr>
              <w:rPr>
                <w:color w:val="000000"/>
              </w:rPr>
            </w:pPr>
            <w:r w:rsidRPr="00984697">
              <w:rPr>
                <w:color w:val="000000"/>
              </w:rPr>
              <w:t>Rural</w:t>
            </w:r>
          </w:p>
        </w:tc>
        <w:tc>
          <w:tcPr>
            <w:tcW w:w="0" w:type="auto"/>
          </w:tcPr>
          <w:p w:rsidR="002D3BAA" w:rsidRPr="00DF7505" w:rsidRDefault="002D3BAA" w:rsidP="005D6DAD">
            <w:pPr>
              <w:jc w:val="center"/>
              <w:rPr>
                <w:color w:val="000000"/>
              </w:rPr>
            </w:pPr>
            <w:r w:rsidRPr="00DF7505">
              <w:rPr>
                <w:color w:val="000000"/>
              </w:rPr>
              <w:t>38</w:t>
            </w:r>
          </w:p>
        </w:tc>
        <w:tc>
          <w:tcPr>
            <w:tcW w:w="0" w:type="auto"/>
          </w:tcPr>
          <w:p w:rsidR="002D3BAA" w:rsidRPr="00DF7505" w:rsidRDefault="002D3BAA" w:rsidP="005D6DAD">
            <w:pPr>
              <w:jc w:val="center"/>
              <w:rPr>
                <w:color w:val="000000"/>
              </w:rPr>
            </w:pPr>
            <w:r w:rsidRPr="00DF7505">
              <w:rPr>
                <w:color w:val="000000"/>
              </w:rPr>
              <w:t>0</w:t>
            </w:r>
          </w:p>
        </w:tc>
        <w:tc>
          <w:tcPr>
            <w:tcW w:w="0" w:type="auto"/>
          </w:tcPr>
          <w:p w:rsidR="002D3BAA" w:rsidRPr="00DF7505" w:rsidRDefault="002D3BAA" w:rsidP="005D6DAD">
            <w:pPr>
              <w:jc w:val="center"/>
              <w:rPr>
                <w:color w:val="000000"/>
              </w:rPr>
            </w:pPr>
            <w:r w:rsidRPr="00DF7505">
              <w:rPr>
                <w:color w:val="000000"/>
              </w:rPr>
              <w:t>7</w:t>
            </w:r>
          </w:p>
        </w:tc>
        <w:tc>
          <w:tcPr>
            <w:tcW w:w="0" w:type="auto"/>
          </w:tcPr>
          <w:p w:rsidR="002D3BAA" w:rsidRPr="00DF7505" w:rsidRDefault="002D3BAA" w:rsidP="005D6DAD">
            <w:pPr>
              <w:jc w:val="center"/>
              <w:rPr>
                <w:color w:val="000000"/>
              </w:rPr>
            </w:pPr>
            <w:r w:rsidRPr="00DF7505">
              <w:rPr>
                <w:color w:val="000000"/>
              </w:rPr>
              <w:t>45</w:t>
            </w:r>
          </w:p>
        </w:tc>
      </w:tr>
      <w:tr w:rsidR="002D3BAA" w:rsidRPr="00931AE3" w:rsidTr="005D6DAD">
        <w:tc>
          <w:tcPr>
            <w:tcW w:w="0" w:type="auto"/>
          </w:tcPr>
          <w:p w:rsidR="002D3BAA" w:rsidRPr="00DF7505" w:rsidRDefault="002D3BAA" w:rsidP="005D6DAD">
            <w:pPr>
              <w:rPr>
                <w:color w:val="000000"/>
              </w:rPr>
            </w:pPr>
            <w:r w:rsidRPr="00984697">
              <w:rPr>
                <w:color w:val="000000"/>
              </w:rPr>
              <w:t>Urban</w:t>
            </w:r>
          </w:p>
        </w:tc>
        <w:tc>
          <w:tcPr>
            <w:tcW w:w="0" w:type="auto"/>
          </w:tcPr>
          <w:p w:rsidR="002D3BAA" w:rsidRPr="00DF7505" w:rsidRDefault="002D3BAA" w:rsidP="005D6DAD">
            <w:pPr>
              <w:jc w:val="center"/>
              <w:rPr>
                <w:color w:val="000000"/>
              </w:rPr>
            </w:pPr>
            <w:r w:rsidRPr="00DF7505">
              <w:rPr>
                <w:color w:val="000000"/>
              </w:rPr>
              <w:t>25</w:t>
            </w:r>
          </w:p>
        </w:tc>
        <w:tc>
          <w:tcPr>
            <w:tcW w:w="0" w:type="auto"/>
          </w:tcPr>
          <w:p w:rsidR="002D3BAA" w:rsidRPr="00DF7505" w:rsidRDefault="002D3BAA" w:rsidP="005D6DAD">
            <w:pPr>
              <w:jc w:val="center"/>
              <w:rPr>
                <w:color w:val="000000"/>
              </w:rPr>
            </w:pPr>
            <w:r w:rsidRPr="00DF7505">
              <w:rPr>
                <w:color w:val="000000"/>
              </w:rPr>
              <w:t>0</w:t>
            </w:r>
          </w:p>
        </w:tc>
        <w:tc>
          <w:tcPr>
            <w:tcW w:w="0" w:type="auto"/>
          </w:tcPr>
          <w:p w:rsidR="002D3BAA" w:rsidRPr="00DF7505" w:rsidRDefault="002D3BAA" w:rsidP="005D6DAD">
            <w:pPr>
              <w:jc w:val="center"/>
              <w:rPr>
                <w:color w:val="000000"/>
              </w:rPr>
            </w:pPr>
            <w:r w:rsidRPr="00DF7505">
              <w:rPr>
                <w:color w:val="000000"/>
              </w:rPr>
              <w:t>0</w:t>
            </w:r>
          </w:p>
        </w:tc>
        <w:tc>
          <w:tcPr>
            <w:tcW w:w="0" w:type="auto"/>
          </w:tcPr>
          <w:p w:rsidR="002D3BAA" w:rsidRPr="00DF7505" w:rsidRDefault="002D3BAA" w:rsidP="005D6DAD">
            <w:pPr>
              <w:jc w:val="center"/>
              <w:rPr>
                <w:color w:val="000000"/>
              </w:rPr>
            </w:pPr>
            <w:r w:rsidRPr="00DF7505">
              <w:rPr>
                <w:color w:val="000000"/>
              </w:rPr>
              <w:t>25</w:t>
            </w:r>
          </w:p>
        </w:tc>
      </w:tr>
      <w:tr w:rsidR="002D3BAA" w:rsidRPr="00931AE3" w:rsidTr="005D6DAD">
        <w:tc>
          <w:tcPr>
            <w:tcW w:w="0" w:type="auto"/>
            <w:vAlign w:val="center"/>
          </w:tcPr>
          <w:p w:rsidR="002D3BAA" w:rsidRPr="00DF7505" w:rsidRDefault="002D3BAA" w:rsidP="005D6DAD">
            <w:pPr>
              <w:rPr>
                <w:color w:val="000000"/>
              </w:rPr>
            </w:pPr>
            <w:r w:rsidRPr="00984697">
              <w:rPr>
                <w:color w:val="000000"/>
                <w:lang w:val="en-US"/>
              </w:rPr>
              <w:t>Total</w:t>
            </w:r>
          </w:p>
        </w:tc>
        <w:tc>
          <w:tcPr>
            <w:tcW w:w="0" w:type="auto"/>
            <w:vAlign w:val="center"/>
          </w:tcPr>
          <w:p w:rsidR="002D3BAA" w:rsidRPr="00DF7505" w:rsidRDefault="002D3BAA" w:rsidP="005D6DAD">
            <w:pPr>
              <w:jc w:val="center"/>
              <w:rPr>
                <w:color w:val="000000"/>
              </w:rPr>
            </w:pPr>
            <w:r w:rsidRPr="00DF7505">
              <w:rPr>
                <w:color w:val="000000"/>
              </w:rPr>
              <w:t>63</w:t>
            </w:r>
          </w:p>
        </w:tc>
        <w:tc>
          <w:tcPr>
            <w:tcW w:w="0" w:type="auto"/>
            <w:vAlign w:val="center"/>
          </w:tcPr>
          <w:p w:rsidR="002D3BAA" w:rsidRPr="00DF7505" w:rsidRDefault="002D3BAA" w:rsidP="005D6DAD">
            <w:pPr>
              <w:jc w:val="center"/>
              <w:rPr>
                <w:color w:val="000000"/>
              </w:rPr>
            </w:pPr>
            <w:r w:rsidRPr="00DF7505">
              <w:rPr>
                <w:color w:val="000000"/>
              </w:rPr>
              <w:t>0</w:t>
            </w:r>
          </w:p>
        </w:tc>
        <w:tc>
          <w:tcPr>
            <w:tcW w:w="0" w:type="auto"/>
            <w:vAlign w:val="center"/>
          </w:tcPr>
          <w:p w:rsidR="002D3BAA" w:rsidRPr="00DF7505" w:rsidRDefault="002D3BAA" w:rsidP="005D6DAD">
            <w:pPr>
              <w:jc w:val="center"/>
              <w:rPr>
                <w:color w:val="000000"/>
              </w:rPr>
            </w:pPr>
            <w:r w:rsidRPr="00DF7505">
              <w:rPr>
                <w:color w:val="000000"/>
              </w:rPr>
              <w:t>7</w:t>
            </w:r>
          </w:p>
        </w:tc>
        <w:tc>
          <w:tcPr>
            <w:tcW w:w="0" w:type="auto"/>
            <w:vAlign w:val="center"/>
          </w:tcPr>
          <w:p w:rsidR="002D3BAA" w:rsidRPr="00DF7505" w:rsidRDefault="002D3BAA" w:rsidP="005D6DAD">
            <w:pPr>
              <w:jc w:val="center"/>
              <w:rPr>
                <w:color w:val="000000"/>
              </w:rPr>
            </w:pPr>
            <w:r w:rsidRPr="00DF7505">
              <w:rPr>
                <w:color w:val="000000"/>
              </w:rPr>
              <w:t>70</w:t>
            </w:r>
          </w:p>
        </w:tc>
      </w:tr>
    </w:tbl>
    <w:p w:rsidR="002D3BAA" w:rsidRPr="00931AE3" w:rsidRDefault="002D3BAA" w:rsidP="002D3BAA">
      <w:r w:rsidRPr="00931AE3">
        <w:t xml:space="preserve">Note: Private schools include madrassas (Udaipur) and ‘aided’ as well as ‘unrecognised’ schools (Patna). </w:t>
      </w:r>
    </w:p>
    <w:p w:rsidR="002D3BAA" w:rsidRDefault="002D3BAA" w:rsidP="00001553"/>
    <w:p w:rsidR="00001553" w:rsidRDefault="002D3BAA" w:rsidP="00001553">
      <w:r>
        <w:t>Table 2</w:t>
      </w:r>
      <w:r w:rsidR="00001553">
        <w:t xml:space="preserve"> provides summary background statistics regarding the 403 families surveyed. </w:t>
      </w:r>
      <w:r>
        <w:t xml:space="preserve">The information it presents derives from surveys of 403 families chosen through modified clustered stratified random sampling. </w:t>
      </w:r>
      <w:r w:rsidR="00001553">
        <w:t xml:space="preserve">The majority of families were from disadvantaged social groups. Further, for most of them the income source was unstable and located in the ‘informal’ sector, with only 18 percent having salaried employment. </w:t>
      </w:r>
      <w:r w:rsidR="00001553" w:rsidRPr="00931AE3">
        <w:t>In the rural cluster</w:t>
      </w:r>
      <w:r w:rsidR="00001553">
        <w:t>s,</w:t>
      </w:r>
      <w:r w:rsidR="00001553" w:rsidRPr="00931AE3">
        <w:t xml:space="preserve"> </w:t>
      </w:r>
      <w:r w:rsidR="00001553">
        <w:t xml:space="preserve">a large number of </w:t>
      </w:r>
      <w:r w:rsidR="00001553" w:rsidRPr="00931AE3">
        <w:t xml:space="preserve">adults engage </w:t>
      </w:r>
      <w:r w:rsidR="00001553">
        <w:t xml:space="preserve">either </w:t>
      </w:r>
      <w:r w:rsidR="00001553" w:rsidRPr="00931AE3">
        <w:t>in agriculture-related work</w:t>
      </w:r>
      <w:r w:rsidR="00001553">
        <w:t>, with some migration. T</w:t>
      </w:r>
      <w:r w:rsidR="00001553" w:rsidRPr="00931AE3">
        <w:t>he urban cluster</w:t>
      </w:r>
      <w:r w:rsidR="00001553">
        <w:t>s are</w:t>
      </w:r>
      <w:r w:rsidR="00001553" w:rsidRPr="00931AE3">
        <w:t xml:space="preserve"> </w:t>
      </w:r>
      <w:r w:rsidR="00001553" w:rsidRPr="00931AE3">
        <w:rPr>
          <w:rFonts w:eastAsia="Times New Roman"/>
        </w:rPr>
        <w:t>commercial and residential neighbourhood</w:t>
      </w:r>
      <w:r w:rsidR="00001553">
        <w:rPr>
          <w:rFonts w:eastAsia="Times New Roman"/>
        </w:rPr>
        <w:t>s</w:t>
      </w:r>
      <w:r w:rsidR="00001553" w:rsidRPr="00931AE3">
        <w:rPr>
          <w:rFonts w:eastAsia="Times New Roman"/>
        </w:rPr>
        <w:t xml:space="preserve"> </w:t>
      </w:r>
      <w:r w:rsidR="00001553">
        <w:t xml:space="preserve">in </w:t>
      </w:r>
      <w:r w:rsidR="00001553" w:rsidRPr="00931AE3">
        <w:t>heterogeneously populated area</w:t>
      </w:r>
      <w:r w:rsidR="00001553">
        <w:t>s;</w:t>
      </w:r>
      <w:r w:rsidR="00001553" w:rsidRPr="00931AE3">
        <w:t xml:space="preserve"> men </w:t>
      </w:r>
      <w:r w:rsidR="00001553">
        <w:t xml:space="preserve">work in occupations such </w:t>
      </w:r>
      <w:r w:rsidR="00001553" w:rsidRPr="00931AE3">
        <w:t>as rickshaw driv</w:t>
      </w:r>
      <w:r w:rsidR="00001553">
        <w:t>ing and</w:t>
      </w:r>
      <w:r w:rsidR="00001553" w:rsidRPr="00931AE3">
        <w:t xml:space="preserve"> vegetable vend</w:t>
      </w:r>
      <w:r w:rsidR="00001553">
        <w:t>ing</w:t>
      </w:r>
      <w:r w:rsidR="00001553" w:rsidRPr="00931AE3">
        <w:t xml:space="preserve">, and women </w:t>
      </w:r>
      <w:r w:rsidR="00001553">
        <w:t xml:space="preserve">typically work </w:t>
      </w:r>
      <w:r w:rsidR="00001553" w:rsidRPr="00931AE3">
        <w:t>as domestic maids or in home-based handicrafts and tailoring work.</w:t>
      </w:r>
      <w:r w:rsidR="00001553">
        <w:t xml:space="preserve"> In both rural and urban areas, many families work as </w:t>
      </w:r>
      <w:r w:rsidR="00001553" w:rsidRPr="00931AE3">
        <w:t>daily wage labourers in</w:t>
      </w:r>
      <w:r w:rsidR="00001553">
        <w:t xml:space="preserve"> agriculture, construction and hotel industries.</w:t>
      </w:r>
    </w:p>
    <w:p w:rsidR="00001553" w:rsidRPr="005D6DAD" w:rsidRDefault="002D3BAA" w:rsidP="00001553">
      <w:pPr>
        <w:pStyle w:val="Heading4"/>
      </w:pPr>
      <w:r>
        <w:t>Table 2</w:t>
      </w:r>
      <w:r w:rsidR="00001553" w:rsidRPr="005D6DAD">
        <w:t>: Backgrounds of surveyed families</w:t>
      </w:r>
    </w:p>
    <w:tbl>
      <w:tblPr>
        <w:tblStyle w:val="TableGrid"/>
        <w:tblW w:w="0" w:type="auto"/>
        <w:tblLook w:val="04A0" w:firstRow="1" w:lastRow="0" w:firstColumn="1" w:lastColumn="0" w:noHBand="0" w:noVBand="1"/>
      </w:tblPr>
      <w:tblGrid>
        <w:gridCol w:w="2677"/>
        <w:gridCol w:w="1256"/>
        <w:gridCol w:w="222"/>
        <w:gridCol w:w="2516"/>
        <w:gridCol w:w="1256"/>
      </w:tblGrid>
      <w:tr w:rsidR="00001553" w:rsidRPr="00931AE3" w:rsidTr="005D6DAD">
        <w:tc>
          <w:tcPr>
            <w:tcW w:w="0" w:type="auto"/>
            <w:gridSpan w:val="2"/>
          </w:tcPr>
          <w:p w:rsidR="00001553" w:rsidRPr="00931AE3" w:rsidRDefault="00001553" w:rsidP="005D6DAD">
            <w:pPr>
              <w:jc w:val="center"/>
              <w:rPr>
                <w:color w:val="000000"/>
              </w:rPr>
            </w:pPr>
            <w:r w:rsidRPr="00931AE3">
              <w:rPr>
                <w:color w:val="000000"/>
              </w:rPr>
              <w:t>Social group</w:t>
            </w:r>
          </w:p>
        </w:tc>
        <w:tc>
          <w:tcPr>
            <w:tcW w:w="0" w:type="auto"/>
            <w:vMerge w:val="restart"/>
          </w:tcPr>
          <w:p w:rsidR="00001553" w:rsidRPr="00931AE3" w:rsidRDefault="00001553" w:rsidP="005D6DAD">
            <w:pPr>
              <w:jc w:val="center"/>
            </w:pPr>
          </w:p>
        </w:tc>
        <w:tc>
          <w:tcPr>
            <w:tcW w:w="0" w:type="auto"/>
            <w:gridSpan w:val="2"/>
          </w:tcPr>
          <w:p w:rsidR="00001553" w:rsidRPr="00931AE3" w:rsidRDefault="00001553" w:rsidP="005D6DAD">
            <w:pPr>
              <w:jc w:val="center"/>
              <w:rPr>
                <w:color w:val="000000"/>
              </w:rPr>
            </w:pPr>
            <w:r w:rsidRPr="00931AE3">
              <w:rPr>
                <w:color w:val="000000"/>
              </w:rPr>
              <w:t>Occupation</w:t>
            </w:r>
          </w:p>
        </w:tc>
      </w:tr>
      <w:tr w:rsidR="00001553" w:rsidRPr="00931AE3" w:rsidTr="005D6DAD">
        <w:tc>
          <w:tcPr>
            <w:tcW w:w="0" w:type="auto"/>
          </w:tcPr>
          <w:p w:rsidR="00001553" w:rsidRPr="00931AE3" w:rsidRDefault="00001553" w:rsidP="005D6DAD"/>
        </w:tc>
        <w:tc>
          <w:tcPr>
            <w:tcW w:w="0" w:type="auto"/>
          </w:tcPr>
          <w:p w:rsidR="00001553" w:rsidRPr="00931AE3" w:rsidRDefault="00001553" w:rsidP="005D6DAD">
            <w:pPr>
              <w:jc w:val="center"/>
              <w:rPr>
                <w:color w:val="000000"/>
              </w:rPr>
            </w:pPr>
            <w:r w:rsidRPr="00931AE3">
              <w:rPr>
                <w:color w:val="000000"/>
              </w:rPr>
              <w:t>percentage</w:t>
            </w:r>
          </w:p>
        </w:tc>
        <w:tc>
          <w:tcPr>
            <w:tcW w:w="0" w:type="auto"/>
            <w:vMerge/>
          </w:tcPr>
          <w:p w:rsidR="00001553" w:rsidRPr="00931AE3" w:rsidRDefault="00001553" w:rsidP="005D6DAD">
            <w:pPr>
              <w:jc w:val="center"/>
            </w:pPr>
          </w:p>
        </w:tc>
        <w:tc>
          <w:tcPr>
            <w:tcW w:w="0" w:type="auto"/>
          </w:tcPr>
          <w:p w:rsidR="00001553" w:rsidRPr="00931AE3" w:rsidRDefault="00001553" w:rsidP="005D6DAD"/>
        </w:tc>
        <w:tc>
          <w:tcPr>
            <w:tcW w:w="0" w:type="auto"/>
          </w:tcPr>
          <w:p w:rsidR="00001553" w:rsidRPr="00931AE3" w:rsidRDefault="00001553" w:rsidP="005D6DAD">
            <w:pPr>
              <w:jc w:val="center"/>
              <w:rPr>
                <w:color w:val="000000"/>
              </w:rPr>
            </w:pPr>
            <w:r w:rsidRPr="00931AE3">
              <w:rPr>
                <w:color w:val="000000"/>
              </w:rPr>
              <w:t>percentage</w:t>
            </w:r>
          </w:p>
        </w:tc>
      </w:tr>
      <w:tr w:rsidR="00001553" w:rsidRPr="00931AE3" w:rsidTr="005D6DAD">
        <w:tc>
          <w:tcPr>
            <w:tcW w:w="0" w:type="auto"/>
          </w:tcPr>
          <w:p w:rsidR="00001553" w:rsidRPr="00931AE3" w:rsidRDefault="00001553" w:rsidP="005D6DAD">
            <w:pPr>
              <w:rPr>
                <w:color w:val="000000"/>
              </w:rPr>
            </w:pPr>
            <w:r w:rsidRPr="00931AE3">
              <w:rPr>
                <w:color w:val="000000"/>
              </w:rPr>
              <w:t>ST</w:t>
            </w:r>
          </w:p>
        </w:tc>
        <w:tc>
          <w:tcPr>
            <w:tcW w:w="0" w:type="auto"/>
          </w:tcPr>
          <w:p w:rsidR="00001553" w:rsidRPr="00931AE3" w:rsidRDefault="00001553" w:rsidP="005D6DAD">
            <w:pPr>
              <w:jc w:val="center"/>
              <w:rPr>
                <w:color w:val="000000"/>
              </w:rPr>
            </w:pPr>
            <w:r w:rsidRPr="00931AE3">
              <w:rPr>
                <w:color w:val="000000"/>
              </w:rPr>
              <w:t>32</w:t>
            </w:r>
          </w:p>
        </w:tc>
        <w:tc>
          <w:tcPr>
            <w:tcW w:w="0" w:type="auto"/>
            <w:vMerge/>
          </w:tcPr>
          <w:p w:rsidR="00001553" w:rsidRPr="00931AE3" w:rsidRDefault="00001553" w:rsidP="005D6DAD">
            <w:pPr>
              <w:jc w:val="center"/>
            </w:pPr>
          </w:p>
        </w:tc>
        <w:tc>
          <w:tcPr>
            <w:tcW w:w="0" w:type="auto"/>
          </w:tcPr>
          <w:p w:rsidR="00001553" w:rsidRPr="00931AE3" w:rsidRDefault="00001553" w:rsidP="005D6DAD">
            <w:pPr>
              <w:rPr>
                <w:color w:val="000000"/>
              </w:rPr>
            </w:pPr>
            <w:r>
              <w:rPr>
                <w:color w:val="000000"/>
              </w:rPr>
              <w:t>Mainly f</w:t>
            </w:r>
            <w:r w:rsidRPr="00931AE3">
              <w:rPr>
                <w:color w:val="000000"/>
              </w:rPr>
              <w:t>arming</w:t>
            </w:r>
          </w:p>
        </w:tc>
        <w:tc>
          <w:tcPr>
            <w:tcW w:w="0" w:type="auto"/>
          </w:tcPr>
          <w:p w:rsidR="00001553" w:rsidRPr="00931AE3" w:rsidRDefault="00001553" w:rsidP="005D6DAD">
            <w:pPr>
              <w:jc w:val="center"/>
              <w:rPr>
                <w:color w:val="000000"/>
              </w:rPr>
            </w:pPr>
            <w:r w:rsidRPr="00931AE3">
              <w:rPr>
                <w:color w:val="000000"/>
              </w:rPr>
              <w:t>21</w:t>
            </w:r>
          </w:p>
        </w:tc>
      </w:tr>
      <w:tr w:rsidR="00001553" w:rsidRPr="00931AE3" w:rsidTr="005D6DAD">
        <w:tc>
          <w:tcPr>
            <w:tcW w:w="0" w:type="auto"/>
          </w:tcPr>
          <w:p w:rsidR="00001553" w:rsidRPr="00931AE3" w:rsidRDefault="00001553" w:rsidP="005D6DAD">
            <w:pPr>
              <w:rPr>
                <w:color w:val="000000"/>
              </w:rPr>
            </w:pPr>
            <w:r w:rsidRPr="00931AE3">
              <w:rPr>
                <w:color w:val="000000"/>
              </w:rPr>
              <w:t>SC (Hindu)</w:t>
            </w:r>
          </w:p>
        </w:tc>
        <w:tc>
          <w:tcPr>
            <w:tcW w:w="0" w:type="auto"/>
          </w:tcPr>
          <w:p w:rsidR="00001553" w:rsidRPr="00931AE3" w:rsidRDefault="00001553" w:rsidP="005D6DAD">
            <w:pPr>
              <w:jc w:val="center"/>
              <w:rPr>
                <w:color w:val="000000"/>
              </w:rPr>
            </w:pPr>
            <w:r w:rsidRPr="00931AE3">
              <w:rPr>
                <w:color w:val="000000"/>
              </w:rPr>
              <w:t>16</w:t>
            </w:r>
          </w:p>
        </w:tc>
        <w:tc>
          <w:tcPr>
            <w:tcW w:w="0" w:type="auto"/>
            <w:vMerge/>
          </w:tcPr>
          <w:p w:rsidR="00001553" w:rsidRPr="00931AE3" w:rsidRDefault="00001553" w:rsidP="005D6DAD">
            <w:pPr>
              <w:jc w:val="center"/>
            </w:pPr>
          </w:p>
        </w:tc>
        <w:tc>
          <w:tcPr>
            <w:tcW w:w="0" w:type="auto"/>
          </w:tcPr>
          <w:p w:rsidR="00001553" w:rsidRPr="00931AE3" w:rsidRDefault="00001553" w:rsidP="005D6DAD">
            <w:pPr>
              <w:rPr>
                <w:color w:val="000000"/>
              </w:rPr>
            </w:pPr>
            <w:r>
              <w:rPr>
                <w:color w:val="000000"/>
              </w:rPr>
              <w:t>Mainly w</w:t>
            </w:r>
            <w:r w:rsidRPr="00931AE3">
              <w:rPr>
                <w:color w:val="000000"/>
              </w:rPr>
              <w:t>age labour</w:t>
            </w:r>
          </w:p>
        </w:tc>
        <w:tc>
          <w:tcPr>
            <w:tcW w:w="0" w:type="auto"/>
          </w:tcPr>
          <w:p w:rsidR="00001553" w:rsidRPr="00931AE3" w:rsidRDefault="00001553" w:rsidP="005D6DAD">
            <w:pPr>
              <w:jc w:val="center"/>
              <w:rPr>
                <w:color w:val="000000"/>
              </w:rPr>
            </w:pPr>
            <w:r w:rsidRPr="00931AE3">
              <w:rPr>
                <w:color w:val="000000"/>
              </w:rPr>
              <w:t>19</w:t>
            </w:r>
          </w:p>
        </w:tc>
      </w:tr>
      <w:tr w:rsidR="00001553" w:rsidRPr="00931AE3" w:rsidTr="005D6DAD">
        <w:tc>
          <w:tcPr>
            <w:tcW w:w="0" w:type="auto"/>
          </w:tcPr>
          <w:p w:rsidR="00001553" w:rsidRPr="00931AE3" w:rsidRDefault="00001553" w:rsidP="005D6DAD">
            <w:pPr>
              <w:rPr>
                <w:color w:val="000000"/>
              </w:rPr>
            </w:pPr>
            <w:r w:rsidRPr="00931AE3">
              <w:rPr>
                <w:color w:val="000000"/>
              </w:rPr>
              <w:t>OBC (Hindu)</w:t>
            </w:r>
          </w:p>
        </w:tc>
        <w:tc>
          <w:tcPr>
            <w:tcW w:w="0" w:type="auto"/>
          </w:tcPr>
          <w:p w:rsidR="00001553" w:rsidRPr="00931AE3" w:rsidRDefault="00001553" w:rsidP="005D6DAD">
            <w:pPr>
              <w:jc w:val="center"/>
              <w:rPr>
                <w:color w:val="000000"/>
              </w:rPr>
            </w:pPr>
            <w:r w:rsidRPr="00931AE3">
              <w:rPr>
                <w:color w:val="000000"/>
              </w:rPr>
              <w:t>21</w:t>
            </w:r>
          </w:p>
        </w:tc>
        <w:tc>
          <w:tcPr>
            <w:tcW w:w="0" w:type="auto"/>
            <w:vMerge/>
          </w:tcPr>
          <w:p w:rsidR="00001553" w:rsidRPr="00931AE3" w:rsidRDefault="00001553" w:rsidP="005D6DAD">
            <w:pPr>
              <w:jc w:val="center"/>
            </w:pPr>
          </w:p>
        </w:tc>
        <w:tc>
          <w:tcPr>
            <w:tcW w:w="0" w:type="auto"/>
          </w:tcPr>
          <w:p w:rsidR="00001553" w:rsidRPr="00931AE3" w:rsidRDefault="00001553" w:rsidP="005D6DAD">
            <w:pPr>
              <w:rPr>
                <w:color w:val="000000"/>
              </w:rPr>
            </w:pPr>
            <w:r w:rsidRPr="00931AE3">
              <w:rPr>
                <w:color w:val="000000"/>
              </w:rPr>
              <w:t>Farming &amp; wage labour</w:t>
            </w:r>
          </w:p>
        </w:tc>
        <w:tc>
          <w:tcPr>
            <w:tcW w:w="0" w:type="auto"/>
          </w:tcPr>
          <w:p w:rsidR="00001553" w:rsidRPr="00931AE3" w:rsidRDefault="00001553" w:rsidP="005D6DAD">
            <w:pPr>
              <w:jc w:val="center"/>
              <w:rPr>
                <w:color w:val="000000"/>
              </w:rPr>
            </w:pPr>
            <w:r w:rsidRPr="00931AE3">
              <w:rPr>
                <w:color w:val="000000"/>
              </w:rPr>
              <w:t>13</w:t>
            </w:r>
          </w:p>
        </w:tc>
      </w:tr>
      <w:tr w:rsidR="00001553" w:rsidRPr="00931AE3" w:rsidTr="005D6DAD">
        <w:tc>
          <w:tcPr>
            <w:tcW w:w="0" w:type="auto"/>
          </w:tcPr>
          <w:p w:rsidR="00001553" w:rsidRPr="00931AE3" w:rsidRDefault="00001553" w:rsidP="005D6DAD">
            <w:pPr>
              <w:rPr>
                <w:color w:val="000000"/>
              </w:rPr>
            </w:pPr>
            <w:r w:rsidRPr="00931AE3">
              <w:rPr>
                <w:color w:val="000000"/>
              </w:rPr>
              <w:t>non-ST/SC/OBC (Hindu)</w:t>
            </w:r>
          </w:p>
        </w:tc>
        <w:tc>
          <w:tcPr>
            <w:tcW w:w="0" w:type="auto"/>
          </w:tcPr>
          <w:p w:rsidR="00001553" w:rsidRPr="00931AE3" w:rsidRDefault="00001553" w:rsidP="005D6DAD">
            <w:pPr>
              <w:jc w:val="center"/>
              <w:rPr>
                <w:color w:val="000000"/>
              </w:rPr>
            </w:pPr>
            <w:r w:rsidRPr="00931AE3">
              <w:rPr>
                <w:color w:val="000000"/>
              </w:rPr>
              <w:t>14</w:t>
            </w:r>
          </w:p>
        </w:tc>
        <w:tc>
          <w:tcPr>
            <w:tcW w:w="0" w:type="auto"/>
            <w:vMerge/>
          </w:tcPr>
          <w:p w:rsidR="00001553" w:rsidRPr="00931AE3" w:rsidRDefault="00001553" w:rsidP="005D6DAD">
            <w:pPr>
              <w:jc w:val="center"/>
            </w:pPr>
          </w:p>
        </w:tc>
        <w:tc>
          <w:tcPr>
            <w:tcW w:w="0" w:type="auto"/>
          </w:tcPr>
          <w:p w:rsidR="00001553" w:rsidRPr="00931AE3" w:rsidRDefault="00001553" w:rsidP="005D6DAD">
            <w:pPr>
              <w:rPr>
                <w:color w:val="000000"/>
              </w:rPr>
            </w:pPr>
            <w:r w:rsidRPr="00931AE3">
              <w:rPr>
                <w:color w:val="000000"/>
              </w:rPr>
              <w:t>Small business</w:t>
            </w:r>
          </w:p>
        </w:tc>
        <w:tc>
          <w:tcPr>
            <w:tcW w:w="0" w:type="auto"/>
          </w:tcPr>
          <w:p w:rsidR="00001553" w:rsidRPr="00931AE3" w:rsidRDefault="00001553" w:rsidP="005D6DAD">
            <w:pPr>
              <w:jc w:val="center"/>
              <w:rPr>
                <w:color w:val="000000"/>
              </w:rPr>
            </w:pPr>
            <w:r w:rsidRPr="00931AE3">
              <w:rPr>
                <w:color w:val="000000"/>
              </w:rPr>
              <w:t>18</w:t>
            </w:r>
          </w:p>
        </w:tc>
      </w:tr>
      <w:tr w:rsidR="00001553" w:rsidRPr="00931AE3" w:rsidTr="005D6DAD">
        <w:tc>
          <w:tcPr>
            <w:tcW w:w="0" w:type="auto"/>
          </w:tcPr>
          <w:p w:rsidR="00001553" w:rsidRPr="00931AE3" w:rsidRDefault="00001553" w:rsidP="005D6DAD">
            <w:pPr>
              <w:rPr>
                <w:color w:val="000000"/>
              </w:rPr>
            </w:pPr>
            <w:r w:rsidRPr="00931AE3">
              <w:rPr>
                <w:color w:val="000000"/>
              </w:rPr>
              <w:t>Muslim</w:t>
            </w:r>
          </w:p>
        </w:tc>
        <w:tc>
          <w:tcPr>
            <w:tcW w:w="0" w:type="auto"/>
          </w:tcPr>
          <w:p w:rsidR="00001553" w:rsidRPr="00931AE3" w:rsidRDefault="00001553" w:rsidP="005D6DAD">
            <w:pPr>
              <w:jc w:val="center"/>
              <w:rPr>
                <w:color w:val="000000"/>
              </w:rPr>
            </w:pPr>
            <w:r w:rsidRPr="00931AE3">
              <w:rPr>
                <w:color w:val="000000"/>
              </w:rPr>
              <w:t>15</w:t>
            </w:r>
          </w:p>
        </w:tc>
        <w:tc>
          <w:tcPr>
            <w:tcW w:w="0" w:type="auto"/>
            <w:vMerge/>
          </w:tcPr>
          <w:p w:rsidR="00001553" w:rsidRPr="00931AE3" w:rsidRDefault="00001553" w:rsidP="005D6DAD">
            <w:pPr>
              <w:jc w:val="center"/>
            </w:pPr>
          </w:p>
        </w:tc>
        <w:tc>
          <w:tcPr>
            <w:tcW w:w="0" w:type="auto"/>
          </w:tcPr>
          <w:p w:rsidR="00001553" w:rsidRPr="00931AE3" w:rsidRDefault="00001553" w:rsidP="005D6DAD">
            <w:pPr>
              <w:rPr>
                <w:color w:val="000000"/>
              </w:rPr>
            </w:pPr>
            <w:r w:rsidRPr="00931AE3">
              <w:rPr>
                <w:color w:val="000000"/>
              </w:rPr>
              <w:t>Salaried employment</w:t>
            </w:r>
          </w:p>
        </w:tc>
        <w:tc>
          <w:tcPr>
            <w:tcW w:w="0" w:type="auto"/>
          </w:tcPr>
          <w:p w:rsidR="00001553" w:rsidRPr="00931AE3" w:rsidRDefault="00001553" w:rsidP="005D6DAD">
            <w:pPr>
              <w:jc w:val="center"/>
              <w:rPr>
                <w:color w:val="000000"/>
              </w:rPr>
            </w:pPr>
            <w:r w:rsidRPr="00931AE3">
              <w:rPr>
                <w:color w:val="000000"/>
              </w:rPr>
              <w:t>18</w:t>
            </w:r>
          </w:p>
        </w:tc>
      </w:tr>
      <w:tr w:rsidR="00001553" w:rsidRPr="00931AE3" w:rsidTr="005D6DAD">
        <w:tc>
          <w:tcPr>
            <w:tcW w:w="0" w:type="auto"/>
          </w:tcPr>
          <w:p w:rsidR="00001553" w:rsidRPr="00931AE3" w:rsidRDefault="00001553" w:rsidP="005D6DAD">
            <w:pPr>
              <w:rPr>
                <w:color w:val="000000"/>
              </w:rPr>
            </w:pPr>
            <w:r w:rsidRPr="00931AE3">
              <w:rPr>
                <w:color w:val="000000"/>
              </w:rPr>
              <w:t>Other</w:t>
            </w:r>
          </w:p>
        </w:tc>
        <w:tc>
          <w:tcPr>
            <w:tcW w:w="0" w:type="auto"/>
          </w:tcPr>
          <w:p w:rsidR="00001553" w:rsidRPr="00931AE3" w:rsidRDefault="00001553" w:rsidP="005D6DAD">
            <w:pPr>
              <w:jc w:val="center"/>
              <w:rPr>
                <w:color w:val="000000"/>
              </w:rPr>
            </w:pPr>
            <w:r w:rsidRPr="00931AE3">
              <w:rPr>
                <w:color w:val="000000"/>
              </w:rPr>
              <w:t>2</w:t>
            </w:r>
          </w:p>
        </w:tc>
        <w:tc>
          <w:tcPr>
            <w:tcW w:w="0" w:type="auto"/>
            <w:vMerge/>
          </w:tcPr>
          <w:p w:rsidR="00001553" w:rsidRPr="00931AE3" w:rsidRDefault="00001553" w:rsidP="005D6DAD">
            <w:pPr>
              <w:jc w:val="center"/>
            </w:pPr>
          </w:p>
        </w:tc>
        <w:tc>
          <w:tcPr>
            <w:tcW w:w="0" w:type="auto"/>
          </w:tcPr>
          <w:p w:rsidR="00001553" w:rsidRPr="00931AE3" w:rsidRDefault="00001553" w:rsidP="005D6DAD">
            <w:pPr>
              <w:rPr>
                <w:color w:val="000000"/>
              </w:rPr>
            </w:pPr>
            <w:r w:rsidRPr="00931AE3">
              <w:rPr>
                <w:color w:val="000000"/>
              </w:rPr>
              <w:t>Other</w:t>
            </w:r>
          </w:p>
        </w:tc>
        <w:tc>
          <w:tcPr>
            <w:tcW w:w="0" w:type="auto"/>
          </w:tcPr>
          <w:p w:rsidR="00001553" w:rsidRPr="00931AE3" w:rsidRDefault="00001553" w:rsidP="005D6DAD">
            <w:pPr>
              <w:jc w:val="center"/>
              <w:rPr>
                <w:color w:val="000000"/>
              </w:rPr>
            </w:pPr>
            <w:r w:rsidRPr="00931AE3">
              <w:rPr>
                <w:color w:val="000000"/>
              </w:rPr>
              <w:t>11</w:t>
            </w:r>
          </w:p>
        </w:tc>
      </w:tr>
    </w:tbl>
    <w:p w:rsidR="00001553" w:rsidRDefault="00001553" w:rsidP="00280788"/>
    <w:p w:rsidR="002766CF" w:rsidRDefault="002766CF" w:rsidP="00280788">
      <w:bookmarkStart w:id="0" w:name="_GoBack"/>
      <w:bookmarkEnd w:id="0"/>
    </w:p>
    <w:sectPr w:rsidR="002766C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2B3" w:rsidRDefault="00D112B3" w:rsidP="00280788">
      <w:pPr>
        <w:spacing w:after="0" w:line="240" w:lineRule="auto"/>
      </w:pPr>
      <w:r>
        <w:separator/>
      </w:r>
    </w:p>
  </w:endnote>
  <w:endnote w:type="continuationSeparator" w:id="0">
    <w:p w:rsidR="00D112B3" w:rsidRDefault="00D112B3" w:rsidP="00280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venir">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2B3" w:rsidRDefault="00D112B3" w:rsidP="00280788">
      <w:pPr>
        <w:spacing w:after="0" w:line="240" w:lineRule="auto"/>
      </w:pPr>
      <w:r>
        <w:separator/>
      </w:r>
    </w:p>
  </w:footnote>
  <w:footnote w:type="continuationSeparator" w:id="0">
    <w:p w:rsidR="00D112B3" w:rsidRDefault="00D112B3" w:rsidP="002807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281"/>
    <w:rsid w:val="00001553"/>
    <w:rsid w:val="001876A4"/>
    <w:rsid w:val="002766CF"/>
    <w:rsid w:val="00280788"/>
    <w:rsid w:val="002D31E7"/>
    <w:rsid w:val="002D3BAA"/>
    <w:rsid w:val="00323291"/>
    <w:rsid w:val="00562281"/>
    <w:rsid w:val="00680EC1"/>
    <w:rsid w:val="00976D43"/>
    <w:rsid w:val="00A162BF"/>
    <w:rsid w:val="00BC6F10"/>
    <w:rsid w:val="00C11A11"/>
    <w:rsid w:val="00C7718E"/>
    <w:rsid w:val="00CA3784"/>
    <w:rsid w:val="00D112B3"/>
    <w:rsid w:val="00D90D96"/>
    <w:rsid w:val="00F25F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 w:eastAsia="en-GB"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2BF"/>
    <w:rPr>
      <w:rFonts w:ascii="Times New Roman" w:hAnsi="Times New Roman"/>
      <w:sz w:val="24"/>
      <w:szCs w:val="24"/>
      <w:lang w:val="en-GB" w:eastAsia="en-US"/>
    </w:rPr>
  </w:style>
  <w:style w:type="paragraph" w:styleId="Heading4">
    <w:name w:val="heading 4"/>
    <w:basedOn w:val="Normal"/>
    <w:next w:val="Normal"/>
    <w:link w:val="Heading4Char"/>
    <w:uiPriority w:val="9"/>
    <w:unhideWhenUsed/>
    <w:qFormat/>
    <w:rsid w:val="00001553"/>
    <w:pPr>
      <w:keepNext/>
      <w:keepLines/>
      <w:spacing w:before="280" w:after="80"/>
      <w:outlineLvl w:val="3"/>
    </w:pPr>
    <w:rPr>
      <w:rFonts w:ascii="Calibri Light" w:eastAsia="Calibri" w:hAnsi="Calibri Light" w:cs="Calibri Light"/>
      <w:color w:val="1F497D" w:themeColor="text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rsid w:val="00F25FAE"/>
    <w:pPr>
      <w:ind w:left="567"/>
      <w:jc w:val="both"/>
    </w:pPr>
    <w:rPr>
      <w:iCs/>
      <w:color w:val="000000" w:themeColor="text1"/>
      <w:sz w:val="22"/>
      <w:szCs w:val="22"/>
      <w:lang w:bidi="hi-IN"/>
    </w:rPr>
  </w:style>
  <w:style w:type="character" w:customStyle="1" w:styleId="QuoteChar">
    <w:name w:val="Quote Char"/>
    <w:basedOn w:val="DefaultParagraphFont"/>
    <w:link w:val="Quote"/>
    <w:uiPriority w:val="29"/>
    <w:rsid w:val="00F25FAE"/>
    <w:rPr>
      <w:rFonts w:ascii="Times New Roman" w:hAnsi="Times New Roman"/>
      <w:iCs/>
      <w:color w:val="000000" w:themeColor="text1"/>
      <w:lang w:val="en-GB" w:eastAsia="en-US" w:bidi="hi-IN"/>
    </w:rPr>
  </w:style>
  <w:style w:type="paragraph" w:styleId="FootnoteText">
    <w:name w:val="footnote text"/>
    <w:basedOn w:val="Normal"/>
    <w:link w:val="FootnoteTextChar"/>
    <w:uiPriority w:val="99"/>
    <w:unhideWhenUsed/>
    <w:rsid w:val="00280788"/>
    <w:pPr>
      <w:spacing w:after="0" w:line="240" w:lineRule="auto"/>
      <w:ind w:right="-447"/>
      <w:jc w:val="both"/>
    </w:pPr>
    <w:rPr>
      <w:rFonts w:asciiTheme="majorBidi" w:eastAsiaTheme="minorEastAsia" w:hAnsiTheme="majorBidi" w:cstheme="majorBidi"/>
      <w:sz w:val="20"/>
      <w:szCs w:val="20"/>
      <w:lang w:eastAsia="zh-CN"/>
    </w:rPr>
  </w:style>
  <w:style w:type="character" w:customStyle="1" w:styleId="FootnoteTextChar">
    <w:name w:val="Footnote Text Char"/>
    <w:basedOn w:val="DefaultParagraphFont"/>
    <w:link w:val="FootnoteText"/>
    <w:uiPriority w:val="99"/>
    <w:rsid w:val="00280788"/>
    <w:rPr>
      <w:rFonts w:asciiTheme="majorBidi" w:eastAsiaTheme="minorEastAsia" w:hAnsiTheme="majorBidi" w:cstheme="majorBidi"/>
      <w:sz w:val="20"/>
      <w:szCs w:val="20"/>
      <w:lang w:val="en-GB" w:eastAsia="zh-CN"/>
    </w:rPr>
  </w:style>
  <w:style w:type="character" w:styleId="FootnoteReference">
    <w:name w:val="footnote reference"/>
    <w:basedOn w:val="DefaultParagraphFont"/>
    <w:uiPriority w:val="99"/>
    <w:semiHidden/>
    <w:unhideWhenUsed/>
    <w:rsid w:val="00280788"/>
    <w:rPr>
      <w:vertAlign w:val="superscript"/>
    </w:rPr>
  </w:style>
  <w:style w:type="character" w:customStyle="1" w:styleId="Heading4Char">
    <w:name w:val="Heading 4 Char"/>
    <w:basedOn w:val="DefaultParagraphFont"/>
    <w:link w:val="Heading4"/>
    <w:uiPriority w:val="9"/>
    <w:rsid w:val="00001553"/>
    <w:rPr>
      <w:rFonts w:ascii="Calibri Light" w:eastAsia="Calibri" w:hAnsi="Calibri Light" w:cs="Calibri Light"/>
      <w:color w:val="1F497D" w:themeColor="text2"/>
      <w:sz w:val="24"/>
      <w:szCs w:val="24"/>
      <w:lang w:val="en-GB" w:eastAsia="zh-CN"/>
    </w:rPr>
  </w:style>
  <w:style w:type="table" w:styleId="TableGrid">
    <w:name w:val="Table Grid"/>
    <w:basedOn w:val="TableNormal"/>
    <w:uiPriority w:val="39"/>
    <w:rsid w:val="00001553"/>
    <w:pPr>
      <w:spacing w:after="0" w:line="240" w:lineRule="auto"/>
    </w:pPr>
    <w:rPr>
      <w:lang w:val="en-IN"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 w:eastAsia="en-GB"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2BF"/>
    <w:rPr>
      <w:rFonts w:ascii="Times New Roman" w:hAnsi="Times New Roman"/>
      <w:sz w:val="24"/>
      <w:szCs w:val="24"/>
      <w:lang w:val="en-GB" w:eastAsia="en-US"/>
    </w:rPr>
  </w:style>
  <w:style w:type="paragraph" w:styleId="Heading4">
    <w:name w:val="heading 4"/>
    <w:basedOn w:val="Normal"/>
    <w:next w:val="Normal"/>
    <w:link w:val="Heading4Char"/>
    <w:uiPriority w:val="9"/>
    <w:unhideWhenUsed/>
    <w:qFormat/>
    <w:rsid w:val="00001553"/>
    <w:pPr>
      <w:keepNext/>
      <w:keepLines/>
      <w:spacing w:before="280" w:after="80"/>
      <w:outlineLvl w:val="3"/>
    </w:pPr>
    <w:rPr>
      <w:rFonts w:ascii="Calibri Light" w:eastAsia="Calibri" w:hAnsi="Calibri Light" w:cs="Calibri Light"/>
      <w:color w:val="1F497D" w:themeColor="text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rsid w:val="00F25FAE"/>
    <w:pPr>
      <w:ind w:left="567"/>
      <w:jc w:val="both"/>
    </w:pPr>
    <w:rPr>
      <w:iCs/>
      <w:color w:val="000000" w:themeColor="text1"/>
      <w:sz w:val="22"/>
      <w:szCs w:val="22"/>
      <w:lang w:bidi="hi-IN"/>
    </w:rPr>
  </w:style>
  <w:style w:type="character" w:customStyle="1" w:styleId="QuoteChar">
    <w:name w:val="Quote Char"/>
    <w:basedOn w:val="DefaultParagraphFont"/>
    <w:link w:val="Quote"/>
    <w:uiPriority w:val="29"/>
    <w:rsid w:val="00F25FAE"/>
    <w:rPr>
      <w:rFonts w:ascii="Times New Roman" w:hAnsi="Times New Roman"/>
      <w:iCs/>
      <w:color w:val="000000" w:themeColor="text1"/>
      <w:lang w:val="en-GB" w:eastAsia="en-US" w:bidi="hi-IN"/>
    </w:rPr>
  </w:style>
  <w:style w:type="paragraph" w:styleId="FootnoteText">
    <w:name w:val="footnote text"/>
    <w:basedOn w:val="Normal"/>
    <w:link w:val="FootnoteTextChar"/>
    <w:uiPriority w:val="99"/>
    <w:unhideWhenUsed/>
    <w:rsid w:val="00280788"/>
    <w:pPr>
      <w:spacing w:after="0" w:line="240" w:lineRule="auto"/>
      <w:ind w:right="-447"/>
      <w:jc w:val="both"/>
    </w:pPr>
    <w:rPr>
      <w:rFonts w:asciiTheme="majorBidi" w:eastAsiaTheme="minorEastAsia" w:hAnsiTheme="majorBidi" w:cstheme="majorBidi"/>
      <w:sz w:val="20"/>
      <w:szCs w:val="20"/>
      <w:lang w:eastAsia="zh-CN"/>
    </w:rPr>
  </w:style>
  <w:style w:type="character" w:customStyle="1" w:styleId="FootnoteTextChar">
    <w:name w:val="Footnote Text Char"/>
    <w:basedOn w:val="DefaultParagraphFont"/>
    <w:link w:val="FootnoteText"/>
    <w:uiPriority w:val="99"/>
    <w:rsid w:val="00280788"/>
    <w:rPr>
      <w:rFonts w:asciiTheme="majorBidi" w:eastAsiaTheme="minorEastAsia" w:hAnsiTheme="majorBidi" w:cstheme="majorBidi"/>
      <w:sz w:val="20"/>
      <w:szCs w:val="20"/>
      <w:lang w:val="en-GB" w:eastAsia="zh-CN"/>
    </w:rPr>
  </w:style>
  <w:style w:type="character" w:styleId="FootnoteReference">
    <w:name w:val="footnote reference"/>
    <w:basedOn w:val="DefaultParagraphFont"/>
    <w:uiPriority w:val="99"/>
    <w:semiHidden/>
    <w:unhideWhenUsed/>
    <w:rsid w:val="00280788"/>
    <w:rPr>
      <w:vertAlign w:val="superscript"/>
    </w:rPr>
  </w:style>
  <w:style w:type="character" w:customStyle="1" w:styleId="Heading4Char">
    <w:name w:val="Heading 4 Char"/>
    <w:basedOn w:val="DefaultParagraphFont"/>
    <w:link w:val="Heading4"/>
    <w:uiPriority w:val="9"/>
    <w:rsid w:val="00001553"/>
    <w:rPr>
      <w:rFonts w:ascii="Calibri Light" w:eastAsia="Calibri" w:hAnsi="Calibri Light" w:cs="Calibri Light"/>
      <w:color w:val="1F497D" w:themeColor="text2"/>
      <w:sz w:val="24"/>
      <w:szCs w:val="24"/>
      <w:lang w:val="en-GB" w:eastAsia="zh-CN"/>
    </w:rPr>
  </w:style>
  <w:style w:type="table" w:styleId="TableGrid">
    <w:name w:val="Table Grid"/>
    <w:basedOn w:val="TableNormal"/>
    <w:uiPriority w:val="39"/>
    <w:rsid w:val="00001553"/>
    <w:pPr>
      <w:spacing w:after="0" w:line="240" w:lineRule="auto"/>
    </w:pPr>
    <w:rPr>
      <w:lang w:val="en-IN"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3</Pages>
  <Words>1274</Words>
  <Characters>7265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Dyer</dc:creator>
  <cp:keywords/>
  <dc:description/>
  <cp:lastModifiedBy>Caroline Dyer</cp:lastModifiedBy>
  <cp:revision>7</cp:revision>
  <dcterms:created xsi:type="dcterms:W3CDTF">2023-03-16T11:23:00Z</dcterms:created>
  <dcterms:modified xsi:type="dcterms:W3CDTF">2023-03-16T14:57:00Z</dcterms:modified>
</cp:coreProperties>
</file>