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7660" w:rsidRDefault="00E37660" w14:paraId="1A6AFBD1" w14:textId="783D7A9C"/>
    <w:p w:rsidR="00E96C3E" w:rsidRDefault="00ED5BCA" w14:paraId="69959952" w14:textId="10AB02FA">
      <w:r>
        <w:t>May 18</w:t>
      </w:r>
      <w:r w:rsidRPr="00ED5BCA">
        <w:rPr>
          <w:vertAlign w:val="superscript"/>
        </w:rPr>
        <w:t>th</w:t>
      </w:r>
      <w:r>
        <w:t xml:space="preserve">: Thematic Analysis- Provisional Final Themes </w:t>
      </w:r>
    </w:p>
    <w:p w:rsidR="00E96C3E" w:rsidRDefault="00E96C3E" w14:paraId="32C811C6" w14:textId="77777777"/>
    <w:tbl>
      <w:tblPr>
        <w:tblStyle w:val="GridTable1Light-Accent5"/>
        <w:tblpPr w:leftFromText="180" w:rightFromText="180" w:vertAnchor="text" w:horzAnchor="margin" w:tblpX="562" w:tblpY="-84"/>
        <w:tblW w:w="14601" w:type="dxa"/>
        <w:tblLook w:val="04A0" w:firstRow="1" w:lastRow="0" w:firstColumn="1" w:lastColumn="0" w:noHBand="0" w:noVBand="1"/>
      </w:tblPr>
      <w:tblGrid>
        <w:gridCol w:w="2977"/>
        <w:gridCol w:w="4211"/>
        <w:gridCol w:w="4011"/>
        <w:gridCol w:w="3402"/>
      </w:tblGrid>
      <w:tr w:rsidRPr="00E96C3E" w:rsidR="00E96C3E" w:rsidTr="091FA22A" w14:paraId="2DFD8D0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1" w:type="dxa"/>
            <w:gridSpan w:val="4"/>
            <w:shd w:val="clear" w:color="auto" w:fill="DEEAF6" w:themeFill="accent5" w:themeFillTint="33"/>
            <w:tcMar/>
          </w:tcPr>
          <w:p w:rsidRPr="00E96C3E" w:rsidR="00E96C3E" w:rsidP="00E96C3E" w:rsidRDefault="00E96C3E" w14:paraId="1120AF9B" w14:textId="77777777">
            <w:pPr>
              <w:jc w:val="center"/>
              <w:rPr>
                <w:sz w:val="32"/>
                <w:szCs w:val="32"/>
              </w:rPr>
            </w:pPr>
            <w:r w:rsidRPr="00E96C3E">
              <w:rPr>
                <w:sz w:val="32"/>
                <w:szCs w:val="32"/>
              </w:rPr>
              <w:t>Provisional Final Themes</w:t>
            </w:r>
          </w:p>
        </w:tc>
      </w:tr>
      <w:tr w:rsidRPr="00E96C3E" w:rsidR="00E96C3E" w:rsidTr="091FA22A" w14:paraId="14E104CC" w14:textId="77777777">
        <w:trPr>
          <w:trHeight w:val="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shd w:val="clear" w:color="auto" w:fill="EDEDED" w:themeFill="accent3" w:themeFillTint="33"/>
            <w:tcMar/>
          </w:tcPr>
          <w:p w:rsidRPr="00E96C3E" w:rsidR="00E96C3E" w:rsidP="00E96C3E" w:rsidRDefault="00E96C3E" w14:paraId="7316FB9C" w14:textId="77777777">
            <w:pPr>
              <w:rPr>
                <w:sz w:val="32"/>
                <w:szCs w:val="32"/>
              </w:rPr>
            </w:pPr>
            <w:r w:rsidRPr="00E96C3E">
              <w:rPr>
                <w:sz w:val="32"/>
                <w:szCs w:val="32"/>
              </w:rPr>
              <w:t>Stressors, acculturation difficulties and their impact on psychological distress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11" w:type="dxa"/>
            <w:shd w:val="clear" w:color="auto" w:fill="EDEDED" w:themeFill="accent3" w:themeFillTint="33"/>
            <w:tcMar/>
          </w:tcPr>
          <w:p w:rsidRPr="00E96C3E" w:rsidR="00E96C3E" w:rsidP="5BD5B141" w:rsidRDefault="00E96C3E" w14:paraId="53BF7BDE" w14:noSpellErr="1" w14:textId="63F9D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1"/>
                <w:bCs w:val="1"/>
                <w:sz w:val="32"/>
                <w:szCs w:val="32"/>
              </w:rPr>
            </w:pPr>
            <w:r w:rsidRPr="5BD5B141" w:rsidR="5BD5B141">
              <w:rPr>
                <w:b w:val="1"/>
                <w:bCs w:val="1"/>
                <w:sz w:val="32"/>
                <w:szCs w:val="32"/>
              </w:rPr>
              <w:t>Pre-</w:t>
            </w:r>
            <w:r w:rsidRPr="5BD5B141" w:rsidR="5BD5B141">
              <w:rPr>
                <w:b w:val="1"/>
                <w:bCs w:val="1"/>
                <w:sz w:val="32"/>
                <w:szCs w:val="32"/>
              </w:rPr>
              <w:t>conc</w:t>
            </w:r>
            <w:r w:rsidRPr="5BD5B141" w:rsidR="5BD5B141">
              <w:rPr>
                <w:b w:val="1"/>
                <w:bCs w:val="1"/>
                <w:sz w:val="32"/>
                <w:szCs w:val="32"/>
              </w:rPr>
              <w:t>ei</w:t>
            </w:r>
            <w:r w:rsidRPr="5BD5B141" w:rsidR="5BD5B141">
              <w:rPr>
                <w:b w:val="1"/>
                <w:bCs w:val="1"/>
                <w:sz w:val="32"/>
                <w:szCs w:val="32"/>
              </w:rPr>
              <w:t>ved</w:t>
            </w:r>
            <w:r w:rsidRPr="5BD5B141" w:rsidR="5BD5B141">
              <w:rPr>
                <w:b w:val="1"/>
                <w:bCs w:val="1"/>
                <w:sz w:val="32"/>
                <w:szCs w:val="32"/>
              </w:rPr>
              <w:t xml:space="preserve"> beliefs, </w:t>
            </w:r>
            <w:r w:rsidRPr="5BD5B141" w:rsidR="5BD5B141">
              <w:rPr>
                <w:b w:val="1"/>
                <w:bCs w:val="1"/>
                <w:sz w:val="32"/>
                <w:szCs w:val="32"/>
              </w:rPr>
              <w:t xml:space="preserve">Stigma and </w:t>
            </w:r>
            <w:r w:rsidRPr="5BD5B141" w:rsidR="5BD5B141">
              <w:rPr>
                <w:b w:val="1"/>
                <w:bCs w:val="1"/>
                <w:sz w:val="32"/>
                <w:szCs w:val="32"/>
              </w:rPr>
              <w:t xml:space="preserve">Judgement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11" w:type="dxa"/>
            <w:shd w:val="clear" w:color="auto" w:fill="EDEDED" w:themeFill="accent3" w:themeFillTint="33"/>
            <w:tcMar/>
          </w:tcPr>
          <w:p w:rsidRPr="00E96C3E" w:rsidR="00E96C3E" w:rsidP="00E96C3E" w:rsidRDefault="00E96C3E" w14:paraId="73FFD893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 w:rsidRPr="00E96C3E">
              <w:rPr>
                <w:b/>
                <w:bCs/>
                <w:sz w:val="32"/>
                <w:szCs w:val="32"/>
              </w:rPr>
              <w:t xml:space="preserve">Challenges of communication </w:t>
            </w:r>
          </w:p>
          <w:p w:rsidRPr="00E96C3E" w:rsidR="00E96C3E" w:rsidP="00E96C3E" w:rsidRDefault="00E96C3E" w14:paraId="392472F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EDEDED" w:themeFill="accent3" w:themeFillTint="33"/>
            <w:tcMar/>
          </w:tcPr>
          <w:p w:rsidRPr="00E96C3E" w:rsidR="00E96C3E" w:rsidP="091FA22A" w:rsidRDefault="00E96C3E" w14:paraId="465A64FC" w14:textId="277790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91FA22A" w:rsidR="091FA22A">
              <w:rPr>
                <w:b w:val="1"/>
                <w:bCs w:val="1"/>
                <w:sz w:val="32"/>
                <w:szCs w:val="32"/>
              </w:rPr>
              <w:t xml:space="preserve">The development of 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>perspective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 xml:space="preserve">s 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>and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 xml:space="preserve"> 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>healthier coping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 xml:space="preserve"> </w:t>
            </w:r>
            <w:r w:rsidRPr="091FA22A" w:rsidR="091FA22A">
              <w:rPr>
                <w:b w:val="1"/>
                <w:bCs w:val="1"/>
                <w:sz w:val="32"/>
                <w:szCs w:val="32"/>
              </w:rPr>
              <w:t>strategies</w:t>
            </w:r>
          </w:p>
        </w:tc>
      </w:tr>
      <w:tr w:rsidRPr="00E96C3E" w:rsidR="00E96C3E" w:rsidTr="091FA22A" w14:paraId="4C5872EB" w14:textId="77777777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Mar/>
          </w:tcPr>
          <w:p w:rsidRPr="00E96C3E" w:rsidR="00E96C3E" w:rsidP="00E96C3E" w:rsidRDefault="00E96C3E" w14:paraId="1781B325" w14:textId="77777777">
            <w:pPr>
              <w:rPr>
                <w:b w:val="0"/>
                <w:bCs w:val="0"/>
                <w:sz w:val="32"/>
                <w:szCs w:val="32"/>
              </w:rPr>
            </w:pPr>
            <w:r w:rsidRPr="00E96C3E">
              <w:rPr>
                <w:b w:val="0"/>
                <w:bCs w:val="0"/>
                <w:sz w:val="32"/>
                <w:szCs w:val="32"/>
              </w:rPr>
              <w:t>Adaptation challenges including cultural, academic and lifestyle differences, negatively effecting mental, emotional and physical well-being.</w:t>
            </w:r>
          </w:p>
          <w:p w:rsidRPr="00E96C3E" w:rsidR="00E96C3E" w:rsidP="5BD5B141" w:rsidRDefault="00E96C3E" w14:paraId="65C24C49" w14:noSpellErr="1" w14:textId="016F1EFA">
            <w:pPr>
              <w:rPr>
                <w:b w:val="0"/>
                <w:bCs w:val="0"/>
                <w:sz w:val="32"/>
                <w:szCs w:val="32"/>
              </w:rPr>
            </w:pPr>
            <w:r w:rsidRPr="5BD5B141" w:rsidR="5BD5B141">
              <w:rPr>
                <w:b w:val="0"/>
                <w:bCs w:val="0"/>
                <w:i w:val="1"/>
                <w:iCs w:val="1"/>
                <w:sz w:val="32"/>
                <w:szCs w:val="32"/>
              </w:rPr>
              <w:t xml:space="preserve">Subtheme: </w:t>
            </w:r>
            <w:r w:rsidRPr="5BD5B141" w:rsidR="5BD5B141">
              <w:rPr>
                <w:b w:val="0"/>
                <w:bCs w:val="0"/>
                <w:i w:val="1"/>
                <w:iCs w:val="1"/>
                <w:sz w:val="32"/>
                <w:szCs w:val="32"/>
              </w:rPr>
              <w:t>lost</w:t>
            </w:r>
            <w:r w:rsidRPr="5BD5B141" w:rsidR="5BD5B141">
              <w:rPr>
                <w:b w:val="0"/>
                <w:bCs w:val="0"/>
                <w:i w:val="1"/>
                <w:iCs w:val="1"/>
                <w:sz w:val="32"/>
                <w:szCs w:val="32"/>
              </w:rPr>
              <w:t xml:space="preserve"> of </w:t>
            </w:r>
            <w:r w:rsidRPr="5BD5B141" w:rsidR="5BD5B141">
              <w:rPr>
                <w:b w:val="0"/>
                <w:bCs w:val="0"/>
                <w:i w:val="1"/>
                <w:iCs w:val="1"/>
                <w:sz w:val="32"/>
                <w:szCs w:val="32"/>
              </w:rPr>
              <w:t>connection and sense of belonging (</w:t>
            </w:r>
            <w:r w:rsidRPr="5BD5B141" w:rsidR="5BD5B141">
              <w:rPr>
                <w:b w:val="0"/>
                <w:bCs w:val="0"/>
                <w:i w:val="1"/>
                <w:iCs w:val="1"/>
                <w:sz w:val="32"/>
                <w:szCs w:val="32"/>
              </w:rPr>
              <w:t>intra and inter level</w:t>
            </w:r>
            <w:r w:rsidRPr="5BD5B141" w:rsidR="5BD5B141">
              <w:rPr>
                <w:b w:val="0"/>
                <w:bCs w:val="0"/>
                <w:i w:val="1"/>
                <w:iCs w:val="1"/>
                <w:sz w:val="32"/>
                <w:szCs w:val="32"/>
              </w:rPr>
              <w:t xml:space="preserve">)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211" w:type="dxa"/>
            <w:tcMar/>
          </w:tcPr>
          <w:p w:rsidRPr="00E96C3E" w:rsidR="00E96C3E" w:rsidP="5BD5B141" w:rsidRDefault="00E96C3E" w14:noSpellErr="1" w14:paraId="12264D0A" w14:textId="3101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5BD5B141" w:rsidR="5BD5B141">
              <w:rPr>
                <w:sz w:val="32"/>
                <w:szCs w:val="32"/>
              </w:rPr>
              <w:t>Preconceived beliefs, assumptions, pressure and expectations may influence help seeking attitudes.  Fear of judgement</w:t>
            </w:r>
            <w:r w:rsidRPr="5BD5B141" w:rsidR="5BD5B141">
              <w:rPr>
                <w:sz w:val="32"/>
                <w:szCs w:val="32"/>
              </w:rPr>
              <w:t xml:space="preserve"> and stigma leading to a</w:t>
            </w:r>
            <w:r w:rsidRPr="5BD5B141" w:rsidR="5BD5B141">
              <w:rPr>
                <w:sz w:val="32"/>
                <w:szCs w:val="32"/>
              </w:rPr>
              <w:t xml:space="preserve"> </w:t>
            </w:r>
            <w:r w:rsidRPr="5BD5B141" w:rsidR="5BD5B141">
              <w:rPr>
                <w:sz w:val="32"/>
                <w:szCs w:val="32"/>
              </w:rPr>
              <w:t xml:space="preserve">sense of </w:t>
            </w:r>
            <w:r w:rsidRPr="5BD5B141" w:rsidR="5BD5B141">
              <w:rPr>
                <w:sz w:val="32"/>
                <w:szCs w:val="32"/>
              </w:rPr>
              <w:t>vulnerab</w:t>
            </w:r>
            <w:r w:rsidRPr="5BD5B141" w:rsidR="5BD5B141">
              <w:rPr>
                <w:sz w:val="32"/>
                <w:szCs w:val="32"/>
              </w:rPr>
              <w:t>ility.</w:t>
            </w:r>
          </w:p>
          <w:p w:rsidRPr="00E96C3E" w:rsidR="00E96C3E" w:rsidP="5BD5B141" w:rsidRDefault="00E96C3E" w14:noSpellErr="1" w14:paraId="18AF8D4F" w14:textId="465A1CFF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5BD5B141" w:rsidR="5BD5B141">
              <w:rPr>
                <w:i w:val="1"/>
                <w:iCs w:val="1"/>
                <w:sz w:val="32"/>
                <w:szCs w:val="32"/>
              </w:rPr>
              <w:t>S</w:t>
            </w:r>
            <w:r w:rsidRPr="5BD5B141" w:rsidR="5BD5B141">
              <w:rPr>
                <w:i w:val="1"/>
                <w:iCs w:val="1"/>
                <w:sz w:val="32"/>
                <w:szCs w:val="32"/>
              </w:rPr>
              <w:t xml:space="preserve">ubtheme: </w:t>
            </w:r>
            <w:r w:rsidRPr="5BD5B141" w:rsidR="5BD5B141">
              <w:rPr>
                <w:i w:val="1"/>
                <w:iCs w:val="1"/>
                <w:sz w:val="32"/>
                <w:szCs w:val="32"/>
              </w:rPr>
              <w:t>mala</w:t>
            </w:r>
            <w:r w:rsidRPr="5BD5B141" w:rsidR="5BD5B141">
              <w:rPr>
                <w:i w:val="1"/>
                <w:iCs w:val="1"/>
                <w:sz w:val="32"/>
                <w:szCs w:val="32"/>
              </w:rPr>
              <w:t>daptive</w:t>
            </w:r>
            <w:r w:rsidRPr="5BD5B141" w:rsidR="5BD5B141">
              <w:rPr>
                <w:i w:val="1"/>
                <w:iCs w:val="1"/>
                <w:sz w:val="32"/>
                <w:szCs w:val="32"/>
              </w:rPr>
              <w:t xml:space="preserve"> coping strategies (avoidance, withdrawal and dismissal</w:t>
            </w:r>
            <w:r w:rsidRPr="5BD5B141" w:rsidR="5BD5B141">
              <w:rPr>
                <w:i w:val="1"/>
                <w:iCs w:val="1"/>
                <w:sz w:val="32"/>
                <w:szCs w:val="32"/>
              </w:rPr>
              <w:t>)</w:t>
            </w:r>
          </w:p>
          <w:p w:rsidRPr="00E96C3E" w:rsidR="00E96C3E" w:rsidP="5BD5B141" w:rsidRDefault="00E96C3E" w14:noSpellErr="1" w14:paraId="67EACD70" w14:textId="192A7F7C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1"/>
                <w:iCs w:val="1"/>
                <w:sz w:val="32"/>
                <w:szCs w:val="32"/>
              </w:rPr>
            </w:pPr>
          </w:p>
          <w:p w:rsidRPr="00E96C3E" w:rsidR="00E96C3E" w:rsidP="5BD5B141" w:rsidRDefault="00E96C3E" w14:paraId="69F56F0C" w14:textId="37CC1C88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 w:val="1"/>
                <w:iCs w:val="1"/>
                <w:sz w:val="32"/>
                <w:szCs w:val="3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011" w:type="dxa"/>
            <w:tcMar/>
          </w:tcPr>
          <w:p w:rsidRPr="00E96C3E" w:rsidR="00E96C3E" w:rsidP="5BD5B141" w:rsidRDefault="00E96C3E" w14:noSpellErr="1" w14:paraId="42934A0F" w14:textId="1124B7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5BD5B141" w:rsidR="5BD5B141">
              <w:rPr>
                <w:sz w:val="32"/>
                <w:szCs w:val="32"/>
              </w:rPr>
              <w:t xml:space="preserve">Who, why and </w:t>
            </w:r>
            <w:r w:rsidRPr="5BD5B141" w:rsidR="5BD5B141">
              <w:rPr>
                <w:sz w:val="32"/>
                <w:szCs w:val="32"/>
                <w:u w:val="single"/>
              </w:rPr>
              <w:t>how</w:t>
            </w:r>
            <w:r w:rsidRPr="5BD5B141" w:rsidR="5BD5B141">
              <w:rPr>
                <w:sz w:val="32"/>
                <w:szCs w:val="32"/>
              </w:rPr>
              <w:t xml:space="preserve"> individuals chose to disclosure their problems to may be hindered by communication barriers, including: prior experiences, trust, attentiveness, perceived ability to help, relatability, expression and confidentiality. </w:t>
            </w:r>
          </w:p>
          <w:p w:rsidRPr="00E96C3E" w:rsidR="00E96C3E" w:rsidP="5BD5B141" w:rsidRDefault="00E96C3E" w14:paraId="07B21A18" w14:noSpellErr="1" w14:textId="40C7D605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5BD5B141" w:rsidR="5BD5B141">
              <w:rPr>
                <w:i w:val="1"/>
                <w:iCs w:val="1"/>
                <w:sz w:val="32"/>
                <w:szCs w:val="32"/>
              </w:rPr>
              <w:t>Subthemes: verbal and interpersonal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402" w:type="dxa"/>
            <w:tcMar/>
          </w:tcPr>
          <w:p w:rsidRPr="00E96C3E" w:rsidR="00E96C3E" w:rsidP="00E96C3E" w:rsidRDefault="00E96C3E" w14:paraId="569FD26D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E96C3E">
              <w:rPr>
                <w:sz w:val="32"/>
                <w:szCs w:val="32"/>
              </w:rPr>
              <w:t xml:space="preserve">Experience, background, time and individual growth are factors which can help to cultivate different perspectives and a healthier mentality towards mental health problems. Including the adoption of healthier coping strategies. </w:t>
            </w:r>
          </w:p>
        </w:tc>
      </w:tr>
    </w:tbl>
    <w:p w:rsidR="00E37660" w:rsidRDefault="00E37660" w14:paraId="08438FA5" w14:textId="5C684416">
      <w:pPr>
        <w:rPr>
          <w:sz w:val="28"/>
          <w:szCs w:val="28"/>
        </w:rPr>
      </w:pPr>
    </w:p>
    <w:p w:rsidRPr="00E96C3E" w:rsidR="00E96C3E" w:rsidP="00E96C3E" w:rsidRDefault="00E96C3E" w14:paraId="2708DEB4" w14:textId="1A5469A6">
      <w:pPr>
        <w:rPr>
          <w:sz w:val="28"/>
          <w:szCs w:val="28"/>
        </w:rPr>
      </w:pPr>
    </w:p>
    <w:p w:rsidRPr="00E96C3E" w:rsidR="00E96C3E" w:rsidP="00E96C3E" w:rsidRDefault="00E96C3E" w14:paraId="3365B902" w14:textId="607741F0">
      <w:pPr>
        <w:rPr>
          <w:sz w:val="28"/>
          <w:szCs w:val="28"/>
        </w:rPr>
      </w:pPr>
    </w:p>
    <w:p w:rsidRPr="00E96C3E" w:rsidR="00E96C3E" w:rsidP="00E96C3E" w:rsidRDefault="00E96C3E" w14:paraId="5A298793" w14:textId="0643081E">
      <w:pPr>
        <w:rPr>
          <w:sz w:val="28"/>
          <w:szCs w:val="28"/>
        </w:rPr>
      </w:pPr>
    </w:p>
    <w:p w:rsidRPr="00E96C3E" w:rsidR="00E96C3E" w:rsidP="00E96C3E" w:rsidRDefault="00E96C3E" w14:paraId="549B2816" w14:textId="5F5DAEE1">
      <w:pPr>
        <w:rPr>
          <w:sz w:val="28"/>
          <w:szCs w:val="28"/>
        </w:rPr>
      </w:pPr>
    </w:p>
    <w:p w:rsidRPr="00E96C3E" w:rsidR="00E96C3E" w:rsidP="00E96C3E" w:rsidRDefault="00E96C3E" w14:paraId="280AD43E" w14:textId="427D1495">
      <w:pPr>
        <w:rPr>
          <w:sz w:val="28"/>
          <w:szCs w:val="28"/>
        </w:rPr>
      </w:pPr>
    </w:p>
    <w:p w:rsidRPr="00E96C3E" w:rsidR="00E96C3E" w:rsidP="00E96C3E" w:rsidRDefault="00E96C3E" w14:paraId="538B6B99" w14:textId="26ABB3C3">
      <w:pPr>
        <w:rPr>
          <w:sz w:val="28"/>
          <w:szCs w:val="28"/>
        </w:rPr>
      </w:pPr>
    </w:p>
    <w:p w:rsidRPr="00E96C3E" w:rsidR="00E96C3E" w:rsidP="00E96C3E" w:rsidRDefault="00E96C3E" w14:paraId="241BF7E3" w14:textId="60019435">
      <w:pPr>
        <w:rPr>
          <w:sz w:val="28"/>
          <w:szCs w:val="28"/>
        </w:rPr>
      </w:pPr>
    </w:p>
    <w:p w:rsidRPr="00E96C3E" w:rsidR="00E96C3E" w:rsidP="00E96C3E" w:rsidRDefault="00E96C3E" w14:paraId="379F9FCE" w14:textId="01C2608E">
      <w:pPr>
        <w:rPr>
          <w:sz w:val="28"/>
          <w:szCs w:val="28"/>
        </w:rPr>
      </w:pPr>
    </w:p>
    <w:p w:rsidRPr="00E96C3E" w:rsidR="00E96C3E" w:rsidP="00E96C3E" w:rsidRDefault="00E96C3E" w14:paraId="18FEDC57" w14:textId="0457A44B">
      <w:pPr>
        <w:rPr>
          <w:sz w:val="28"/>
          <w:szCs w:val="28"/>
        </w:rPr>
      </w:pPr>
    </w:p>
    <w:p w:rsidRPr="00E96C3E" w:rsidR="00E96C3E" w:rsidP="00E96C3E" w:rsidRDefault="00E96C3E" w14:paraId="31467B95" w14:textId="77FFCEA7">
      <w:pPr>
        <w:rPr>
          <w:sz w:val="28"/>
          <w:szCs w:val="28"/>
        </w:rPr>
      </w:pPr>
    </w:p>
    <w:p w:rsidRPr="00E96C3E" w:rsidR="00E96C3E" w:rsidP="00E96C3E" w:rsidRDefault="00E96C3E" w14:paraId="2BA7E078" w14:textId="625B228D">
      <w:pPr>
        <w:rPr>
          <w:sz w:val="28"/>
          <w:szCs w:val="28"/>
        </w:rPr>
      </w:pPr>
    </w:p>
    <w:p w:rsidRPr="00E96C3E" w:rsidR="00E96C3E" w:rsidP="00E96C3E" w:rsidRDefault="00E96C3E" w14:paraId="5D495596" w14:textId="61653794">
      <w:pPr>
        <w:rPr>
          <w:sz w:val="28"/>
          <w:szCs w:val="28"/>
        </w:rPr>
      </w:pPr>
    </w:p>
    <w:p w:rsidRPr="00E96C3E" w:rsidR="00E96C3E" w:rsidP="00E96C3E" w:rsidRDefault="00E96C3E" w14:paraId="03120BAD" w14:textId="66569654">
      <w:pPr>
        <w:rPr>
          <w:sz w:val="28"/>
          <w:szCs w:val="28"/>
        </w:rPr>
      </w:pPr>
    </w:p>
    <w:p w:rsidR="00E96C3E" w:rsidP="00E96C3E" w:rsidRDefault="00E96C3E" w14:paraId="22D21459" w14:textId="2F6D1030">
      <w:pPr>
        <w:tabs>
          <w:tab w:val="left" w:pos="331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96C3E" w:rsidP="00E96C3E" w:rsidRDefault="00E96C3E" w14:paraId="0612CEB1" w14:textId="1A901A32">
      <w:pPr>
        <w:tabs>
          <w:tab w:val="left" w:pos="3319"/>
        </w:tabs>
        <w:rPr>
          <w:sz w:val="28"/>
          <w:szCs w:val="28"/>
        </w:rPr>
      </w:pPr>
    </w:p>
    <w:p w:rsidR="00E96C3E" w:rsidP="00E96C3E" w:rsidRDefault="00E96C3E" w14:paraId="2549A4FE" w14:textId="154B59ED">
      <w:pPr>
        <w:tabs>
          <w:tab w:val="left" w:pos="3319"/>
        </w:tabs>
        <w:rPr>
          <w:sz w:val="28"/>
          <w:szCs w:val="28"/>
        </w:rPr>
      </w:pPr>
    </w:p>
    <w:tbl>
      <w:tblPr>
        <w:tblpPr w:leftFromText="180" w:rightFromText="180" w:horzAnchor="margin" w:tblpXSpec="center" w:tblpY="-465"/>
        <w:tblW w:w="1628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56"/>
        <w:gridCol w:w="1851"/>
        <w:gridCol w:w="2065"/>
        <w:gridCol w:w="1929"/>
        <w:gridCol w:w="2044"/>
        <w:gridCol w:w="2124"/>
        <w:gridCol w:w="1773"/>
        <w:gridCol w:w="2143"/>
      </w:tblGrid>
      <w:tr w:rsidRPr="00E37660" w:rsidR="00E96C3E" w:rsidTr="00F9308E" w14:paraId="44A6082B" w14:textId="77777777">
        <w:trPr>
          <w:trHeight w:val="1611"/>
        </w:trPr>
        <w:tc>
          <w:tcPr>
            <w:tcW w:w="2356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63FF3174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lastRenderedPageBreak/>
              <w:t>Stressors (lack of social support/ expectations of self and pressure from others) leading to psychological distress</w:t>
            </w:r>
          </w:p>
        </w:tc>
        <w:tc>
          <w:tcPr>
            <w:tcW w:w="1851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5019083B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t>Problems with adapting to lifestyle, language and cultural difference</w:t>
            </w:r>
          </w:p>
        </w:tc>
        <w:tc>
          <w:tcPr>
            <w:tcW w:w="2065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6B5D9825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t>Preconceived beliefs, stigma and fear of people’s perception affecting help-seeking attitude</w:t>
            </w:r>
          </w:p>
        </w:tc>
        <w:tc>
          <w:tcPr>
            <w:tcW w:w="1929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00A2C60C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t xml:space="preserve">Prior (mixed) experiences of seeking academic and mental health support </w:t>
            </w:r>
          </w:p>
        </w:tc>
        <w:tc>
          <w:tcPr>
            <w:tcW w:w="2044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7F945E8C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t xml:space="preserve">Protective behaviours including avoidance/ dismissal/ pretence </w:t>
            </w:r>
          </w:p>
        </w:tc>
        <w:tc>
          <w:tcPr>
            <w:tcW w:w="2124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79FC16CB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t>The problems and positives of communication and disclosure</w:t>
            </w:r>
          </w:p>
        </w:tc>
        <w:tc>
          <w:tcPr>
            <w:tcW w:w="1773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570371BD" w14:textId="77777777">
            <w:r w:rsidRPr="00E37660">
              <w:rPr>
                <w:b/>
                <w:bCs/>
              </w:rPr>
              <w:t>Cycle of stress and the effects on behaviour and physical well-being</w:t>
            </w:r>
          </w:p>
        </w:tc>
        <w:tc>
          <w:tcPr>
            <w:tcW w:w="2143" w:type="dxa"/>
            <w:tcBorders>
              <w:top w:val="single" w:color="FFFFFF" w:sz="8" w:space="0"/>
              <w:left w:val="single" w:color="FFFFFF" w:sz="8" w:space="0"/>
              <w:bottom w:val="single" w:color="FFFFFF" w:sz="24" w:space="0"/>
              <w:right w:val="single" w:color="FFFFFF" w:sz="8" w:space="0"/>
            </w:tcBorders>
            <w:shd w:val="clear" w:color="auto" w:fill="8C8D8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3A2F5393" w14:textId="77777777">
            <w:pPr>
              <w:rPr>
                <w:strike/>
              </w:rPr>
            </w:pPr>
            <w:r w:rsidRPr="00E37660">
              <w:rPr>
                <w:b/>
                <w:bCs/>
                <w:strike/>
              </w:rPr>
              <w:t xml:space="preserve">Development of (healthy) perspective, acceptance &amp; stress-relieving outlets </w:t>
            </w:r>
          </w:p>
        </w:tc>
      </w:tr>
      <w:tr w:rsidRPr="00E37660" w:rsidR="00E96C3E" w:rsidTr="00F9308E" w14:paraId="7B663E6B" w14:textId="77777777">
        <w:trPr>
          <w:trHeight w:val="3436"/>
        </w:trPr>
        <w:tc>
          <w:tcPr>
            <w:tcW w:w="2356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30942453" w14:textId="77777777">
            <w:r w:rsidRPr="00E37660">
              <w:rPr>
                <w:b/>
                <w:bCs/>
                <w:lang w:val="en-US"/>
              </w:rPr>
              <w:t xml:space="preserve">Whilst trying to adapt and adjust to another country, individuals may experience stressors caused by pressure, expectations and </w:t>
            </w:r>
            <w:proofErr w:type="spellStart"/>
            <w:r w:rsidRPr="00E37660">
              <w:rPr>
                <w:b/>
                <w:bCs/>
                <w:lang w:val="en-US"/>
              </w:rPr>
              <w:t>lost</w:t>
            </w:r>
            <w:proofErr w:type="spellEnd"/>
            <w:r w:rsidRPr="00E37660">
              <w:rPr>
                <w:b/>
                <w:bCs/>
                <w:lang w:val="en-US"/>
              </w:rPr>
              <w:t xml:space="preserve"> of social support circles which can lead to psychological distress including loneliness. </w:t>
            </w:r>
          </w:p>
        </w:tc>
        <w:tc>
          <w:tcPr>
            <w:tcW w:w="1851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3E4261AA" w14:textId="77777777">
            <w:r w:rsidRPr="00E37660">
              <w:rPr>
                <w:b/>
                <w:bCs/>
                <w:lang w:val="en-US"/>
              </w:rPr>
              <w:t xml:space="preserve">Challenges adapting to the cultural, language, social, academic and lifestyle differences can cause stress, effecting mental, emotional and physical well-being. </w:t>
            </w:r>
          </w:p>
        </w:tc>
        <w:tc>
          <w:tcPr>
            <w:tcW w:w="2065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13A9849D" w14:textId="77777777">
            <w:r w:rsidRPr="00E37660">
              <w:rPr>
                <w:b/>
                <w:bCs/>
                <w:lang w:val="en-US"/>
              </w:rPr>
              <w:t xml:space="preserve">Fear of people’s perception including vulnerability, judgement, stigma (sometimes deriving from cultural norms) may lead to individuals withholding their problems, can lead to being more self-reliant </w:t>
            </w:r>
          </w:p>
        </w:tc>
        <w:tc>
          <w:tcPr>
            <w:tcW w:w="1929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695123F2" w14:textId="77777777">
            <w:r w:rsidRPr="00E37660">
              <w:rPr>
                <w:b/>
                <w:bCs/>
              </w:rPr>
              <w:t>Mixed experiences with help seeking (in academic setting or for personal/ mental health related problems)</w:t>
            </w:r>
          </w:p>
        </w:tc>
        <w:tc>
          <w:tcPr>
            <w:tcW w:w="2044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68DCDB7F" w14:textId="77777777">
            <w:r w:rsidRPr="00E37660">
              <w:rPr>
                <w:b/>
                <w:bCs/>
                <w:lang w:val="en-US"/>
              </w:rPr>
              <w:t xml:space="preserve">Pre-conceived beliefs, assumptions and expectations of mental health related topics may lead effect help-seeking attitude and </w:t>
            </w:r>
            <w:proofErr w:type="spellStart"/>
            <w:r w:rsidRPr="00E37660">
              <w:rPr>
                <w:b/>
                <w:bCs/>
                <w:lang w:val="en-US"/>
              </w:rPr>
              <w:t>behaviours</w:t>
            </w:r>
            <w:proofErr w:type="spellEnd"/>
            <w:r w:rsidRPr="00E37660">
              <w:rPr>
                <w:b/>
                <w:bCs/>
                <w:lang w:val="en-US"/>
              </w:rPr>
              <w:t xml:space="preserve">- including avoidance, dismission or hiding true feelings </w:t>
            </w:r>
          </w:p>
        </w:tc>
        <w:tc>
          <w:tcPr>
            <w:tcW w:w="2124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7BDD7624" w14:textId="77777777">
            <w:r w:rsidRPr="00E37660">
              <w:rPr>
                <w:b/>
                <w:bCs/>
                <w:lang w:val="en-US"/>
              </w:rPr>
              <w:t xml:space="preserve">Who, why and how individuals chose to communicate and seek help depends on variables including: trust, attentiveness, perceived ability to help, relatability, expression and confidentiality. </w:t>
            </w:r>
          </w:p>
        </w:tc>
        <w:tc>
          <w:tcPr>
            <w:tcW w:w="1773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7A0A4F91" w14:textId="77777777">
            <w:r w:rsidRPr="00E37660">
              <w:rPr>
                <w:b/>
                <w:bCs/>
              </w:rPr>
              <w:t>Stress influencing (negative) behaviours that effect physical well-being directly or change in daily routine</w:t>
            </w:r>
          </w:p>
        </w:tc>
        <w:tc>
          <w:tcPr>
            <w:tcW w:w="2143" w:type="dxa"/>
            <w:tcBorders>
              <w:top w:val="single" w:color="FFFFFF" w:sz="24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BDB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Pr="00E37660" w:rsidR="00E96C3E" w:rsidP="00F9308E" w:rsidRDefault="00E96C3E" w14:paraId="789B5DB1" w14:textId="77777777">
            <w:r w:rsidRPr="00E37660">
              <w:rPr>
                <w:b/>
                <w:bCs/>
                <w:lang w:val="en-US"/>
              </w:rPr>
              <w:t>Experience, time and individual growth can contribute to ‘developing’ one’s perspective, mentality and handling of mental health- including adopting stress- relieving outlets and coping mechanisms</w:t>
            </w:r>
          </w:p>
        </w:tc>
      </w:tr>
    </w:tbl>
    <w:p w:rsidRPr="00E96C3E" w:rsidR="00E96C3E" w:rsidP="00E96C3E" w:rsidRDefault="00E96C3E" w14:paraId="06C58EAD" w14:textId="77777777">
      <w:pPr>
        <w:tabs>
          <w:tab w:val="left" w:pos="3319"/>
        </w:tabs>
        <w:rPr>
          <w:sz w:val="28"/>
          <w:szCs w:val="28"/>
        </w:rPr>
      </w:pPr>
    </w:p>
    <w:sectPr w:rsidRPr="00E96C3E" w:rsidR="00E96C3E" w:rsidSect="00E376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660"/>
    <w:rsid w:val="0078293B"/>
    <w:rsid w:val="00E37660"/>
    <w:rsid w:val="00E96C3E"/>
    <w:rsid w:val="00ED5BCA"/>
    <w:rsid w:val="091FA22A"/>
    <w:rsid w:val="5BD5B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C83D2"/>
  <w15:chartTrackingRefBased/>
  <w15:docId w15:val="{D328E875-8479-43FB-BE8B-DF637563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766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1Light-Accent5">
    <w:name w:val="Grid Table 1 Light Accent 5"/>
    <w:basedOn w:val="TableNormal"/>
    <w:uiPriority w:val="46"/>
    <w:rsid w:val="00E96C3E"/>
    <w:pPr>
      <w:spacing w:after="0" w:line="240" w:lineRule="auto"/>
    </w:pPr>
    <w:tblPr>
      <w:tblStyleRowBandSize w:val="1"/>
      <w:tblStyleColBandSize w:val="1"/>
      <w:tblBorders>
        <w:top w:val="single" w:color="BDD6EE" w:themeColor="accent5" w:themeTint="66" w:sz="4" w:space="0"/>
        <w:left w:val="single" w:color="BDD6EE" w:themeColor="accent5" w:themeTint="66" w:sz="4" w:space="0"/>
        <w:bottom w:val="single" w:color="BDD6EE" w:themeColor="accent5" w:themeTint="66" w:sz="4" w:space="0"/>
        <w:right w:val="single" w:color="BDD6EE" w:themeColor="accent5" w:themeTint="66" w:sz="4" w:space="0"/>
        <w:insideH w:val="single" w:color="BDD6EE" w:themeColor="accent5" w:themeTint="66" w:sz="4" w:space="0"/>
        <w:insideV w:val="single" w:color="BDD6EE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CC2E5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9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Chin-Van Chau</dc:creator>
  <keywords/>
  <dc:description/>
  <lastModifiedBy>Chin-Van Chau</lastModifiedBy>
  <revision>3</revision>
  <dcterms:created xsi:type="dcterms:W3CDTF">2020-05-18T02:01:00.0000000Z</dcterms:created>
  <dcterms:modified xsi:type="dcterms:W3CDTF">2020-05-25T03:21:17.2605728Z</dcterms:modified>
</coreProperties>
</file>