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79511" w14:textId="77777777" w:rsidR="00EE6DFE" w:rsidRPr="00EE6DFE" w:rsidRDefault="00EE6DFE" w:rsidP="00EE6DFE">
      <w:pPr>
        <w:rPr>
          <w:rFonts w:cstheme="minorHAnsi"/>
        </w:rPr>
      </w:pPr>
      <w:r w:rsidRPr="00EE6DFE">
        <w:rPr>
          <w:rFonts w:cstheme="minorHAnsi"/>
        </w:rPr>
        <w:t xml:space="preserve">Project </w:t>
      </w:r>
      <w:r w:rsidRPr="00EE6DFE">
        <w:rPr>
          <w:rFonts w:cstheme="minorHAnsi"/>
          <w:color w:val="222222"/>
          <w:shd w:val="clear" w:color="auto" w:fill="FFFFFF"/>
        </w:rPr>
        <w:t>ES/S010203/1</w:t>
      </w:r>
    </w:p>
    <w:p w14:paraId="177E6DFE" w14:textId="77777777" w:rsidR="00EE6DFE" w:rsidRPr="00EE6DFE" w:rsidRDefault="00EE6DFE" w:rsidP="00EE6DFE">
      <w:pPr>
        <w:rPr>
          <w:rFonts w:cstheme="minorHAnsi"/>
          <w:b/>
          <w:bCs/>
        </w:rPr>
      </w:pPr>
      <w:r w:rsidRPr="00BC31E9">
        <w:rPr>
          <w:rFonts w:cstheme="minorHAnsi"/>
          <w:b/>
          <w:bCs/>
        </w:rPr>
        <w:t>Children's communicative development - bringing experimental pragmatics to the classroom</w:t>
      </w:r>
    </w:p>
    <w:p w14:paraId="1047AF23" w14:textId="343D2467" w:rsidR="00E60038" w:rsidRPr="00EE6DFE" w:rsidRDefault="00EE6DFE">
      <w:pPr>
        <w:rPr>
          <w:rFonts w:cstheme="minorHAnsi"/>
        </w:rPr>
      </w:pPr>
      <w:r w:rsidRPr="00EE6DFE">
        <w:rPr>
          <w:rFonts w:cstheme="minorHAnsi"/>
        </w:rPr>
        <w:t xml:space="preserve">Online experiment methods </w:t>
      </w:r>
    </w:p>
    <w:p w14:paraId="4170C2B8" w14:textId="385FE4D2" w:rsidR="00EE6DFE" w:rsidRPr="00EE6DFE" w:rsidRDefault="00FD5470">
      <w:pPr>
        <w:rPr>
          <w:rFonts w:cstheme="minorHAnsi"/>
          <w:color w:val="333333"/>
        </w:rPr>
      </w:pPr>
      <w:r>
        <w:rPr>
          <w:rFonts w:cstheme="minorHAnsi"/>
          <w:i/>
          <w:iCs/>
        </w:rPr>
        <w:t>Adapted from</w:t>
      </w:r>
      <w:r w:rsidR="00EE6DFE" w:rsidRPr="00EE6DFE">
        <w:rPr>
          <w:rFonts w:cstheme="minorHAnsi"/>
          <w:i/>
          <w:iCs/>
        </w:rPr>
        <w:t xml:space="preserve"> Wilson, Lawrence and Katsos (2022) </w:t>
      </w:r>
      <w:hyperlink r:id="rId5" w:history="1">
        <w:r w:rsidR="00EE6DFE" w:rsidRPr="00EE6DFE">
          <w:rPr>
            <w:rStyle w:val="Hyperlink"/>
            <w:rFonts w:cstheme="minorHAnsi"/>
          </w:rPr>
          <w:t>https://doi.org/10.1080/15475441.2022.2050236</w:t>
        </w:r>
      </w:hyperlink>
      <w:r w:rsidR="00EE6DFE" w:rsidRPr="00EE6DFE">
        <w:rPr>
          <w:rFonts w:cstheme="minorHAnsi"/>
          <w:color w:val="333333"/>
        </w:rPr>
        <w:t xml:space="preserve"> </w:t>
      </w:r>
    </w:p>
    <w:p w14:paraId="02721BD3" w14:textId="592799B2" w:rsidR="00EE6DFE" w:rsidRPr="00EE6DFE" w:rsidRDefault="00EE6DFE" w:rsidP="00EE6DFE">
      <w:pPr>
        <w:spacing w:before="240" w:after="240" w:line="240" w:lineRule="auto"/>
        <w:rPr>
          <w:rFonts w:eastAsia="Times New Roman" w:cstheme="minorHAnsi"/>
          <w:color w:val="333333"/>
          <w:lang w:eastAsia="en-GB"/>
        </w:rPr>
      </w:pPr>
      <w:r>
        <w:rPr>
          <w:rFonts w:eastAsia="Times New Roman" w:cstheme="minorHAnsi"/>
          <w:color w:val="333333"/>
          <w:lang w:eastAsia="en-GB"/>
        </w:rPr>
        <w:t xml:space="preserve">This online experiment was a follow-up to two studies conducted to investigate children’s ability to integrate the speaker’s visual perspective into a pragmatic inference (an ad hoc quantity implicature). In these experiments, listeners heard utterances such as ‘pick the card with pears’, and had to select the card (picture) intended by the speaker. Usually, by uttering ‘pick the card with pears’, the speaker would mean </w:t>
      </w:r>
      <w:r>
        <w:rPr>
          <w:rFonts w:eastAsia="Times New Roman" w:cstheme="minorHAnsi"/>
          <w:i/>
          <w:iCs/>
          <w:color w:val="333333"/>
          <w:lang w:eastAsia="en-GB"/>
        </w:rPr>
        <w:t>pick the card with pears and nothing else</w:t>
      </w:r>
      <w:r>
        <w:rPr>
          <w:rFonts w:eastAsia="Times New Roman" w:cstheme="minorHAnsi"/>
          <w:color w:val="333333"/>
          <w:lang w:eastAsia="en-GB"/>
        </w:rPr>
        <w:t xml:space="preserve">; however, in the critical condition, the speaker’s perspective differed from the listener’s, such that they could not see a card with pears and nothing else, but only one with pears and bananas, for instance. Crucially, though, ‘the card with pears’ was an informative description of this card, from the speaker’s point of view. The listener had to take into account the speaker’s perspective in order to </w:t>
      </w:r>
      <w:r>
        <w:rPr>
          <w:rFonts w:eastAsia="Times New Roman" w:cstheme="minorHAnsi"/>
          <w:i/>
          <w:iCs/>
          <w:color w:val="333333"/>
          <w:lang w:eastAsia="en-GB"/>
        </w:rPr>
        <w:t>not</w:t>
      </w:r>
      <w:r>
        <w:rPr>
          <w:rFonts w:eastAsia="Times New Roman" w:cstheme="minorHAnsi"/>
          <w:color w:val="333333"/>
          <w:lang w:eastAsia="en-GB"/>
        </w:rPr>
        <w:t xml:space="preserve"> derive an ad hoc quantity implicature, and choose the intended card. </w:t>
      </w:r>
    </w:p>
    <w:p w14:paraId="62ECBA11" w14:textId="55CE0769" w:rsidR="00EE6DFE" w:rsidRDefault="00EE6DFE" w:rsidP="00EE6DFE">
      <w:pPr>
        <w:spacing w:before="240" w:after="240" w:line="240" w:lineRule="auto"/>
        <w:rPr>
          <w:rFonts w:eastAsia="Times New Roman" w:cstheme="minorHAnsi"/>
          <w:color w:val="333333"/>
          <w:lang w:eastAsia="en-GB"/>
        </w:rPr>
      </w:pPr>
      <w:r>
        <w:rPr>
          <w:rFonts w:eastAsia="Times New Roman" w:cstheme="minorHAnsi"/>
          <w:color w:val="333333"/>
          <w:lang w:eastAsia="en-GB"/>
        </w:rPr>
        <w:t xml:space="preserve">We found that adults largely did take into account the speaker’s perspective, and successfully chose the card with pears and bananas; however, children mostly failed to do this. </w:t>
      </w:r>
      <w:r w:rsidR="00FD5470">
        <w:rPr>
          <w:rFonts w:eastAsia="Times New Roman" w:cstheme="minorHAnsi"/>
          <w:color w:val="333333"/>
          <w:lang w:eastAsia="en-GB"/>
        </w:rPr>
        <w:t xml:space="preserve">In order to conclude that children (and some adults) are struggling with integrating visual perspective-taking and pragmatic inferencing, we had to consider another possible explanation for the findings: </w:t>
      </w:r>
      <w:r w:rsidRPr="00EE6DFE">
        <w:rPr>
          <w:rFonts w:eastAsia="Times New Roman" w:cstheme="minorHAnsi"/>
          <w:color w:val="333333"/>
          <w:lang w:eastAsia="en-GB"/>
        </w:rPr>
        <w:t>it could be that the speaker’s utterance in the critical condition may be perceived as </w:t>
      </w:r>
      <w:r w:rsidRPr="00EE6DFE">
        <w:rPr>
          <w:rFonts w:eastAsia="Times New Roman" w:cstheme="minorHAnsi"/>
          <w:i/>
          <w:iCs/>
          <w:color w:val="333333"/>
          <w:lang w:eastAsia="en-GB"/>
        </w:rPr>
        <w:t>under-informative</w:t>
      </w:r>
      <w:r w:rsidRPr="00EE6DFE">
        <w:rPr>
          <w:rFonts w:eastAsia="Times New Roman" w:cstheme="minorHAnsi"/>
          <w:color w:val="333333"/>
          <w:lang w:eastAsia="en-GB"/>
        </w:rPr>
        <w:t>, even though logically speaking it is perfectly informative and moreover adequate given the goal at hand in the game. That is, hearers may be expecting the speaker to say “pick the card with pears and bananas,” rather than “pick the card with pears.” If this was the case, then it would make hearers more likely to choose the card with </w:t>
      </w:r>
      <w:r w:rsidRPr="00EE6DFE">
        <w:rPr>
          <w:rFonts w:eastAsia="Times New Roman" w:cstheme="minorHAnsi"/>
          <w:i/>
          <w:iCs/>
          <w:color w:val="333333"/>
          <w:lang w:eastAsia="en-GB"/>
        </w:rPr>
        <w:t>only</w:t>
      </w:r>
      <w:r w:rsidRPr="00EE6DFE">
        <w:rPr>
          <w:rFonts w:eastAsia="Times New Roman" w:cstheme="minorHAnsi"/>
          <w:color w:val="333333"/>
          <w:lang w:eastAsia="en-GB"/>
        </w:rPr>
        <w:t> pears, reconsider what the puppet can see, and select the card that is in privileged ground. This would explain the lower rate of correct responses in the critical condition. To test this possibility, we ran a follow-up study with adults using an acceptability judgment task.</w:t>
      </w:r>
    </w:p>
    <w:p w14:paraId="17B870BE" w14:textId="36F4F8E9" w:rsidR="00FD5470" w:rsidRPr="00EE6DFE" w:rsidRDefault="00FD5470" w:rsidP="00EE6DFE">
      <w:pPr>
        <w:spacing w:before="240" w:after="240" w:line="240" w:lineRule="auto"/>
        <w:rPr>
          <w:rFonts w:eastAsia="Times New Roman" w:cstheme="minorHAnsi"/>
          <w:b/>
          <w:bCs/>
          <w:color w:val="333333"/>
          <w:lang w:eastAsia="en-GB"/>
        </w:rPr>
      </w:pPr>
      <w:r>
        <w:rPr>
          <w:rFonts w:eastAsia="Times New Roman" w:cstheme="minorHAnsi"/>
          <w:b/>
          <w:bCs/>
          <w:color w:val="333333"/>
          <w:lang w:eastAsia="en-GB"/>
        </w:rPr>
        <w:t xml:space="preserve">Procedure </w:t>
      </w:r>
    </w:p>
    <w:p w14:paraId="21FA980D" w14:textId="18137EBF" w:rsidR="00FD5470" w:rsidRDefault="00EE6DFE" w:rsidP="00EE6DFE">
      <w:pPr>
        <w:spacing w:before="240" w:after="240" w:line="240" w:lineRule="auto"/>
        <w:rPr>
          <w:rFonts w:eastAsia="Times New Roman" w:cstheme="minorHAnsi"/>
          <w:color w:val="333333"/>
          <w:lang w:eastAsia="en-GB"/>
        </w:rPr>
      </w:pPr>
      <w:r w:rsidRPr="00EE6DFE">
        <w:rPr>
          <w:rFonts w:eastAsia="Times New Roman" w:cstheme="minorHAnsi"/>
          <w:color w:val="333333"/>
          <w:lang w:eastAsia="en-GB"/>
        </w:rPr>
        <w:t xml:space="preserve">In the task, </w:t>
      </w:r>
      <w:r w:rsidR="00FD5470">
        <w:rPr>
          <w:rFonts w:eastAsia="Times New Roman" w:cstheme="minorHAnsi"/>
          <w:color w:val="333333"/>
          <w:lang w:eastAsia="en-GB"/>
        </w:rPr>
        <w:t xml:space="preserve">adult </w:t>
      </w:r>
      <w:r w:rsidRPr="00EE6DFE">
        <w:rPr>
          <w:rFonts w:eastAsia="Times New Roman" w:cstheme="minorHAnsi"/>
          <w:color w:val="333333"/>
          <w:lang w:eastAsia="en-GB"/>
        </w:rPr>
        <w:t>participants</w:t>
      </w:r>
      <w:r w:rsidR="00FF78C0">
        <w:rPr>
          <w:rFonts w:eastAsia="Times New Roman" w:cstheme="minorHAnsi"/>
          <w:color w:val="333333"/>
          <w:lang w:eastAsia="en-GB"/>
        </w:rPr>
        <w:t xml:space="preserve"> (N=49)</w:t>
      </w:r>
      <w:r w:rsidR="00FD5470">
        <w:rPr>
          <w:rFonts w:eastAsia="Times New Roman" w:cstheme="minorHAnsi"/>
          <w:color w:val="333333"/>
          <w:lang w:eastAsia="en-GB"/>
        </w:rPr>
        <w:t xml:space="preserve"> took part in a game online. They</w:t>
      </w:r>
      <w:r w:rsidRPr="00EE6DFE">
        <w:rPr>
          <w:rFonts w:eastAsia="Times New Roman" w:cstheme="minorHAnsi"/>
          <w:color w:val="333333"/>
          <w:lang w:eastAsia="en-GB"/>
        </w:rPr>
        <w:t xml:space="preserve"> saw a display of three picture-cards, which matched the speaker’s perspective in Experiments 1 and 2, and were asked to rate how acceptable an utterance was as an instruction to pick up a particular card. Importantly, they were given the context of the utterance: that it was part of a game in which an “instructor” had to tell the “matcher” which cards to collect, where both the instructor and matcher can see the three cards (following the online version of Experiments 1 and 2). As in Experiments 1 and 2, the instructions were always of the type, “pick the card with … ” and occurred in four conditions: ambiguous, ad hoc implicature, the critical condition for this follow-up study (possibly under-informative), and fully informativ</w:t>
      </w:r>
      <w:r w:rsidR="00FD5470">
        <w:rPr>
          <w:rFonts w:eastAsia="Times New Roman" w:cstheme="minorHAnsi"/>
          <w:color w:val="333333"/>
          <w:lang w:eastAsia="en-GB"/>
        </w:rPr>
        <w:t>e</w:t>
      </w:r>
      <w:r w:rsidRPr="00EE6DFE">
        <w:rPr>
          <w:rFonts w:eastAsia="Times New Roman" w:cstheme="minorHAnsi"/>
          <w:color w:val="333333"/>
          <w:lang w:eastAsia="en-GB"/>
        </w:rPr>
        <w:t xml:space="preserve">. </w:t>
      </w:r>
    </w:p>
    <w:p w14:paraId="2EAAFF36" w14:textId="7CE01099" w:rsidR="00EE6DFE" w:rsidRDefault="00EE6DFE" w:rsidP="00EE6DFE">
      <w:pPr>
        <w:spacing w:before="240" w:after="240" w:line="240" w:lineRule="auto"/>
        <w:rPr>
          <w:rFonts w:eastAsia="Times New Roman" w:cstheme="minorHAnsi"/>
          <w:color w:val="333333"/>
          <w:lang w:eastAsia="en-GB"/>
        </w:rPr>
      </w:pPr>
      <w:r w:rsidRPr="00EE6DFE">
        <w:rPr>
          <w:rFonts w:eastAsia="Times New Roman" w:cstheme="minorHAnsi"/>
          <w:color w:val="333333"/>
          <w:lang w:eastAsia="en-GB"/>
        </w:rPr>
        <w:t>For instance, for an item in the critical condition, they were first presented with a picture card with pears and bananas, a picture card with oranges, and a picture card with pears; after 2 seconds, the card with pears and bananas was highlighted with a red border; then, one second later, the utterance “pick the card with bananas” and the Likert scale appeared. They were asked to rate each instruction on a 4-point scale (bad – kind of bad – kind of good – good</w:t>
      </w:r>
      <w:r w:rsidR="00FD5470">
        <w:rPr>
          <w:rFonts w:eastAsia="Times New Roman" w:cstheme="minorHAnsi"/>
          <w:color w:val="333333"/>
          <w:lang w:eastAsia="en-GB"/>
        </w:rPr>
        <w:t>)</w:t>
      </w:r>
      <w:r w:rsidRPr="00EE6DFE">
        <w:rPr>
          <w:rFonts w:eastAsia="Times New Roman" w:cstheme="minorHAnsi"/>
          <w:color w:val="333333"/>
          <w:lang w:eastAsia="en-GB"/>
        </w:rPr>
        <w:t>. An acceptability judgment task arguably measures production as it invites participants to model what they would have said as the speaker, given a state of the world. We decided to test adults only as prior findings show that children tend to be more accepting of under-informative utterances than adults and also under-</w:t>
      </w:r>
      <w:r w:rsidRPr="00EE6DFE">
        <w:rPr>
          <w:rFonts w:eastAsia="Times New Roman" w:cstheme="minorHAnsi"/>
          <w:color w:val="333333"/>
          <w:lang w:eastAsia="en-GB"/>
        </w:rPr>
        <w:lastRenderedPageBreak/>
        <w:t>informative in their production; in other words, testing adults is more likely to provide support for this objection to the paradigm.</w:t>
      </w:r>
    </w:p>
    <w:p w14:paraId="3AE9B77E" w14:textId="195DD4CC" w:rsidR="00603EE4" w:rsidRPr="00EE6DFE" w:rsidRDefault="00603EE4" w:rsidP="00EE6DFE">
      <w:pPr>
        <w:spacing w:before="240" w:after="240" w:line="240" w:lineRule="auto"/>
        <w:rPr>
          <w:rFonts w:eastAsia="Times New Roman" w:cstheme="minorHAnsi"/>
          <w:color w:val="333333"/>
          <w:lang w:eastAsia="en-GB"/>
        </w:rPr>
      </w:pPr>
      <w:r>
        <w:rPr>
          <w:rFonts w:eastAsia="Times New Roman" w:cstheme="minorHAnsi"/>
          <w:color w:val="333333"/>
          <w:lang w:eastAsia="en-GB"/>
        </w:rPr>
        <w:t xml:space="preserve">As with Experiments 1 and 2, </w:t>
      </w:r>
      <w:r w:rsidR="00DF5017">
        <w:rPr>
          <w:rFonts w:eastAsia="Times New Roman" w:cstheme="minorHAnsi"/>
          <w:color w:val="333333"/>
          <w:lang w:eastAsia="en-GB"/>
        </w:rPr>
        <w:t xml:space="preserve">items were presented in blocks of four with the same </w:t>
      </w:r>
      <w:r w:rsidR="006C22DC">
        <w:rPr>
          <w:rFonts w:eastAsia="Times New Roman" w:cstheme="minorHAnsi"/>
          <w:color w:val="333333"/>
          <w:lang w:eastAsia="en-GB"/>
        </w:rPr>
        <w:t xml:space="preserve">image type across each block (e.g. fruit, farm animals, clothes). Within each block, the </w:t>
      </w:r>
      <w:r w:rsidR="009B29A1">
        <w:rPr>
          <w:rFonts w:eastAsia="Times New Roman" w:cstheme="minorHAnsi"/>
          <w:color w:val="333333"/>
          <w:lang w:eastAsia="en-GB"/>
        </w:rPr>
        <w:t xml:space="preserve">order of trials in each condition was randomised. </w:t>
      </w:r>
    </w:p>
    <w:p w14:paraId="710D76B5" w14:textId="2511A2CB" w:rsidR="00EE6DFE" w:rsidRPr="00EE6DFE" w:rsidRDefault="00EE6DFE" w:rsidP="00EE6DFE">
      <w:pPr>
        <w:spacing w:before="240" w:after="240" w:line="240" w:lineRule="auto"/>
        <w:rPr>
          <w:rFonts w:eastAsia="Times New Roman" w:cstheme="minorHAnsi"/>
          <w:color w:val="333333"/>
          <w:lang w:eastAsia="en-GB"/>
        </w:rPr>
      </w:pPr>
      <w:r w:rsidRPr="00EE6DFE">
        <w:rPr>
          <w:rFonts w:eastAsia="Times New Roman" w:cstheme="minorHAnsi"/>
          <w:color w:val="333333"/>
          <w:lang w:eastAsia="en-GB"/>
        </w:rPr>
        <w:t>Example display from the follow-up task with example utterances for each condition.</w:t>
      </w:r>
    </w:p>
    <w:p w14:paraId="2C8FF185" w14:textId="50035A3B" w:rsidR="00EE6DFE" w:rsidRPr="00EE6DFE" w:rsidRDefault="00444F48" w:rsidP="00EE6DFE">
      <w:pPr>
        <w:spacing w:after="0" w:line="240" w:lineRule="auto"/>
        <w:rPr>
          <w:rFonts w:eastAsia="Times New Roman" w:cstheme="minorHAnsi"/>
          <w:color w:val="333333"/>
          <w:lang w:eastAsia="en-GB"/>
        </w:rPr>
      </w:pPr>
      <w:r w:rsidRPr="00444F48">
        <w:rPr>
          <w:rFonts w:eastAsia="Times New Roman" w:cstheme="minorHAnsi"/>
          <w:b/>
          <w:bCs/>
          <w:noProof/>
          <w:color w:val="333333"/>
          <w:lang w:eastAsia="en-GB"/>
        </w:rPr>
        <mc:AlternateContent>
          <mc:Choice Requires="wps">
            <w:drawing>
              <wp:anchor distT="45720" distB="45720" distL="114300" distR="114300" simplePos="0" relativeHeight="251659264" behindDoc="0" locked="0" layoutInCell="1" allowOverlap="1" wp14:anchorId="6E1856FC" wp14:editId="5B386626">
                <wp:simplePos x="0" y="0"/>
                <wp:positionH relativeFrom="column">
                  <wp:posOffset>128905</wp:posOffset>
                </wp:positionH>
                <wp:positionV relativeFrom="paragraph">
                  <wp:posOffset>4272280</wp:posOffset>
                </wp:positionV>
                <wp:extent cx="5257800" cy="2191385"/>
                <wp:effectExtent l="0" t="0" r="19050"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191385"/>
                        </a:xfrm>
                        <a:prstGeom prst="rect">
                          <a:avLst/>
                        </a:prstGeom>
                        <a:solidFill>
                          <a:srgbClr val="FFFFFF"/>
                        </a:solidFill>
                        <a:ln w="9525">
                          <a:solidFill>
                            <a:srgbClr val="000000"/>
                          </a:solidFill>
                          <a:miter lim="800000"/>
                          <a:headEnd/>
                          <a:tailEnd/>
                        </a:ln>
                      </wps:spPr>
                      <wps:txbx>
                        <w:txbxContent>
                          <w:p w14:paraId="1ACB117E" w14:textId="75DE48E2" w:rsidR="00444F48" w:rsidRPr="00444F48" w:rsidRDefault="00444F48" w:rsidP="00444F48">
                            <w:pPr>
                              <w:pStyle w:val="NormalWeb"/>
                              <w:spacing w:before="0" w:beforeAutospacing="0" w:after="0" w:afterAutospacing="0"/>
                              <w:rPr>
                                <w:rFonts w:ascii="Calibri" w:hAnsi="Calibri" w:cs="Calibri"/>
                                <w:sz w:val="22"/>
                                <w:szCs w:val="22"/>
                              </w:rPr>
                            </w:pPr>
                            <w:r w:rsidRPr="00444F48">
                              <w:rPr>
                                <w:rFonts w:ascii="Calibri" w:hAnsi="Calibri" w:cs="Calibri"/>
                                <w:b/>
                                <w:bCs/>
                                <w:sz w:val="22"/>
                                <w:szCs w:val="22"/>
                              </w:rPr>
                              <w:t>Instructions</w:t>
                            </w:r>
                          </w:p>
                          <w:p w14:paraId="7B6ACE76"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xml:space="preserve">This task is about rating how good someone's instructions are. Imagine a game, where one person is the instructor, and the other is the 'matcher'. The instructor's job is to tell the matcher which picture cards to collect. The matcher's job is to click on the picture that the instructor says, in order to collect the cards. </w:t>
                            </w:r>
                          </w:p>
                          <w:p w14:paraId="4B7F6DD7"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w:t>
                            </w:r>
                          </w:p>
                          <w:p w14:paraId="72A5BD60"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xml:space="preserve">Your job now is to say how good you think the instructor's instruction is for picking the card </w:t>
                            </w:r>
                            <w:r w:rsidRPr="00444F48">
                              <w:rPr>
                                <w:rFonts w:ascii="Calibri" w:hAnsi="Calibri" w:cs="Calibri"/>
                                <w:color w:val="000000"/>
                                <w:sz w:val="22"/>
                                <w:szCs w:val="22"/>
                                <w:highlight w:val="yellow"/>
                              </w:rPr>
                              <w:t>highlighted in red</w:t>
                            </w:r>
                            <w:r w:rsidRPr="00444F48">
                              <w:rPr>
                                <w:rFonts w:ascii="Calibri" w:hAnsi="Calibri" w:cs="Calibri"/>
                                <w:color w:val="000000"/>
                                <w:sz w:val="22"/>
                                <w:szCs w:val="22"/>
                              </w:rPr>
                              <w:t xml:space="preserve">. </w:t>
                            </w:r>
                          </w:p>
                          <w:p w14:paraId="5B5EF7C5"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w:t>
                            </w:r>
                          </w:p>
                          <w:p w14:paraId="65542FFC"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xml:space="preserve">For example, here the instructor wants the matcher to pick the card highlighted in red. He says, "Pick the card with scissors". How good do you think this instruction is? </w:t>
                            </w:r>
                          </w:p>
                          <w:p w14:paraId="69C1B434"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xml:space="preserve">Good - kind of good -kind of bad - bad. </w:t>
                            </w:r>
                          </w:p>
                          <w:p w14:paraId="2236A9A3" w14:textId="3D580C57" w:rsidR="00444F48" w:rsidRDefault="00444F4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856FC" id="_x0000_t202" coordsize="21600,21600" o:spt="202" path="m,l,21600r21600,l21600,xe">
                <v:stroke joinstyle="miter"/>
                <v:path gradientshapeok="t" o:connecttype="rect"/>
              </v:shapetype>
              <v:shape id="Text Box 2" o:spid="_x0000_s1026" type="#_x0000_t202" style="position:absolute;margin-left:10.15pt;margin-top:336.4pt;width:414pt;height:172.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">
                <v:textbox>
                  <w:txbxContent>
                    <w:p w14:paraId="1ACB117E" w14:textId="75DE48E2" w:rsidR="00444F48" w:rsidRPr="00444F48" w:rsidRDefault="00444F48" w:rsidP="00444F48">
                      <w:pPr>
                        <w:pStyle w:val="NormalWeb"/>
                        <w:spacing w:before="0" w:beforeAutospacing="0" w:after="0" w:afterAutospacing="0"/>
                        <w:rPr>
                          <w:rFonts w:ascii="Calibri" w:hAnsi="Calibri" w:cs="Calibri"/>
                          <w:sz w:val="22"/>
                          <w:szCs w:val="22"/>
                        </w:rPr>
                      </w:pPr>
                      <w:r w:rsidRPr="00444F48">
                        <w:rPr>
                          <w:rFonts w:ascii="Calibri" w:hAnsi="Calibri" w:cs="Calibri"/>
                          <w:b/>
                          <w:bCs/>
                          <w:sz w:val="22"/>
                          <w:szCs w:val="22"/>
                        </w:rPr>
                        <w:t>Instructions</w:t>
                      </w:r>
                    </w:p>
                    <w:p w14:paraId="7B6ACE76"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xml:space="preserve">This task is about rating how good someone's instructions are. Imagine a game, where one person is the instructor, and the other is the 'matcher'. The instructor's job is to tell the matcher which picture cards to collect. The matcher's job is to click on the picture that the instructor says, in order to collect the cards. </w:t>
                      </w:r>
                    </w:p>
                    <w:p w14:paraId="4B7F6DD7"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w:t>
                      </w:r>
                    </w:p>
                    <w:p w14:paraId="72A5BD60"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xml:space="preserve">Your job now is to say how good you think the instructor's instruction is for picking the card </w:t>
                      </w:r>
                      <w:r w:rsidRPr="00444F48">
                        <w:rPr>
                          <w:rFonts w:ascii="Calibri" w:hAnsi="Calibri" w:cs="Calibri"/>
                          <w:color w:val="000000"/>
                          <w:sz w:val="22"/>
                          <w:szCs w:val="22"/>
                          <w:highlight w:val="yellow"/>
                        </w:rPr>
                        <w:t>highlighted in red</w:t>
                      </w:r>
                      <w:r w:rsidRPr="00444F48">
                        <w:rPr>
                          <w:rFonts w:ascii="Calibri" w:hAnsi="Calibri" w:cs="Calibri"/>
                          <w:color w:val="000000"/>
                          <w:sz w:val="22"/>
                          <w:szCs w:val="22"/>
                        </w:rPr>
                        <w:t xml:space="preserve">. </w:t>
                      </w:r>
                    </w:p>
                    <w:p w14:paraId="5B5EF7C5"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w:t>
                      </w:r>
                    </w:p>
                    <w:p w14:paraId="65542FFC"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xml:space="preserve">For example, here the instructor wants the matcher to pick the card highlighted in red. He says, "Pick the card with scissors". How good do you think this instruction is? </w:t>
                      </w:r>
                    </w:p>
                    <w:p w14:paraId="69C1B434" w14:textId="77777777" w:rsidR="00444F48" w:rsidRPr="00444F48" w:rsidRDefault="00444F48" w:rsidP="00444F48">
                      <w:pPr>
                        <w:pStyle w:val="NormalWeb"/>
                        <w:spacing w:before="0" w:beforeAutospacing="0" w:after="0" w:afterAutospacing="0"/>
                        <w:rPr>
                          <w:rFonts w:ascii="Calibri" w:hAnsi="Calibri" w:cs="Calibri"/>
                          <w:color w:val="000000"/>
                          <w:sz w:val="22"/>
                          <w:szCs w:val="22"/>
                        </w:rPr>
                      </w:pPr>
                      <w:r w:rsidRPr="00444F48">
                        <w:rPr>
                          <w:rFonts w:ascii="Calibri" w:hAnsi="Calibri" w:cs="Calibri"/>
                          <w:color w:val="000000"/>
                          <w:sz w:val="22"/>
                          <w:szCs w:val="22"/>
                        </w:rPr>
                        <w:t xml:space="preserve">Good - kind of good -kind of bad - bad. </w:t>
                      </w:r>
                    </w:p>
                    <w:p w14:paraId="2236A9A3" w14:textId="3D580C57" w:rsidR="00444F48" w:rsidRDefault="00444F48"/>
                  </w:txbxContent>
                </v:textbox>
                <w10:wrap type="square"/>
              </v:shape>
            </w:pict>
          </mc:Fallback>
        </mc:AlternateContent>
      </w:r>
      <w:r w:rsidR="00EE6DFE" w:rsidRPr="00EE6DFE">
        <w:rPr>
          <w:rFonts w:eastAsia="Times New Roman" w:cstheme="minorHAnsi"/>
          <w:noProof/>
          <w:color w:val="10147E"/>
          <w:lang w:eastAsia="en-GB"/>
        </w:rPr>
        <w:drawing>
          <wp:inline distT="0" distB="0" distL="0" distR="0" wp14:anchorId="7439A7F1" wp14:editId="77893C6B">
            <wp:extent cx="4760595" cy="4020185"/>
            <wp:effectExtent l="0" t="0" r="1905" b="0"/>
            <wp:docPr id="1" name="Picture 1" descr="A picture containing diagram&#10;&#10;Description automatically generate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0595" cy="4020185"/>
                    </a:xfrm>
                    <a:prstGeom prst="rect">
                      <a:avLst/>
                    </a:prstGeom>
                    <a:noFill/>
                    <a:ln>
                      <a:noFill/>
                    </a:ln>
                  </pic:spPr>
                </pic:pic>
              </a:graphicData>
            </a:graphic>
          </wp:inline>
        </w:drawing>
      </w:r>
    </w:p>
    <w:p w14:paraId="6AE8AB57" w14:textId="6C353371" w:rsidR="00444F48" w:rsidRDefault="00444F48" w:rsidP="00EE6DFE">
      <w:pPr>
        <w:spacing w:before="240" w:after="240" w:line="240" w:lineRule="auto"/>
        <w:rPr>
          <w:rFonts w:eastAsia="Times New Roman" w:cstheme="minorHAnsi"/>
          <w:b/>
          <w:bCs/>
          <w:color w:val="333333"/>
          <w:lang w:eastAsia="en-GB"/>
        </w:rPr>
      </w:pPr>
    </w:p>
    <w:p w14:paraId="196F06C8" w14:textId="49B06C14" w:rsidR="00444F48" w:rsidRDefault="00444F48" w:rsidP="00EE6DFE">
      <w:pPr>
        <w:spacing w:before="240" w:after="240" w:line="240" w:lineRule="auto"/>
        <w:rPr>
          <w:rFonts w:eastAsia="Times New Roman" w:cstheme="minorHAnsi"/>
          <w:b/>
          <w:bCs/>
          <w:color w:val="333333"/>
          <w:lang w:eastAsia="en-GB"/>
        </w:rPr>
      </w:pPr>
    </w:p>
    <w:p w14:paraId="3A2F8AF4" w14:textId="4A7DC06B" w:rsidR="00444F48" w:rsidRDefault="00444F48" w:rsidP="00EE6DFE">
      <w:pPr>
        <w:spacing w:before="240" w:after="240" w:line="240" w:lineRule="auto"/>
        <w:rPr>
          <w:rFonts w:eastAsia="Times New Roman" w:cstheme="minorHAnsi"/>
          <w:b/>
          <w:bCs/>
          <w:color w:val="333333"/>
          <w:lang w:eastAsia="en-GB"/>
        </w:rPr>
      </w:pPr>
    </w:p>
    <w:p w14:paraId="630FFE3D" w14:textId="5363E406" w:rsidR="00FD5470" w:rsidRDefault="00FD5470" w:rsidP="00EE6DFE">
      <w:pPr>
        <w:spacing w:before="240" w:after="240" w:line="240" w:lineRule="auto"/>
        <w:rPr>
          <w:rFonts w:eastAsia="Times New Roman" w:cstheme="minorHAnsi"/>
          <w:b/>
          <w:bCs/>
          <w:color w:val="333333"/>
          <w:lang w:eastAsia="en-GB"/>
        </w:rPr>
      </w:pPr>
      <w:r>
        <w:rPr>
          <w:rFonts w:eastAsia="Times New Roman" w:cstheme="minorHAnsi"/>
          <w:b/>
          <w:bCs/>
          <w:color w:val="333333"/>
          <w:lang w:eastAsia="en-GB"/>
        </w:rPr>
        <w:t>Predictions</w:t>
      </w:r>
    </w:p>
    <w:p w14:paraId="61ADF0D2" w14:textId="3EFF4BE9" w:rsidR="00FD5470" w:rsidRPr="00FD5470" w:rsidRDefault="00EE6DFE" w:rsidP="00EE6DFE">
      <w:pPr>
        <w:spacing w:before="240" w:after="240" w:line="240" w:lineRule="auto"/>
        <w:rPr>
          <w:rFonts w:eastAsia="Times New Roman" w:cstheme="minorHAnsi"/>
          <w:b/>
          <w:bCs/>
          <w:color w:val="333333"/>
          <w:lang w:eastAsia="en-GB"/>
        </w:rPr>
      </w:pPr>
      <w:r w:rsidRPr="00EE6DFE">
        <w:rPr>
          <w:rFonts w:eastAsia="Times New Roman" w:cstheme="minorHAnsi"/>
          <w:color w:val="333333"/>
          <w:lang w:eastAsia="en-GB"/>
        </w:rPr>
        <w:t>We predicted that</w:t>
      </w:r>
      <w:r w:rsidR="00FD5470">
        <w:rPr>
          <w:rFonts w:eastAsia="Times New Roman" w:cstheme="minorHAnsi"/>
          <w:color w:val="333333"/>
          <w:lang w:eastAsia="en-GB"/>
        </w:rPr>
        <w:t>:</w:t>
      </w:r>
    </w:p>
    <w:p w14:paraId="1EC27A5F" w14:textId="77777777" w:rsidR="00FD5470" w:rsidRDefault="00EE6DFE" w:rsidP="00FD5470">
      <w:pPr>
        <w:pStyle w:val="ListParagraph"/>
        <w:numPr>
          <w:ilvl w:val="0"/>
          <w:numId w:val="1"/>
        </w:numPr>
        <w:spacing w:before="240" w:after="240" w:line="240" w:lineRule="auto"/>
        <w:rPr>
          <w:rFonts w:eastAsia="Times New Roman" w:cstheme="minorHAnsi"/>
          <w:color w:val="333333"/>
          <w:lang w:eastAsia="en-GB"/>
        </w:rPr>
      </w:pPr>
      <w:r w:rsidRPr="00FD5470">
        <w:rPr>
          <w:rFonts w:eastAsia="Times New Roman" w:cstheme="minorHAnsi"/>
          <w:color w:val="333333"/>
          <w:lang w:eastAsia="en-GB"/>
        </w:rPr>
        <w:t xml:space="preserve">the fully informative condition would be rated as overwhelmingly “good” </w:t>
      </w:r>
    </w:p>
    <w:p w14:paraId="028DDF9A" w14:textId="79FAC31E" w:rsidR="00FD5470" w:rsidRDefault="00EE6DFE" w:rsidP="00FD5470">
      <w:pPr>
        <w:pStyle w:val="ListParagraph"/>
        <w:numPr>
          <w:ilvl w:val="0"/>
          <w:numId w:val="1"/>
        </w:numPr>
        <w:spacing w:before="240" w:after="240" w:line="240" w:lineRule="auto"/>
        <w:rPr>
          <w:rFonts w:eastAsia="Times New Roman" w:cstheme="minorHAnsi"/>
          <w:color w:val="333333"/>
          <w:lang w:eastAsia="en-GB"/>
        </w:rPr>
      </w:pPr>
      <w:r w:rsidRPr="00FD5470">
        <w:rPr>
          <w:rFonts w:eastAsia="Times New Roman" w:cstheme="minorHAnsi"/>
          <w:color w:val="333333"/>
          <w:lang w:eastAsia="en-GB"/>
        </w:rPr>
        <w:t>the ambiguous condition would be rated as “bad</w:t>
      </w:r>
      <w:r w:rsidR="00FD5470">
        <w:rPr>
          <w:rFonts w:eastAsia="Times New Roman" w:cstheme="minorHAnsi"/>
          <w:color w:val="333333"/>
          <w:lang w:eastAsia="en-GB"/>
        </w:rPr>
        <w:t>”</w:t>
      </w:r>
    </w:p>
    <w:p w14:paraId="740DF0DB" w14:textId="7545EB69" w:rsidR="00FD5470" w:rsidRDefault="00EE6DFE" w:rsidP="00FD5470">
      <w:pPr>
        <w:pStyle w:val="ListParagraph"/>
        <w:numPr>
          <w:ilvl w:val="0"/>
          <w:numId w:val="1"/>
        </w:numPr>
        <w:spacing w:before="240" w:after="240" w:line="240" w:lineRule="auto"/>
        <w:rPr>
          <w:rFonts w:eastAsia="Times New Roman" w:cstheme="minorHAnsi"/>
          <w:color w:val="333333"/>
          <w:lang w:eastAsia="en-GB"/>
        </w:rPr>
      </w:pPr>
      <w:r w:rsidRPr="00FD5470">
        <w:rPr>
          <w:rFonts w:eastAsia="Times New Roman" w:cstheme="minorHAnsi"/>
          <w:color w:val="333333"/>
          <w:lang w:eastAsia="en-GB"/>
        </w:rPr>
        <w:t xml:space="preserve">the ad hoc implicature condition to also be rated as “kind of good” to “good” </w:t>
      </w:r>
    </w:p>
    <w:p w14:paraId="62860942" w14:textId="55AEFD42" w:rsidR="00EE6DFE" w:rsidRPr="00FD5470" w:rsidRDefault="00FD5470" w:rsidP="00FD5470">
      <w:pPr>
        <w:pStyle w:val="ListParagraph"/>
        <w:numPr>
          <w:ilvl w:val="0"/>
          <w:numId w:val="1"/>
        </w:numPr>
        <w:spacing w:before="240" w:after="240" w:line="240" w:lineRule="auto"/>
        <w:rPr>
          <w:rFonts w:eastAsia="Times New Roman" w:cstheme="minorHAnsi"/>
          <w:color w:val="333333"/>
          <w:lang w:eastAsia="en-GB"/>
        </w:rPr>
      </w:pPr>
      <w:r>
        <w:rPr>
          <w:rFonts w:eastAsia="Times New Roman" w:cstheme="minorHAnsi"/>
          <w:color w:val="333333"/>
          <w:lang w:eastAsia="en-GB"/>
        </w:rPr>
        <w:t xml:space="preserve">the </w:t>
      </w:r>
      <w:r w:rsidR="00EE6DFE" w:rsidRPr="00FD5470">
        <w:rPr>
          <w:rFonts w:eastAsia="Times New Roman" w:cstheme="minorHAnsi"/>
          <w:color w:val="333333"/>
          <w:lang w:eastAsia="en-GB"/>
        </w:rPr>
        <w:t>critical condition</w:t>
      </w:r>
      <w:r>
        <w:rPr>
          <w:rFonts w:eastAsia="Times New Roman" w:cstheme="minorHAnsi"/>
          <w:color w:val="333333"/>
          <w:lang w:eastAsia="en-GB"/>
        </w:rPr>
        <w:t xml:space="preserve"> to be also rated as </w:t>
      </w:r>
      <w:r w:rsidRPr="00FD5470">
        <w:rPr>
          <w:rFonts w:eastAsia="Times New Roman" w:cstheme="minorHAnsi"/>
          <w:color w:val="333333"/>
          <w:lang w:eastAsia="en-GB"/>
        </w:rPr>
        <w:t>“kind of good” to “good”</w:t>
      </w:r>
      <w:r w:rsidR="00EE6DFE" w:rsidRPr="00FD5470">
        <w:rPr>
          <w:rFonts w:eastAsia="Times New Roman" w:cstheme="minorHAnsi"/>
          <w:color w:val="333333"/>
          <w:lang w:eastAsia="en-GB"/>
        </w:rPr>
        <w:t>, if participants expected the speaker to be informative (and also succinct);</w:t>
      </w:r>
      <w:r>
        <w:rPr>
          <w:rFonts w:eastAsia="Times New Roman" w:cstheme="minorHAnsi"/>
          <w:color w:val="333333"/>
          <w:lang w:eastAsia="en-GB"/>
        </w:rPr>
        <w:t xml:space="preserve"> alternatively, as “kind of bad” to “bad”</w:t>
      </w:r>
      <w:r w:rsidR="00EE6DFE" w:rsidRPr="00FD5470">
        <w:rPr>
          <w:rFonts w:eastAsia="Times New Roman" w:cstheme="minorHAnsi"/>
          <w:color w:val="333333"/>
          <w:lang w:eastAsia="en-GB"/>
        </w:rPr>
        <w:t xml:space="preserve"> if, on the other hand, the context gives rise to expectations of strictly speaking over-informative utterances</w:t>
      </w:r>
      <w:r>
        <w:rPr>
          <w:rFonts w:eastAsia="Times New Roman" w:cstheme="minorHAnsi"/>
          <w:color w:val="333333"/>
          <w:lang w:eastAsia="en-GB"/>
        </w:rPr>
        <w:t>.</w:t>
      </w:r>
    </w:p>
    <w:p w14:paraId="4E3CE0E3" w14:textId="3A4F3E66" w:rsidR="00FD5470" w:rsidRDefault="00FD5470" w:rsidP="00EE6DFE">
      <w:pPr>
        <w:spacing w:before="240" w:after="240" w:line="240" w:lineRule="auto"/>
        <w:rPr>
          <w:rFonts w:eastAsia="Times New Roman" w:cstheme="minorHAnsi"/>
          <w:b/>
          <w:bCs/>
          <w:color w:val="333333"/>
          <w:lang w:eastAsia="en-GB"/>
        </w:rPr>
      </w:pPr>
      <w:r>
        <w:rPr>
          <w:rFonts w:eastAsia="Times New Roman" w:cstheme="minorHAnsi"/>
          <w:b/>
          <w:bCs/>
          <w:color w:val="333333"/>
          <w:lang w:eastAsia="en-GB"/>
        </w:rPr>
        <w:t>Participants</w:t>
      </w:r>
    </w:p>
    <w:p w14:paraId="4B1E019E" w14:textId="1920C66A" w:rsidR="00EE6DFE" w:rsidRPr="00EE6DFE" w:rsidRDefault="00EE6DFE" w:rsidP="00EE6DFE">
      <w:pPr>
        <w:spacing w:before="240" w:after="240" w:line="240" w:lineRule="auto"/>
        <w:rPr>
          <w:rFonts w:eastAsia="Times New Roman" w:cstheme="minorHAnsi"/>
          <w:b/>
          <w:bCs/>
          <w:color w:val="333333"/>
          <w:lang w:eastAsia="en-GB"/>
        </w:rPr>
      </w:pPr>
      <w:r w:rsidRPr="00EE6DFE">
        <w:rPr>
          <w:rFonts w:eastAsia="Times New Roman" w:cstheme="minorHAnsi"/>
          <w:color w:val="333333"/>
          <w:lang w:eastAsia="en-GB"/>
        </w:rPr>
        <w:t>English-speaking adults (N = 49) completed the task online using the Gorilla Experiment Builder (Anwyl-Irvine et al., </w:t>
      </w:r>
      <w:hyperlink r:id="rId8" w:history="1">
        <w:r w:rsidRPr="00EE6DFE">
          <w:rPr>
            <w:rFonts w:eastAsia="Times New Roman" w:cstheme="minorHAnsi"/>
            <w:color w:val="10147E"/>
            <w:u w:val="single"/>
            <w:lang w:eastAsia="en-GB"/>
          </w:rPr>
          <w:t>2020</w:t>
        </w:r>
      </w:hyperlink>
      <w:r w:rsidRPr="00EE6DFE">
        <w:rPr>
          <w:rFonts w:eastAsia="Times New Roman" w:cstheme="minorHAnsi"/>
          <w:color w:val="333333"/>
          <w:lang w:eastAsia="en-GB"/>
        </w:rPr>
        <w:t>); they were recruited via Prolific (</w:t>
      </w:r>
      <w:hyperlink r:id="rId9" w:tgtFrame="_blank" w:history="1">
        <w:r w:rsidRPr="00EE6DFE">
          <w:rPr>
            <w:rFonts w:eastAsia="Times New Roman" w:cstheme="minorHAnsi"/>
            <w:color w:val="10147E"/>
            <w:u w:val="single"/>
            <w:lang w:eastAsia="en-GB"/>
          </w:rPr>
          <w:t>www.prolific.co</w:t>
        </w:r>
      </w:hyperlink>
      <w:r w:rsidRPr="00EE6DFE">
        <w:rPr>
          <w:rFonts w:eastAsia="Times New Roman" w:cstheme="minorHAnsi"/>
          <w:color w:val="333333"/>
          <w:lang w:eastAsia="en-GB"/>
        </w:rPr>
        <w:t>).</w:t>
      </w:r>
    </w:p>
    <w:p w14:paraId="7912C2E8" w14:textId="0CE7B143" w:rsidR="00FD5470" w:rsidRPr="00FD5470" w:rsidRDefault="00FD5470">
      <w:pPr>
        <w:rPr>
          <w:rStyle w:val="authors"/>
          <w:rFonts w:ascii="Open Sans" w:hAnsi="Open Sans" w:cs="Open Sans"/>
          <w:b/>
          <w:bCs/>
          <w:color w:val="333333"/>
          <w:shd w:val="clear" w:color="auto" w:fill="FFFFFF"/>
        </w:rPr>
      </w:pPr>
      <w:r w:rsidRPr="00FD5470">
        <w:rPr>
          <w:rStyle w:val="authors"/>
          <w:rFonts w:ascii="Open Sans" w:hAnsi="Open Sans" w:cs="Open Sans"/>
          <w:b/>
          <w:bCs/>
          <w:color w:val="333333"/>
          <w:shd w:val="clear" w:color="auto" w:fill="FFFFFF"/>
        </w:rPr>
        <w:t>References</w:t>
      </w:r>
    </w:p>
    <w:p w14:paraId="37574A30" w14:textId="6D0E681D" w:rsidR="00FD5470" w:rsidRDefault="00FD5470">
      <w:pPr>
        <w:rPr>
          <w:rStyle w:val="authors"/>
          <w:rFonts w:ascii="Open Sans" w:hAnsi="Open Sans" w:cs="Open Sans"/>
          <w:color w:val="333333"/>
          <w:shd w:val="clear" w:color="auto" w:fill="FFFFFF"/>
        </w:rPr>
      </w:pPr>
      <w:r>
        <w:rPr>
          <w:rStyle w:val="hlfld-contribauthor"/>
          <w:rFonts w:ascii="Open Sans" w:hAnsi="Open Sans" w:cs="Open Sans"/>
          <w:color w:val="333333"/>
        </w:rPr>
        <w:t>Anwyl-Irvine, </w:t>
      </w:r>
      <w:r>
        <w:rPr>
          <w:rStyle w:val="nlmgiven-names"/>
          <w:rFonts w:ascii="Open Sans" w:hAnsi="Open Sans" w:cs="Open Sans"/>
          <w:color w:val="333333"/>
        </w:rPr>
        <w:t>A. L.</w:t>
      </w:r>
      <w:r>
        <w:rPr>
          <w:rFonts w:ascii="Open Sans" w:hAnsi="Open Sans" w:cs="Open Sans"/>
          <w:color w:val="333333"/>
        </w:rPr>
        <w:t>, </w:t>
      </w:r>
      <w:r>
        <w:rPr>
          <w:rStyle w:val="hlfld-contribauthor"/>
          <w:rFonts w:ascii="Open Sans" w:hAnsi="Open Sans" w:cs="Open Sans"/>
          <w:color w:val="333333"/>
        </w:rPr>
        <w:t>Massonnié, </w:t>
      </w:r>
      <w:r>
        <w:rPr>
          <w:rStyle w:val="nlmgiven-names"/>
          <w:rFonts w:ascii="Open Sans" w:hAnsi="Open Sans" w:cs="Open Sans"/>
          <w:color w:val="333333"/>
        </w:rPr>
        <w:t>J.</w:t>
      </w:r>
      <w:r>
        <w:rPr>
          <w:rFonts w:ascii="Open Sans" w:hAnsi="Open Sans" w:cs="Open Sans"/>
          <w:color w:val="333333"/>
        </w:rPr>
        <w:t>, </w:t>
      </w:r>
      <w:r>
        <w:rPr>
          <w:rStyle w:val="hlfld-contribauthor"/>
          <w:rFonts w:ascii="Open Sans" w:hAnsi="Open Sans" w:cs="Open Sans"/>
          <w:color w:val="333333"/>
        </w:rPr>
        <w:t>Flitton, </w:t>
      </w:r>
      <w:r>
        <w:rPr>
          <w:rStyle w:val="nlmgiven-names"/>
          <w:rFonts w:ascii="Open Sans" w:hAnsi="Open Sans" w:cs="Open Sans"/>
          <w:color w:val="333333"/>
        </w:rPr>
        <w:t>A.</w:t>
      </w:r>
      <w:r>
        <w:rPr>
          <w:rFonts w:ascii="Open Sans" w:hAnsi="Open Sans" w:cs="Open Sans"/>
          <w:color w:val="333333"/>
        </w:rPr>
        <w:t>, </w:t>
      </w:r>
      <w:r>
        <w:rPr>
          <w:rStyle w:val="hlfld-contribauthor"/>
          <w:rFonts w:ascii="Open Sans" w:hAnsi="Open Sans" w:cs="Open Sans"/>
          <w:color w:val="333333"/>
        </w:rPr>
        <w:t>Kirkham, </w:t>
      </w:r>
      <w:r>
        <w:rPr>
          <w:rStyle w:val="nlmgiven-names"/>
          <w:rFonts w:ascii="Open Sans" w:hAnsi="Open Sans" w:cs="Open Sans"/>
          <w:color w:val="333333"/>
        </w:rPr>
        <w:t>N.</w:t>
      </w:r>
      <w:r>
        <w:rPr>
          <w:rFonts w:ascii="Open Sans" w:hAnsi="Open Sans" w:cs="Open Sans"/>
          <w:color w:val="333333"/>
        </w:rPr>
        <w:t>, &amp; </w:t>
      </w:r>
      <w:r>
        <w:rPr>
          <w:rStyle w:val="hlfld-contribauthor"/>
          <w:rFonts w:ascii="Open Sans" w:hAnsi="Open Sans" w:cs="Open Sans"/>
          <w:color w:val="333333"/>
        </w:rPr>
        <w:t>Evershed, </w:t>
      </w:r>
      <w:r>
        <w:rPr>
          <w:rStyle w:val="nlmgiven-names"/>
          <w:rFonts w:ascii="Open Sans" w:hAnsi="Open Sans" w:cs="Open Sans"/>
          <w:color w:val="333333"/>
        </w:rPr>
        <w:t>J. K</w:t>
      </w:r>
      <w:r>
        <w:rPr>
          <w:rFonts w:ascii="Open Sans" w:hAnsi="Open Sans" w:cs="Open Sans"/>
          <w:color w:val="333333"/>
        </w:rPr>
        <w:t>. (</w:t>
      </w:r>
      <w:r>
        <w:rPr>
          <w:rStyle w:val="nlmyear"/>
          <w:rFonts w:ascii="Open Sans" w:hAnsi="Open Sans" w:cs="Open Sans"/>
          <w:color w:val="333333"/>
        </w:rPr>
        <w:t>2020</w:t>
      </w:r>
      <w:r>
        <w:rPr>
          <w:rFonts w:ascii="Open Sans" w:hAnsi="Open Sans" w:cs="Open Sans"/>
          <w:color w:val="333333"/>
        </w:rPr>
        <w:t>). </w:t>
      </w:r>
      <w:r>
        <w:rPr>
          <w:rStyle w:val="nlmarticle-title"/>
          <w:rFonts w:ascii="Open Sans" w:hAnsi="Open Sans" w:cs="Open Sans"/>
          <w:color w:val="333333"/>
        </w:rPr>
        <w:t>Gorilla in our midst: An online behavioral experiment builder</w:t>
      </w:r>
      <w:r>
        <w:rPr>
          <w:rFonts w:ascii="Open Sans" w:hAnsi="Open Sans" w:cs="Open Sans"/>
          <w:color w:val="333333"/>
        </w:rPr>
        <w:t>. </w:t>
      </w:r>
      <w:r>
        <w:rPr>
          <w:rFonts w:ascii="Open Sans" w:hAnsi="Open Sans" w:cs="Open Sans"/>
          <w:i/>
          <w:iCs/>
          <w:color w:val="333333"/>
        </w:rPr>
        <w:t>Behavior Research Methods</w:t>
      </w:r>
      <w:r>
        <w:rPr>
          <w:rFonts w:ascii="Open Sans" w:hAnsi="Open Sans" w:cs="Open Sans"/>
          <w:color w:val="333333"/>
        </w:rPr>
        <w:t>, 52(1), </w:t>
      </w:r>
      <w:r>
        <w:rPr>
          <w:rStyle w:val="nlmfpage"/>
          <w:rFonts w:ascii="Open Sans" w:hAnsi="Open Sans" w:cs="Open Sans"/>
          <w:color w:val="333333"/>
        </w:rPr>
        <w:t>388</w:t>
      </w:r>
      <w:r>
        <w:rPr>
          <w:rFonts w:ascii="Open Sans" w:hAnsi="Open Sans" w:cs="Open Sans"/>
          <w:color w:val="333333"/>
        </w:rPr>
        <w:t>–</w:t>
      </w:r>
      <w:r>
        <w:rPr>
          <w:rStyle w:val="nlmlpage"/>
          <w:rFonts w:ascii="Open Sans" w:hAnsi="Open Sans" w:cs="Open Sans"/>
          <w:color w:val="333333"/>
        </w:rPr>
        <w:t>407</w:t>
      </w:r>
      <w:r>
        <w:rPr>
          <w:rFonts w:ascii="Open Sans" w:hAnsi="Open Sans" w:cs="Open Sans"/>
          <w:color w:val="333333"/>
        </w:rPr>
        <w:t>. </w:t>
      </w:r>
      <w:r>
        <w:rPr>
          <w:rStyle w:val="nlmpub-id"/>
          <w:rFonts w:ascii="Open Sans" w:hAnsi="Open Sans" w:cs="Open Sans"/>
          <w:color w:val="333333"/>
        </w:rPr>
        <w:t>https://doi.org/10.3758/s13428-019-01237-x</w:t>
      </w:r>
      <w:r>
        <w:rPr>
          <w:rStyle w:val="reflink-block"/>
          <w:rFonts w:ascii="Open Sans" w:hAnsi="Open Sans" w:cs="Open Sans"/>
          <w:color w:val="333333"/>
        </w:rPr>
        <w:t> </w:t>
      </w:r>
    </w:p>
    <w:p w14:paraId="58DFAAE4" w14:textId="2B13739A" w:rsidR="00EE6DFE" w:rsidRPr="00EE6DFE" w:rsidRDefault="00FD5470">
      <w:pPr>
        <w:rPr>
          <w:rFonts w:cstheme="minorHAnsi"/>
          <w:i/>
          <w:iCs/>
        </w:rPr>
      </w:pPr>
      <w:r>
        <w:rPr>
          <w:rStyle w:val="authors"/>
          <w:rFonts w:ascii="Open Sans" w:hAnsi="Open Sans" w:cs="Open Sans"/>
          <w:color w:val="333333"/>
          <w:shd w:val="clear" w:color="auto" w:fill="FFFFFF"/>
        </w:rPr>
        <w:t>Elspeth Wilson, Rebecca Lawrence &amp; Napoleon Katsos</w:t>
      </w:r>
      <w:r>
        <w:rPr>
          <w:rFonts w:ascii="Open Sans" w:hAnsi="Open Sans" w:cs="Open Sans"/>
          <w:color w:val="333333"/>
          <w:shd w:val="clear" w:color="auto" w:fill="FFFFFF"/>
        </w:rPr>
        <w:t> </w:t>
      </w:r>
      <w:r>
        <w:rPr>
          <w:rStyle w:val="Date1"/>
          <w:rFonts w:ascii="Open Sans" w:hAnsi="Open Sans" w:cs="Open Sans"/>
          <w:color w:val="333333"/>
          <w:shd w:val="clear" w:color="auto" w:fill="FFFFFF"/>
        </w:rPr>
        <w:t>(2022)</w:t>
      </w:r>
      <w:r>
        <w:rPr>
          <w:rFonts w:ascii="Open Sans" w:hAnsi="Open Sans" w:cs="Open Sans"/>
          <w:color w:val="333333"/>
          <w:shd w:val="clear" w:color="auto" w:fill="FFFFFF"/>
        </w:rPr>
        <w:t> </w:t>
      </w:r>
      <w:r>
        <w:rPr>
          <w:rStyle w:val="arttitle"/>
          <w:rFonts w:ascii="Open Sans" w:hAnsi="Open Sans" w:cs="Open Sans"/>
          <w:color w:val="333333"/>
          <w:shd w:val="clear" w:color="auto" w:fill="FFFFFF"/>
        </w:rPr>
        <w:t>The Role of Perspective-Taking in Children’s Quantity Implicatures,</w:t>
      </w:r>
      <w:r>
        <w:rPr>
          <w:rFonts w:ascii="Open Sans" w:hAnsi="Open Sans" w:cs="Open Sans"/>
          <w:color w:val="333333"/>
          <w:shd w:val="clear" w:color="auto" w:fill="FFFFFF"/>
        </w:rPr>
        <w:t> </w:t>
      </w:r>
      <w:r>
        <w:rPr>
          <w:rStyle w:val="serialtitle"/>
          <w:rFonts w:ascii="Open Sans" w:hAnsi="Open Sans" w:cs="Open Sans"/>
          <w:color w:val="333333"/>
          <w:shd w:val="clear" w:color="auto" w:fill="FFFFFF"/>
        </w:rPr>
        <w:t>Language Learning and Development,</w:t>
      </w:r>
      <w:r>
        <w:rPr>
          <w:rFonts w:ascii="Open Sans" w:hAnsi="Open Sans" w:cs="Open Sans"/>
          <w:color w:val="333333"/>
          <w:shd w:val="clear" w:color="auto" w:fill="FFFFFF"/>
        </w:rPr>
        <w:t> </w:t>
      </w:r>
      <w:r>
        <w:rPr>
          <w:rStyle w:val="doilink"/>
          <w:rFonts w:ascii="Open Sans" w:hAnsi="Open Sans" w:cs="Open Sans"/>
          <w:color w:val="333333"/>
          <w:shd w:val="clear" w:color="auto" w:fill="FFFFFF"/>
        </w:rPr>
        <w:t>DOI: </w:t>
      </w:r>
      <w:hyperlink r:id="rId10" w:history="1">
        <w:r>
          <w:rPr>
            <w:rStyle w:val="Hyperlink"/>
            <w:rFonts w:ascii="Open Sans" w:hAnsi="Open Sans" w:cs="Open Sans"/>
            <w:color w:val="333333"/>
            <w:shd w:val="clear" w:color="auto" w:fill="FFFFFF"/>
          </w:rPr>
          <w:t>10.1080/15475441.2022.2050236</w:t>
        </w:r>
      </w:hyperlink>
    </w:p>
    <w:p w14:paraId="19B93D78" w14:textId="2A4170F2" w:rsidR="00EE6DFE" w:rsidRPr="00EE6DFE" w:rsidRDefault="00EE6DFE">
      <w:pPr>
        <w:rPr>
          <w:rFonts w:cstheme="minorHAnsi"/>
        </w:rPr>
      </w:pPr>
    </w:p>
    <w:sectPr w:rsidR="00EE6DFE" w:rsidRPr="00EE6D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A22BFD"/>
    <w:multiLevelType w:val="hybridMultilevel"/>
    <w:tmpl w:val="9508CF54"/>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num w:numId="1" w16cid:durableId="1761295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DFE"/>
    <w:rsid w:val="00444F48"/>
    <w:rsid w:val="00603EE4"/>
    <w:rsid w:val="006C22DC"/>
    <w:rsid w:val="009B29A1"/>
    <w:rsid w:val="00DF5017"/>
    <w:rsid w:val="00E60038"/>
    <w:rsid w:val="00EE6DFE"/>
    <w:rsid w:val="00FD5470"/>
    <w:rsid w:val="00FF78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57137"/>
  <w15:chartTrackingRefBased/>
  <w15:docId w15:val="{BD93DF42-E24A-4739-96EC-A3FEF7EA3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D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6DFE"/>
    <w:rPr>
      <w:color w:val="0000FF"/>
      <w:u w:val="single"/>
    </w:rPr>
  </w:style>
  <w:style w:type="paragraph" w:styleId="NormalWeb">
    <w:name w:val="Normal (Web)"/>
    <w:basedOn w:val="Normal"/>
    <w:uiPriority w:val="99"/>
    <w:semiHidden/>
    <w:unhideWhenUsed/>
    <w:rsid w:val="00EE6DF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ref-lnk">
    <w:name w:val="ref-lnk"/>
    <w:basedOn w:val="DefaultParagraphFont"/>
    <w:rsid w:val="00EE6DFE"/>
  </w:style>
  <w:style w:type="paragraph" w:customStyle="1" w:styleId="captiontext">
    <w:name w:val="captiontext"/>
    <w:basedOn w:val="Normal"/>
    <w:rsid w:val="00EE6DF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aptionlabel">
    <w:name w:val="captionlabel"/>
    <w:basedOn w:val="DefaultParagraphFont"/>
    <w:rsid w:val="00EE6DFE"/>
  </w:style>
  <w:style w:type="paragraph" w:styleId="ListParagraph">
    <w:name w:val="List Paragraph"/>
    <w:basedOn w:val="Normal"/>
    <w:uiPriority w:val="34"/>
    <w:qFormat/>
    <w:rsid w:val="00FD5470"/>
    <w:pPr>
      <w:ind w:left="720"/>
      <w:contextualSpacing/>
    </w:pPr>
  </w:style>
  <w:style w:type="character" w:customStyle="1" w:styleId="authors">
    <w:name w:val="authors"/>
    <w:basedOn w:val="DefaultParagraphFont"/>
    <w:rsid w:val="00FD5470"/>
  </w:style>
  <w:style w:type="character" w:customStyle="1" w:styleId="Date1">
    <w:name w:val="Date1"/>
    <w:basedOn w:val="DefaultParagraphFont"/>
    <w:rsid w:val="00FD5470"/>
  </w:style>
  <w:style w:type="character" w:customStyle="1" w:styleId="arttitle">
    <w:name w:val="art_title"/>
    <w:basedOn w:val="DefaultParagraphFont"/>
    <w:rsid w:val="00FD5470"/>
  </w:style>
  <w:style w:type="character" w:customStyle="1" w:styleId="serialtitle">
    <w:name w:val="serial_title"/>
    <w:basedOn w:val="DefaultParagraphFont"/>
    <w:rsid w:val="00FD5470"/>
  </w:style>
  <w:style w:type="character" w:customStyle="1" w:styleId="doilink">
    <w:name w:val="doi_link"/>
    <w:basedOn w:val="DefaultParagraphFont"/>
    <w:rsid w:val="00FD5470"/>
  </w:style>
  <w:style w:type="character" w:customStyle="1" w:styleId="hlfld-contribauthor">
    <w:name w:val="hlfld-contribauthor"/>
    <w:basedOn w:val="DefaultParagraphFont"/>
    <w:rsid w:val="00FD5470"/>
  </w:style>
  <w:style w:type="character" w:customStyle="1" w:styleId="nlmgiven-names">
    <w:name w:val="nlm_given-names"/>
    <w:basedOn w:val="DefaultParagraphFont"/>
    <w:rsid w:val="00FD5470"/>
  </w:style>
  <w:style w:type="character" w:customStyle="1" w:styleId="nlmyear">
    <w:name w:val="nlm_year"/>
    <w:basedOn w:val="DefaultParagraphFont"/>
    <w:rsid w:val="00FD5470"/>
  </w:style>
  <w:style w:type="character" w:customStyle="1" w:styleId="nlmarticle-title">
    <w:name w:val="nlm_article-title"/>
    <w:basedOn w:val="DefaultParagraphFont"/>
    <w:rsid w:val="00FD5470"/>
  </w:style>
  <w:style w:type="character" w:customStyle="1" w:styleId="nlmfpage">
    <w:name w:val="nlm_fpage"/>
    <w:basedOn w:val="DefaultParagraphFont"/>
    <w:rsid w:val="00FD5470"/>
  </w:style>
  <w:style w:type="character" w:customStyle="1" w:styleId="nlmlpage">
    <w:name w:val="nlm_lpage"/>
    <w:basedOn w:val="DefaultParagraphFont"/>
    <w:rsid w:val="00FD5470"/>
  </w:style>
  <w:style w:type="character" w:customStyle="1" w:styleId="nlmpub-id">
    <w:name w:val="nlm_pub-id"/>
    <w:basedOn w:val="DefaultParagraphFont"/>
    <w:rsid w:val="00FD5470"/>
  </w:style>
  <w:style w:type="character" w:customStyle="1" w:styleId="reflink-block">
    <w:name w:val="reflink-block"/>
    <w:basedOn w:val="DefaultParagraphFont"/>
    <w:rsid w:val="00FD5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19773">
      <w:bodyDiv w:val="1"/>
      <w:marLeft w:val="0"/>
      <w:marRight w:val="0"/>
      <w:marTop w:val="0"/>
      <w:marBottom w:val="0"/>
      <w:divBdr>
        <w:top w:val="none" w:sz="0" w:space="0" w:color="auto"/>
        <w:left w:val="none" w:sz="0" w:space="0" w:color="auto"/>
        <w:bottom w:val="none" w:sz="0" w:space="0" w:color="auto"/>
        <w:right w:val="none" w:sz="0" w:space="0" w:color="auto"/>
      </w:divBdr>
      <w:divsChild>
        <w:div w:id="1994481618">
          <w:marLeft w:val="0"/>
          <w:marRight w:val="0"/>
          <w:marTop w:val="0"/>
          <w:marBottom w:val="0"/>
          <w:divBdr>
            <w:top w:val="none" w:sz="0" w:space="0" w:color="auto"/>
            <w:left w:val="none" w:sz="0" w:space="0" w:color="auto"/>
            <w:bottom w:val="none" w:sz="0" w:space="0" w:color="auto"/>
            <w:right w:val="none" w:sz="0" w:space="0" w:color="auto"/>
          </w:divBdr>
          <w:divsChild>
            <w:div w:id="900752776">
              <w:marLeft w:val="0"/>
              <w:marRight w:val="0"/>
              <w:marTop w:val="0"/>
              <w:marBottom w:val="0"/>
              <w:divBdr>
                <w:top w:val="none" w:sz="0" w:space="0" w:color="auto"/>
                <w:left w:val="none" w:sz="0" w:space="0" w:color="auto"/>
                <w:bottom w:val="none" w:sz="0" w:space="0" w:color="auto"/>
                <w:right w:val="none" w:sz="0" w:space="0" w:color="auto"/>
              </w:divBdr>
              <w:divsChild>
                <w:div w:id="797187612">
                  <w:marLeft w:val="0"/>
                  <w:marRight w:val="0"/>
                  <w:marTop w:val="0"/>
                  <w:marBottom w:val="0"/>
                  <w:divBdr>
                    <w:top w:val="none" w:sz="0" w:space="0" w:color="auto"/>
                    <w:left w:val="none" w:sz="0" w:space="0" w:color="auto"/>
                    <w:bottom w:val="none" w:sz="0" w:space="0" w:color="auto"/>
                    <w:right w:val="none" w:sz="0" w:space="0" w:color="auto"/>
                  </w:divBdr>
                </w:div>
              </w:divsChild>
            </w:div>
            <w:div w:id="85322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15475441.2022.2050236?scroll=top&amp;needAccess=true&amp;role=tab"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ndfonline.com/doi/full/10.1080/15475441.2022.2050236?scroll=top&amp;needAccess=true&amp;role=tab" TargetMode="External"/><Relationship Id="rId11" Type="http://schemas.openxmlformats.org/officeDocument/2006/relationships/fontTable" Target="fontTable.xml"/><Relationship Id="rId5" Type="http://schemas.openxmlformats.org/officeDocument/2006/relationships/hyperlink" Target="https://doi.org/10.1080/15475441.2022.2050236" TargetMode="External"/><Relationship Id="rId10" Type="http://schemas.openxmlformats.org/officeDocument/2006/relationships/hyperlink" Target="https://doi.org/10.1080/15475441.2022.2050236" TargetMode="External"/><Relationship Id="rId4" Type="http://schemas.openxmlformats.org/officeDocument/2006/relationships/webSettings" Target="webSettings.xml"/><Relationship Id="rId9" Type="http://schemas.openxmlformats.org/officeDocument/2006/relationships/hyperlink" Target="http://www.prolific.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Elspeth Wilson</dc:creator>
  <cp:keywords/>
  <dc:description/>
  <cp:lastModifiedBy>Elspeth Wilson</cp:lastModifiedBy>
  <cp:revision>7</cp:revision>
  <dcterms:created xsi:type="dcterms:W3CDTF">2022-12-20T20:27:00Z</dcterms:created>
  <dcterms:modified xsi:type="dcterms:W3CDTF">2022-12-23T13:51:00Z</dcterms:modified>
</cp:coreProperties>
</file>