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46B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9FAABE" wp14:editId="76661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2BD9" w14:textId="77777777" w:rsidR="00E010CB" w:rsidRDefault="00E010CB">
      <w:pPr>
        <w:rPr>
          <w:b/>
        </w:rPr>
      </w:pPr>
    </w:p>
    <w:p w14:paraId="5B3FE88A" w14:textId="77777777" w:rsidR="00E010CB" w:rsidRDefault="00E010CB">
      <w:pPr>
        <w:rPr>
          <w:b/>
        </w:rPr>
      </w:pPr>
    </w:p>
    <w:p w14:paraId="3DC8E5A0" w14:textId="77777777" w:rsidR="00E010CB" w:rsidRDefault="00E010CB">
      <w:pPr>
        <w:rPr>
          <w:b/>
        </w:rPr>
      </w:pPr>
    </w:p>
    <w:p w14:paraId="5F1E0FC1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406CC8">
        <w:t>ES/P001866/1</w:t>
      </w:r>
    </w:p>
    <w:p w14:paraId="1F4F36C8" w14:textId="77777777" w:rsidR="00C12F9B" w:rsidRPr="00406CC8" w:rsidRDefault="00C12F9B">
      <w:r w:rsidRPr="00C12F9B">
        <w:rPr>
          <w:b/>
        </w:rPr>
        <w:t xml:space="preserve">Sponsor: </w:t>
      </w:r>
      <w:r w:rsidR="00406CC8">
        <w:t>ESRC</w:t>
      </w:r>
    </w:p>
    <w:p w14:paraId="3CF55E10" w14:textId="77777777" w:rsidR="000F06C6" w:rsidRDefault="000F06C6" w:rsidP="008030B4">
      <w:r w:rsidRPr="00C12F9B">
        <w:rPr>
          <w:b/>
        </w:rPr>
        <w:t>Project title</w:t>
      </w:r>
      <w:r>
        <w:t xml:space="preserve">: </w:t>
      </w:r>
      <w:r w:rsidR="008030B4">
        <w:t>An Experimental Investigation of Syntactic Priming and the Lexical Boost in Language Production</w:t>
      </w:r>
    </w:p>
    <w:p w14:paraId="2C2669A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DC94A9B" w14:textId="77777777" w:rsidTr="000F06C6">
        <w:tc>
          <w:tcPr>
            <w:tcW w:w="4508" w:type="dxa"/>
          </w:tcPr>
          <w:p w14:paraId="58AEE27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4833943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D396DBE" w14:textId="77777777" w:rsidTr="009D076B">
        <w:trPr>
          <w:trHeight w:val="397"/>
        </w:trPr>
        <w:tc>
          <w:tcPr>
            <w:tcW w:w="4508" w:type="dxa"/>
          </w:tcPr>
          <w:p w14:paraId="2E401399" w14:textId="1BAC4839" w:rsidR="000F06C6" w:rsidRDefault="00F90367">
            <w:r>
              <w:t xml:space="preserve"> </w:t>
            </w:r>
            <w:r w:rsidR="000E760D" w:rsidRPr="00306CE6">
              <w:t>Exp1_MemoryTask</w:t>
            </w:r>
            <w:r w:rsidR="000E760D">
              <w:t>.xlsx</w:t>
            </w:r>
          </w:p>
        </w:tc>
        <w:tc>
          <w:tcPr>
            <w:tcW w:w="4508" w:type="dxa"/>
          </w:tcPr>
          <w:p w14:paraId="6B3C8EA6" w14:textId="450496E8" w:rsidR="000F06C6" w:rsidRDefault="00F90367">
            <w:r>
              <w:t xml:space="preserve"> </w:t>
            </w:r>
            <w:r w:rsidR="000E760D">
              <w:t>MS Excel file, Experiment 1 Data file</w:t>
            </w:r>
          </w:p>
        </w:tc>
      </w:tr>
      <w:tr w:rsidR="000F06C6" w14:paraId="1CB44859" w14:textId="77777777" w:rsidTr="009D076B">
        <w:trPr>
          <w:trHeight w:val="397"/>
        </w:trPr>
        <w:tc>
          <w:tcPr>
            <w:tcW w:w="4508" w:type="dxa"/>
          </w:tcPr>
          <w:p w14:paraId="6F33DA2D" w14:textId="0CA1E4D1" w:rsidR="000F06C6" w:rsidRDefault="00F90367">
            <w:r>
              <w:t xml:space="preserve"> </w:t>
            </w:r>
            <w:r w:rsidR="000E760D" w:rsidRPr="00306CE6">
              <w:t>Exp2_ControlTask</w:t>
            </w:r>
            <w:r w:rsidR="000E760D">
              <w:t>.xlsx</w:t>
            </w:r>
          </w:p>
        </w:tc>
        <w:tc>
          <w:tcPr>
            <w:tcW w:w="4508" w:type="dxa"/>
          </w:tcPr>
          <w:p w14:paraId="3345ED7B" w14:textId="709BD5AE" w:rsidR="000F06C6" w:rsidRDefault="00F90367">
            <w:r>
              <w:t xml:space="preserve"> </w:t>
            </w:r>
            <w:r w:rsidR="000E760D">
              <w:t>MS Excel file, Experiment 2 Data file</w:t>
            </w:r>
          </w:p>
        </w:tc>
      </w:tr>
      <w:tr w:rsidR="000F06C6" w14:paraId="272C8F17" w14:textId="77777777" w:rsidTr="009D076B">
        <w:trPr>
          <w:trHeight w:val="397"/>
        </w:trPr>
        <w:tc>
          <w:tcPr>
            <w:tcW w:w="4508" w:type="dxa"/>
          </w:tcPr>
          <w:p w14:paraId="4B484ECE" w14:textId="3D878F81" w:rsidR="000F06C6" w:rsidRDefault="00F90367">
            <w:r>
              <w:t xml:space="preserve"> </w:t>
            </w:r>
            <w:r w:rsidR="000E760D" w:rsidRPr="00306CE6">
              <w:t>Readme_TaskEffects</w:t>
            </w:r>
            <w:r w:rsidR="000E760D">
              <w:t>.docx</w:t>
            </w:r>
          </w:p>
        </w:tc>
        <w:tc>
          <w:tcPr>
            <w:tcW w:w="4508" w:type="dxa"/>
          </w:tcPr>
          <w:p w14:paraId="300411D3" w14:textId="1A017020" w:rsidR="000F06C6" w:rsidRDefault="00F90367">
            <w:r>
              <w:t xml:space="preserve"> </w:t>
            </w:r>
            <w:r w:rsidR="000E760D">
              <w:t>Data description</w:t>
            </w:r>
          </w:p>
        </w:tc>
      </w:tr>
    </w:tbl>
    <w:p w14:paraId="11193D50" w14:textId="77777777" w:rsidR="000F06C6" w:rsidRDefault="000F06C6"/>
    <w:p w14:paraId="1051E53B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0D3C0A2" w14:textId="77777777" w:rsidR="00C12F9B" w:rsidRDefault="00406CC8">
      <w:r>
        <w:t>In preparation</w:t>
      </w:r>
    </w:p>
    <w:p w14:paraId="4691C32B" w14:textId="77777777" w:rsidR="009E69C7" w:rsidRDefault="009E69C7"/>
    <w:p w14:paraId="60F92AED" w14:textId="77777777" w:rsidR="009E69C7" w:rsidRPr="00B13BDB" w:rsidRDefault="009E69C7" w:rsidP="009E69C7">
      <w:pPr>
        <w:rPr>
          <w:b/>
        </w:rPr>
      </w:pPr>
      <w:r>
        <w:rPr>
          <w:b/>
        </w:rPr>
        <w:t>Description of the experiments</w:t>
      </w:r>
    </w:p>
    <w:p w14:paraId="611F95D0" w14:textId="2401D47F" w:rsidR="00AF6033" w:rsidRDefault="0002732B" w:rsidP="0016074F">
      <w:r>
        <w:t xml:space="preserve">In two structural priming experiments, we investigated to what extent a secondary task affected structural priming. In Experiment 1, participants carried out a structural priming task under the guise of a memory task (e.g., Bock, 1986; Bock, </w:t>
      </w:r>
      <w:proofErr w:type="spellStart"/>
      <w:r>
        <w:t>Loebell</w:t>
      </w:r>
      <w:proofErr w:type="spellEnd"/>
      <w:r>
        <w:t xml:space="preserve"> &amp; Morey, 1992): on some trials, participants saw a sentence and had to indicate whether they had seen it previously. In Experiment 2, there was no such memory task.</w:t>
      </w:r>
    </w:p>
    <w:p w14:paraId="7D698E81" w14:textId="563B74C1" w:rsidR="0002732B" w:rsidRDefault="0002732B" w:rsidP="0016074F">
      <w:r>
        <w:tab/>
        <w:t>Participants read aloud either a prepositional object (PO</w:t>
      </w:r>
      <w:r w:rsidR="003E6D92">
        <w:t>; 1a, 1c</w:t>
      </w:r>
      <w:r>
        <w:t>) or double object (DO</w:t>
      </w:r>
      <w:r w:rsidR="003E6D92">
        <w:t>; 1b, 1d</w:t>
      </w:r>
      <w:r>
        <w:t>) prime sentence, followed by a target fragment that they could complete using either a PO or DO structure using pictures that were presented simultaneously with the target fragment</w:t>
      </w:r>
      <w:r w:rsidR="003E6D92">
        <w:t xml:space="preserve"> (2)</w:t>
      </w:r>
      <w:r>
        <w:t>. We also manipulated whether the verb in the prime and target was the same or different.</w:t>
      </w:r>
      <w:r w:rsidR="003654D2">
        <w:t xml:space="preserve"> </w:t>
      </w:r>
      <w:r w:rsidR="006650C6">
        <w:t>In Experiment 1, 25%</w:t>
      </w:r>
      <w:r w:rsidR="003654D2">
        <w:t xml:space="preserve"> of all reading trials (i.e. without picture) re-appeared two to six sentences later, either as an identical sentence or with a slight change in the wording. Participants </w:t>
      </w:r>
      <w:r w:rsidR="006650C6">
        <w:t xml:space="preserve">were asked to read them aloud and </w:t>
      </w:r>
      <w:r w:rsidR="003654D2">
        <w:t>had to indicate whether the sentence was identical to a previous sentence or not.</w:t>
      </w:r>
      <w:r w:rsidR="006650C6">
        <w:t xml:space="preserve"> In Experiment 2, the same sentences re-appeared, but participants did not have a memory task and simply read them aloud.</w:t>
      </w:r>
    </w:p>
    <w:p w14:paraId="174773DD" w14:textId="310B1746" w:rsidR="002138D5" w:rsidRDefault="002138D5" w:rsidP="003E6D92">
      <w:pPr>
        <w:spacing w:after="0"/>
      </w:pPr>
      <w:r>
        <w:t>1a. The carpenter lent the ladder to the apprentice.</w:t>
      </w:r>
    </w:p>
    <w:p w14:paraId="50E991F8" w14:textId="680EECC8" w:rsidR="002138D5" w:rsidRDefault="002138D5" w:rsidP="003E6D92">
      <w:pPr>
        <w:spacing w:after="0"/>
      </w:pPr>
      <w:r>
        <w:t>1b. The carpenter lent the apprentice the ladder.</w:t>
      </w:r>
    </w:p>
    <w:p w14:paraId="09FBDDC9" w14:textId="1FEB399F" w:rsidR="002138D5" w:rsidRDefault="002138D5" w:rsidP="003E6D92">
      <w:pPr>
        <w:spacing w:after="0"/>
      </w:pPr>
      <w:r>
        <w:t>1c. The carpenter gave the ladder to the apprentice.</w:t>
      </w:r>
    </w:p>
    <w:p w14:paraId="1E7811FB" w14:textId="69E2EA8F" w:rsidR="002138D5" w:rsidRDefault="002138D5" w:rsidP="003E6D92">
      <w:pPr>
        <w:spacing w:after="0"/>
      </w:pPr>
      <w:r>
        <w:lastRenderedPageBreak/>
        <w:t>1d. The carpenter gave the apprentice the ladder.</w:t>
      </w:r>
    </w:p>
    <w:p w14:paraId="414D6510" w14:textId="15B3C5AF" w:rsidR="002138D5" w:rsidRDefault="002138D5" w:rsidP="003E6D92">
      <w:pPr>
        <w:spacing w:after="0"/>
      </w:pPr>
      <w:r>
        <w:t xml:space="preserve">2. The farmer gave (with pictures of a farmer, a </w:t>
      </w:r>
      <w:proofErr w:type="gramStart"/>
      <w:r>
        <w:t>scout</w:t>
      </w:r>
      <w:proofErr w:type="gramEnd"/>
      <w:r>
        <w:t xml:space="preserve"> and a wheelbarrow)</w:t>
      </w:r>
    </w:p>
    <w:p w14:paraId="1188AD7A" w14:textId="77777777" w:rsidR="002138D5" w:rsidRDefault="002138D5" w:rsidP="0016074F"/>
    <w:p w14:paraId="43EC6954" w14:textId="7076A429" w:rsidR="00AF6033" w:rsidRDefault="00AF6033" w:rsidP="0016074F">
      <w:r>
        <w:rPr>
          <w:b/>
          <w:bCs/>
        </w:rPr>
        <w:t>Files</w:t>
      </w:r>
    </w:p>
    <w:p w14:paraId="63321AC2" w14:textId="22509B4A" w:rsidR="00306CE6" w:rsidRDefault="00306CE6" w:rsidP="009E69C7">
      <w:r w:rsidRPr="00306CE6">
        <w:t>Exp1_MemoryTask</w:t>
      </w:r>
      <w:r w:rsidR="000E760D">
        <w:t>.xlsx</w:t>
      </w:r>
      <w:r>
        <w:t xml:space="preserve">: MS Excel file, </w:t>
      </w:r>
      <w:r>
        <w:t>Experiment 1</w:t>
      </w:r>
      <w:r>
        <w:t xml:space="preserve"> Data file </w:t>
      </w:r>
    </w:p>
    <w:p w14:paraId="1729FC53" w14:textId="09622CEB" w:rsidR="00306CE6" w:rsidRDefault="00306CE6" w:rsidP="009E69C7">
      <w:r w:rsidRPr="00306CE6">
        <w:t>Exp2_ControlTask</w:t>
      </w:r>
      <w:r w:rsidR="000E760D">
        <w:t>.xlsx</w:t>
      </w:r>
      <w:r>
        <w:t xml:space="preserve">: MS Excel file, Experiment </w:t>
      </w:r>
      <w:r>
        <w:t>2</w:t>
      </w:r>
      <w:r>
        <w:t xml:space="preserve"> Data file</w:t>
      </w:r>
    </w:p>
    <w:p w14:paraId="02AD0241" w14:textId="55CDD2C1" w:rsidR="00306CE6" w:rsidRDefault="00306CE6" w:rsidP="00306CE6">
      <w:r w:rsidRPr="00306CE6">
        <w:t>Readme_TaskEffects</w:t>
      </w:r>
      <w:r w:rsidR="000E760D">
        <w:t>.docx</w:t>
      </w:r>
      <w:r>
        <w:t>: Data description</w:t>
      </w:r>
    </w:p>
    <w:p w14:paraId="48A2FB48" w14:textId="77777777" w:rsidR="00306CE6" w:rsidRDefault="00306CE6" w:rsidP="009E69C7"/>
    <w:p w14:paraId="41E87ED1" w14:textId="77777777" w:rsidR="009E69C7" w:rsidRPr="00E27DFA" w:rsidRDefault="009E69C7" w:rsidP="009E69C7">
      <w:r w:rsidRPr="00E27DFA">
        <w:rPr>
          <w:b/>
        </w:rPr>
        <w:t>Participants</w:t>
      </w:r>
    </w:p>
    <w:p w14:paraId="355958A0" w14:textId="77777777" w:rsidR="00D47759" w:rsidRPr="00E27DFA" w:rsidRDefault="00D47759" w:rsidP="00D47759">
      <w:r w:rsidRPr="00E27DFA">
        <w:t>Participants were recruited using</w:t>
      </w:r>
      <w:r>
        <w:t xml:space="preserve"> the</w:t>
      </w:r>
      <w:r w:rsidRPr="00E27DFA">
        <w:t xml:space="preserve"> </w:t>
      </w:r>
      <w:r w:rsidRPr="00E27DFA">
        <w:rPr>
          <w:i/>
          <w:iCs/>
        </w:rPr>
        <w:t>Prolific</w:t>
      </w:r>
      <w:r w:rsidRPr="00E27DFA">
        <w:t xml:space="preserve"> </w:t>
      </w:r>
      <w:r>
        <w:t>or</w:t>
      </w:r>
      <w:r w:rsidRPr="00E27DFA">
        <w:t xml:space="preserve"> </w:t>
      </w:r>
      <w:r w:rsidRPr="00E27DFA">
        <w:rPr>
          <w:i/>
        </w:rPr>
        <w:t xml:space="preserve">SONA </w:t>
      </w:r>
      <w:r w:rsidRPr="005677F1">
        <w:rPr>
          <w:iCs/>
        </w:rPr>
        <w:t>Systems</w:t>
      </w:r>
      <w:r>
        <w:rPr>
          <w:iCs/>
        </w:rPr>
        <w:t xml:space="preserve"> and tested online </w:t>
      </w:r>
      <w:r>
        <w:t xml:space="preserve">using the experiment software </w:t>
      </w:r>
      <w:r>
        <w:rPr>
          <w:i/>
          <w:iCs/>
        </w:rPr>
        <w:t>Gorilla</w:t>
      </w:r>
      <w:r w:rsidRPr="00E27DFA">
        <w:t>. They were all native speakers of English, residents of the UK, had no language- or literacy-related disorders and were between 18 and 35 years of age. Forty-eight participants took part in each experiment. The study was approved by the University of Dundee ethics committee and all participants gave informed consent to take part in the study.</w:t>
      </w:r>
    </w:p>
    <w:p w14:paraId="70A70CAC" w14:textId="77777777" w:rsidR="000A3281" w:rsidRPr="00E27DFA" w:rsidRDefault="000A3281" w:rsidP="009E69C7"/>
    <w:p w14:paraId="539E1739" w14:textId="77777777" w:rsidR="009E69C7" w:rsidRPr="00E27DFA" w:rsidRDefault="009E69C7" w:rsidP="009E69C7">
      <w:pPr>
        <w:rPr>
          <w:b/>
        </w:rPr>
      </w:pPr>
      <w:r w:rsidRPr="00E27DFA">
        <w:rPr>
          <w:b/>
        </w:rPr>
        <w:t>Explanation of variables</w:t>
      </w:r>
    </w:p>
    <w:p w14:paraId="72EDBF8B" w14:textId="29438EC7" w:rsidR="009E69C7" w:rsidRPr="00E27DFA" w:rsidRDefault="001E3330" w:rsidP="009E69C7">
      <w:proofErr w:type="spellStart"/>
      <w:r w:rsidRPr="00E27DFA">
        <w:t>P</w:t>
      </w:r>
      <w:r w:rsidR="009E69C7" w:rsidRPr="00E27DFA">
        <w:t>articipant</w:t>
      </w:r>
      <w:r w:rsidR="00144822" w:rsidRPr="00E27DFA">
        <w:t>N</w:t>
      </w:r>
      <w:proofErr w:type="spellEnd"/>
      <w:r w:rsidR="009E69C7" w:rsidRPr="00E27DFA">
        <w:t xml:space="preserve">: </w:t>
      </w:r>
      <w:r w:rsidR="00422A7E" w:rsidRPr="00E27DFA">
        <w:t>p</w:t>
      </w:r>
      <w:r w:rsidR="009E69C7" w:rsidRPr="00E27DFA">
        <w:t xml:space="preserve">articipant </w:t>
      </w:r>
      <w:r w:rsidR="00AA4397" w:rsidRPr="00E27DFA">
        <w:t>ID</w:t>
      </w:r>
    </w:p>
    <w:p w14:paraId="7638523E" w14:textId="28B04101" w:rsidR="00144822" w:rsidRPr="00E27DFA" w:rsidRDefault="00144822" w:rsidP="009E69C7">
      <w:r w:rsidRPr="00E27DFA">
        <w:t>List: experimental list the participant received</w:t>
      </w:r>
    </w:p>
    <w:p w14:paraId="0CBA793D" w14:textId="322B4915" w:rsidR="00144822" w:rsidRPr="00E27DFA" w:rsidRDefault="00144822" w:rsidP="009E69C7">
      <w:proofErr w:type="spellStart"/>
      <w:r w:rsidRPr="00E27DFA">
        <w:t>TrialN</w:t>
      </w:r>
      <w:proofErr w:type="spellEnd"/>
      <w:r w:rsidRPr="00E27DFA">
        <w:t>: trial number</w:t>
      </w:r>
    </w:p>
    <w:p w14:paraId="224B6121" w14:textId="096AFD22" w:rsidR="00144822" w:rsidRDefault="00144822" w:rsidP="009E69C7">
      <w:proofErr w:type="spellStart"/>
      <w:r w:rsidRPr="00E27DFA">
        <w:t>Primestruct</w:t>
      </w:r>
      <w:proofErr w:type="spellEnd"/>
      <w:r w:rsidRPr="00E27DFA">
        <w:t xml:space="preserve">: indicates whether </w:t>
      </w:r>
      <w:r w:rsidR="00403863" w:rsidRPr="00E27DFA">
        <w:t xml:space="preserve">the </w:t>
      </w:r>
      <w:r w:rsidRPr="00E27DFA">
        <w:t xml:space="preserve">prime </w:t>
      </w:r>
      <w:r w:rsidR="00403863" w:rsidRPr="00E27DFA">
        <w:t xml:space="preserve">sentence </w:t>
      </w:r>
      <w:r w:rsidR="00C74ABA">
        <w:t>was a double object</w:t>
      </w:r>
      <w:r w:rsidR="006D408A" w:rsidRPr="00E27DFA">
        <w:t xml:space="preserve"> </w:t>
      </w:r>
      <w:r w:rsidR="00C74ABA">
        <w:t xml:space="preserve">construction (DO) </w:t>
      </w:r>
      <w:r w:rsidRPr="00E27DFA">
        <w:t xml:space="preserve">or </w:t>
      </w:r>
      <w:r w:rsidR="00C74ABA">
        <w:t>a preposition object construction (PO)</w:t>
      </w:r>
    </w:p>
    <w:p w14:paraId="687DAF6E" w14:textId="056D1D1F" w:rsidR="00C74ABA" w:rsidRPr="00E27DFA" w:rsidRDefault="00C74ABA" w:rsidP="009E69C7">
      <w:r>
        <w:t>Repetition: Indicates whether prime’s verb was repeated in target (same) or not (diff)</w:t>
      </w:r>
    </w:p>
    <w:p w14:paraId="79012981" w14:textId="317DF2D6" w:rsidR="00A25D26" w:rsidRDefault="00050340" w:rsidP="009E69C7">
      <w:r w:rsidRPr="00E27DFA">
        <w:t>Condition: condition number</w:t>
      </w:r>
      <w:r w:rsidR="00C01AE1">
        <w:t xml:space="preserve"> (1 &amp; 7 = PO, verb repetition; 2 &amp; 8 = DO, verb repetition; 3 &amp; 5 = PO, no verb repetition; 4 &amp; 6 = DO, no verb repetition</w:t>
      </w:r>
    </w:p>
    <w:p w14:paraId="47D9D967" w14:textId="4DBE5849" w:rsidR="00FA01ED" w:rsidRPr="00E27DFA" w:rsidRDefault="00FA01ED" w:rsidP="009E69C7">
      <w:r w:rsidRPr="00E27DFA">
        <w:t>Transcription: participant’s description of the target picture</w:t>
      </w:r>
    </w:p>
    <w:p w14:paraId="1273C64A" w14:textId="4A9417E0" w:rsidR="00CE66B3" w:rsidRPr="00E27DFA" w:rsidRDefault="002C7657" w:rsidP="009E69C7">
      <w:r w:rsidRPr="00E27DFA">
        <w:t>Code</w:t>
      </w:r>
      <w:r w:rsidR="001E3330" w:rsidRPr="00E27DFA">
        <w:t xml:space="preserve">: </w:t>
      </w:r>
      <w:r w:rsidR="007B3283">
        <w:t xml:space="preserve">indicates the structure of the target that participants produced: </w:t>
      </w:r>
      <w:r w:rsidR="00887A44">
        <w:t>0 =</w:t>
      </w:r>
      <w:r w:rsidR="00E451BD" w:rsidRPr="00E27DFA">
        <w:t xml:space="preserve"> </w:t>
      </w:r>
      <w:r w:rsidR="00C01AE1">
        <w:t xml:space="preserve">DO structure, </w:t>
      </w:r>
      <w:r w:rsidR="00887A44">
        <w:t xml:space="preserve">1 = </w:t>
      </w:r>
      <w:r w:rsidR="00C01AE1">
        <w:t>PO structure</w:t>
      </w:r>
      <w:r w:rsidR="00887A44">
        <w:t xml:space="preserve">; 2 = </w:t>
      </w:r>
      <w:r w:rsidR="00C01AE1">
        <w:t xml:space="preserve">other structure </w:t>
      </w:r>
    </w:p>
    <w:p w14:paraId="1492B4E8" w14:textId="77777777" w:rsidR="00316746" w:rsidRDefault="00316746" w:rsidP="00316746">
      <w:proofErr w:type="spellStart"/>
      <w:r>
        <w:t>ComplexObject</w:t>
      </w:r>
      <w:proofErr w:type="spellEnd"/>
      <w:r>
        <w:t xml:space="preserve">: 1 = target contains complex NP object (e.g. </w:t>
      </w:r>
      <w:r w:rsidRPr="00C74ABA">
        <w:rPr>
          <w:i/>
        </w:rPr>
        <w:t>the nurse loaned the patient a jug of water</w:t>
      </w:r>
      <w:r>
        <w:t>)</w:t>
      </w:r>
    </w:p>
    <w:p w14:paraId="41E46ADD" w14:textId="01D27A8C" w:rsidR="00C02AB9" w:rsidRDefault="00C02AB9" w:rsidP="009E69C7">
      <w:r>
        <w:t>Picture: name of picture file viewed by participants in targets containing the description of the image</w:t>
      </w:r>
    </w:p>
    <w:p w14:paraId="7A1B6892" w14:textId="5809FA8B" w:rsidR="00104EE3" w:rsidRDefault="00104EE3" w:rsidP="009E69C7">
      <w:r>
        <w:t>Sentence: prime or target sentence presented to participants</w:t>
      </w:r>
    </w:p>
    <w:p w14:paraId="70B5ACE8" w14:textId="43F65FCC" w:rsidR="00C02AB9" w:rsidRDefault="00C02AB9" w:rsidP="009E69C7">
      <w:r>
        <w:t>Order: order of item presentation</w:t>
      </w:r>
    </w:p>
    <w:p w14:paraId="5DC5DCBD" w14:textId="711D0D3C" w:rsidR="00945620" w:rsidRDefault="00945620" w:rsidP="009E69C7">
      <w:proofErr w:type="spellStart"/>
      <w:r>
        <w:t>PrimeTarget</w:t>
      </w:r>
      <w:proofErr w:type="spellEnd"/>
      <w:r>
        <w:t>: indicates whether the trial was a prime (1) or a target (2)</w:t>
      </w:r>
    </w:p>
    <w:p w14:paraId="5C39F3FF" w14:textId="3930D9A7" w:rsidR="00A055EF" w:rsidRDefault="00826E65">
      <w:r>
        <w:t xml:space="preserve">Item: </w:t>
      </w:r>
      <w:r w:rsidR="00C02AB9">
        <w:t>i</w:t>
      </w:r>
      <w:r>
        <w:t>tem number</w:t>
      </w:r>
    </w:p>
    <w:p w14:paraId="221AA22D" w14:textId="77777777" w:rsidR="008F3AB0" w:rsidRDefault="008F3AB0"/>
    <w:p w14:paraId="444DF915" w14:textId="77777777" w:rsidR="0092338B" w:rsidRDefault="0092338B">
      <w:r>
        <w:rPr>
          <w:b/>
        </w:rPr>
        <w:t>Coding</w:t>
      </w:r>
    </w:p>
    <w:p w14:paraId="3118E167" w14:textId="45932508" w:rsidR="00E27DFA" w:rsidRPr="00E47139" w:rsidRDefault="00562393" w:rsidP="00562393">
      <w:r>
        <w:t xml:space="preserve">A target completion was scored as DO (coded as “0” in “Code” column) when it contained a subject NP followed by an indirect object NP and a direct object NP (e.g. </w:t>
      </w:r>
      <w:r w:rsidRPr="00562393">
        <w:rPr>
          <w:i/>
        </w:rPr>
        <w:t>The pirate sent the princess a crown</w:t>
      </w:r>
      <w:r>
        <w:t xml:space="preserve">). A target completion was scored as PO (coded as “1” in “Code” column) when it contained a subject NP followed by a direct object NP and an indirect object PP (e.g. </w:t>
      </w:r>
      <w:r w:rsidRPr="00562393">
        <w:rPr>
          <w:i/>
        </w:rPr>
        <w:t>The pirate sent a crown to the princess</w:t>
      </w:r>
      <w:r>
        <w:t xml:space="preserve">) </w:t>
      </w:r>
    </w:p>
    <w:sectPr w:rsidR="00E27DFA" w:rsidRPr="00E4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B9"/>
    <w:multiLevelType w:val="hybridMultilevel"/>
    <w:tmpl w:val="3BCA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4FB9"/>
    <w:multiLevelType w:val="hybridMultilevel"/>
    <w:tmpl w:val="755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2E92"/>
    <w:multiLevelType w:val="hybridMultilevel"/>
    <w:tmpl w:val="8346873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167C4"/>
    <w:rsid w:val="0002732B"/>
    <w:rsid w:val="00034967"/>
    <w:rsid w:val="0005024E"/>
    <w:rsid w:val="00050340"/>
    <w:rsid w:val="00074ABD"/>
    <w:rsid w:val="000A3281"/>
    <w:rsid w:val="000A35C7"/>
    <w:rsid w:val="000E760D"/>
    <w:rsid w:val="000F06C6"/>
    <w:rsid w:val="000F4C5B"/>
    <w:rsid w:val="00101E10"/>
    <w:rsid w:val="00104EE3"/>
    <w:rsid w:val="00121130"/>
    <w:rsid w:val="00124476"/>
    <w:rsid w:val="00135FAA"/>
    <w:rsid w:val="00144822"/>
    <w:rsid w:val="0016074F"/>
    <w:rsid w:val="001947E0"/>
    <w:rsid w:val="001C34C5"/>
    <w:rsid w:val="001D005D"/>
    <w:rsid w:val="001D3D77"/>
    <w:rsid w:val="001D47F5"/>
    <w:rsid w:val="001E3330"/>
    <w:rsid w:val="001F00C1"/>
    <w:rsid w:val="00205553"/>
    <w:rsid w:val="002138D5"/>
    <w:rsid w:val="002238F6"/>
    <w:rsid w:val="002636A3"/>
    <w:rsid w:val="00290AFE"/>
    <w:rsid w:val="002A276B"/>
    <w:rsid w:val="002B65EA"/>
    <w:rsid w:val="002C7657"/>
    <w:rsid w:val="00303C2F"/>
    <w:rsid w:val="00306CE6"/>
    <w:rsid w:val="00316746"/>
    <w:rsid w:val="00333175"/>
    <w:rsid w:val="00361276"/>
    <w:rsid w:val="003654D2"/>
    <w:rsid w:val="00377F0F"/>
    <w:rsid w:val="003A5AC5"/>
    <w:rsid w:val="003B3C82"/>
    <w:rsid w:val="003E6D92"/>
    <w:rsid w:val="003E7E67"/>
    <w:rsid w:val="003F3E6C"/>
    <w:rsid w:val="00403863"/>
    <w:rsid w:val="00406CC8"/>
    <w:rsid w:val="00412FAF"/>
    <w:rsid w:val="00414A0E"/>
    <w:rsid w:val="00416378"/>
    <w:rsid w:val="00420116"/>
    <w:rsid w:val="00422A7E"/>
    <w:rsid w:val="00433AF7"/>
    <w:rsid w:val="00490604"/>
    <w:rsid w:val="0049151D"/>
    <w:rsid w:val="004D0639"/>
    <w:rsid w:val="0051255A"/>
    <w:rsid w:val="0053492B"/>
    <w:rsid w:val="00562393"/>
    <w:rsid w:val="00585B59"/>
    <w:rsid w:val="00587923"/>
    <w:rsid w:val="00591502"/>
    <w:rsid w:val="005B67EF"/>
    <w:rsid w:val="005D010C"/>
    <w:rsid w:val="005F6250"/>
    <w:rsid w:val="0062397D"/>
    <w:rsid w:val="00654E22"/>
    <w:rsid w:val="00655256"/>
    <w:rsid w:val="006650C6"/>
    <w:rsid w:val="00684A3C"/>
    <w:rsid w:val="006A7364"/>
    <w:rsid w:val="006B752F"/>
    <w:rsid w:val="006D223A"/>
    <w:rsid w:val="006D408A"/>
    <w:rsid w:val="006E3D78"/>
    <w:rsid w:val="006F7A41"/>
    <w:rsid w:val="007501DB"/>
    <w:rsid w:val="0075356F"/>
    <w:rsid w:val="00763F5D"/>
    <w:rsid w:val="00772D7F"/>
    <w:rsid w:val="00781385"/>
    <w:rsid w:val="0078788C"/>
    <w:rsid w:val="0079412C"/>
    <w:rsid w:val="007A505A"/>
    <w:rsid w:val="007A7ED6"/>
    <w:rsid w:val="007B3283"/>
    <w:rsid w:val="007B423D"/>
    <w:rsid w:val="007C504F"/>
    <w:rsid w:val="007C61D6"/>
    <w:rsid w:val="007E3403"/>
    <w:rsid w:val="008030B4"/>
    <w:rsid w:val="0081606C"/>
    <w:rsid w:val="0082248E"/>
    <w:rsid w:val="00826E65"/>
    <w:rsid w:val="00834CD6"/>
    <w:rsid w:val="00835712"/>
    <w:rsid w:val="00874267"/>
    <w:rsid w:val="0087706F"/>
    <w:rsid w:val="00886507"/>
    <w:rsid w:val="00887A44"/>
    <w:rsid w:val="00897D3F"/>
    <w:rsid w:val="008A0544"/>
    <w:rsid w:val="008C31D3"/>
    <w:rsid w:val="008D3925"/>
    <w:rsid w:val="008F3AB0"/>
    <w:rsid w:val="008F64C6"/>
    <w:rsid w:val="008F7ABE"/>
    <w:rsid w:val="00912373"/>
    <w:rsid w:val="0092338B"/>
    <w:rsid w:val="00945620"/>
    <w:rsid w:val="00960F3C"/>
    <w:rsid w:val="009C7B6C"/>
    <w:rsid w:val="009D076B"/>
    <w:rsid w:val="009E69C7"/>
    <w:rsid w:val="00A055EF"/>
    <w:rsid w:val="00A25D26"/>
    <w:rsid w:val="00A4602C"/>
    <w:rsid w:val="00A707E9"/>
    <w:rsid w:val="00A723F6"/>
    <w:rsid w:val="00A737B4"/>
    <w:rsid w:val="00AA4397"/>
    <w:rsid w:val="00AB5DC8"/>
    <w:rsid w:val="00AC60A8"/>
    <w:rsid w:val="00AC7AD6"/>
    <w:rsid w:val="00AF6033"/>
    <w:rsid w:val="00B278B9"/>
    <w:rsid w:val="00B74EA7"/>
    <w:rsid w:val="00B773E7"/>
    <w:rsid w:val="00BD1E64"/>
    <w:rsid w:val="00BE6045"/>
    <w:rsid w:val="00BE779E"/>
    <w:rsid w:val="00C01AE1"/>
    <w:rsid w:val="00C02AB9"/>
    <w:rsid w:val="00C12F9B"/>
    <w:rsid w:val="00C17B28"/>
    <w:rsid w:val="00C35374"/>
    <w:rsid w:val="00C4157C"/>
    <w:rsid w:val="00C74ABA"/>
    <w:rsid w:val="00CA58BE"/>
    <w:rsid w:val="00CC02DA"/>
    <w:rsid w:val="00CE66B3"/>
    <w:rsid w:val="00D30F35"/>
    <w:rsid w:val="00D4221D"/>
    <w:rsid w:val="00D47759"/>
    <w:rsid w:val="00D72BEA"/>
    <w:rsid w:val="00D940EB"/>
    <w:rsid w:val="00DD1FA8"/>
    <w:rsid w:val="00DF625F"/>
    <w:rsid w:val="00E010CB"/>
    <w:rsid w:val="00E07FD4"/>
    <w:rsid w:val="00E16CC4"/>
    <w:rsid w:val="00E27DFA"/>
    <w:rsid w:val="00E451BD"/>
    <w:rsid w:val="00E47139"/>
    <w:rsid w:val="00E52D8E"/>
    <w:rsid w:val="00E761EA"/>
    <w:rsid w:val="00EB7E32"/>
    <w:rsid w:val="00EC5142"/>
    <w:rsid w:val="00F05564"/>
    <w:rsid w:val="00F241A2"/>
    <w:rsid w:val="00F30751"/>
    <w:rsid w:val="00F36864"/>
    <w:rsid w:val="00F37872"/>
    <w:rsid w:val="00F611E0"/>
    <w:rsid w:val="00F90367"/>
    <w:rsid w:val="00F940D1"/>
    <w:rsid w:val="00F95382"/>
    <w:rsid w:val="00FA01ED"/>
    <w:rsid w:val="00FB0956"/>
    <w:rsid w:val="00FD1FE1"/>
    <w:rsid w:val="00FD69F3"/>
    <w:rsid w:val="00FE1C1B"/>
    <w:rsid w:val="1629CCC6"/>
    <w:rsid w:val="1C07FFFD"/>
    <w:rsid w:val="461FC3E9"/>
    <w:rsid w:val="4D51AB3F"/>
    <w:rsid w:val="58496E01"/>
    <w:rsid w:val="60B7648F"/>
    <w:rsid w:val="6D45568D"/>
    <w:rsid w:val="71B1440E"/>
    <w:rsid w:val="734D146F"/>
    <w:rsid w:val="79238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5AD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Roger van Gompel (Staff)</cp:lastModifiedBy>
  <cp:revision>17</cp:revision>
  <dcterms:created xsi:type="dcterms:W3CDTF">2022-07-17T00:14:00Z</dcterms:created>
  <dcterms:modified xsi:type="dcterms:W3CDTF">2022-07-25T13:44:00Z</dcterms:modified>
</cp:coreProperties>
</file>