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5150" w14:textId="2B0CB3A4" w:rsidR="00920C55" w:rsidRPr="00F8687A" w:rsidRDefault="00F8687A" w:rsidP="00F8687A">
      <w:pPr>
        <w:overflowPunct/>
        <w:autoSpaceDE/>
        <w:autoSpaceDN/>
        <w:adjustRightInd/>
        <w:spacing w:after="0"/>
        <w:jc w:val="center"/>
        <w:textAlignment w:val="auto"/>
        <w:rPr>
          <w:rFonts w:ascii="Times New Roman" w:hAnsi="Times New Roman" w:cs="Times New Roman"/>
          <w:sz w:val="24"/>
          <w:szCs w:val="24"/>
          <w:lang w:eastAsia="en-GB"/>
        </w:rPr>
      </w:pPr>
      <w:bookmarkStart w:id="0" w:name="_Toc487817608"/>
      <w:r w:rsidRPr="00F8687A">
        <w:rPr>
          <w:color w:val="000000"/>
          <w:szCs w:val="22"/>
          <w:lang w:eastAsia="en-GB"/>
        </w:rPr>
        <w:t>DOI: 10.18462/iir.icr.20</w:t>
      </w:r>
      <w:r w:rsidR="00354AB6">
        <w:rPr>
          <w:color w:val="000000"/>
          <w:szCs w:val="22"/>
          <w:lang w:eastAsia="en-GB"/>
        </w:rPr>
        <w:t>22</w:t>
      </w:r>
      <w:r w:rsidRPr="00F8687A">
        <w:rPr>
          <w:color w:val="000000"/>
          <w:szCs w:val="22"/>
          <w:lang w:eastAsia="en-GB"/>
        </w:rPr>
        <w:t>.</w:t>
      </w:r>
      <w:r w:rsidR="00354AB6">
        <w:rPr>
          <w:color w:val="000000"/>
          <w:szCs w:val="22"/>
          <w:lang w:eastAsia="en-GB"/>
        </w:rPr>
        <w:t>1168</w:t>
      </w:r>
    </w:p>
    <w:p w14:paraId="23E2D125" w14:textId="0A41E969" w:rsidR="00920C55" w:rsidRPr="00D85476" w:rsidRDefault="00354AB6" w:rsidP="00150BF9">
      <w:pPr>
        <w:jc w:val="center"/>
        <w:rPr>
          <w:rFonts w:cs="Times New Roman"/>
          <w:b/>
          <w:bCs/>
          <w:kern w:val="28"/>
          <w:sz w:val="32"/>
          <w:szCs w:val="32"/>
          <w:lang w:eastAsia="en-US"/>
        </w:rPr>
      </w:pPr>
      <w:r w:rsidRPr="00354AB6">
        <w:rPr>
          <w:rFonts w:cs="Times New Roman"/>
          <w:b/>
          <w:bCs/>
          <w:kern w:val="28"/>
          <w:sz w:val="32"/>
          <w:szCs w:val="32"/>
          <w:lang w:eastAsia="en-US"/>
        </w:rPr>
        <w:t xml:space="preserve">Baseline Refrigeration Emissions </w:t>
      </w:r>
      <w:r>
        <w:rPr>
          <w:rFonts w:cs="Times New Roman"/>
          <w:b/>
          <w:bCs/>
          <w:kern w:val="28"/>
          <w:sz w:val="32"/>
          <w:szCs w:val="32"/>
          <w:lang w:eastAsia="en-US"/>
        </w:rPr>
        <w:t>i</w:t>
      </w:r>
      <w:r w:rsidRPr="00354AB6">
        <w:rPr>
          <w:rFonts w:cs="Times New Roman"/>
          <w:b/>
          <w:bCs/>
          <w:kern w:val="28"/>
          <w:sz w:val="32"/>
          <w:szCs w:val="32"/>
          <w:lang w:eastAsia="en-US"/>
        </w:rPr>
        <w:t xml:space="preserve">n </w:t>
      </w:r>
      <w:r w:rsidR="00AC2ED3">
        <w:rPr>
          <w:rFonts w:cs="Times New Roman"/>
          <w:b/>
          <w:bCs/>
          <w:kern w:val="28"/>
          <w:sz w:val="32"/>
          <w:szCs w:val="32"/>
          <w:lang w:eastAsia="en-US"/>
        </w:rPr>
        <w:t>t</w:t>
      </w:r>
      <w:r w:rsidRPr="00354AB6">
        <w:rPr>
          <w:rFonts w:cs="Times New Roman"/>
          <w:b/>
          <w:bCs/>
          <w:kern w:val="28"/>
          <w:sz w:val="32"/>
          <w:szCs w:val="32"/>
          <w:lang w:eastAsia="en-US"/>
        </w:rPr>
        <w:t>he UK</w:t>
      </w:r>
    </w:p>
    <w:p w14:paraId="4F7E3BCD" w14:textId="2892DF95" w:rsidR="0030675C" w:rsidRPr="000B18A5" w:rsidRDefault="000B18A5" w:rsidP="000B18A5">
      <w:pPr>
        <w:tabs>
          <w:tab w:val="center" w:pos="4819"/>
        </w:tabs>
        <w:rPr>
          <w:b/>
          <w:kern w:val="28"/>
          <w:sz w:val="28"/>
          <w:szCs w:val="28"/>
        </w:rPr>
      </w:pPr>
      <w:r w:rsidRPr="000B18A5">
        <w:rPr>
          <w:sz w:val="28"/>
          <w:szCs w:val="28"/>
        </w:rPr>
        <w:tab/>
      </w:r>
      <w:r w:rsidR="00877B1F" w:rsidRPr="000B18A5">
        <w:rPr>
          <w:sz w:val="28"/>
          <w:szCs w:val="28"/>
        </w:rPr>
        <w:t>A</w:t>
      </w:r>
      <w:r w:rsidR="007B6C72">
        <w:rPr>
          <w:sz w:val="28"/>
          <w:szCs w:val="28"/>
        </w:rPr>
        <w:t>lan</w:t>
      </w:r>
      <w:r w:rsidR="00877B1F" w:rsidRPr="000B18A5">
        <w:rPr>
          <w:sz w:val="28"/>
          <w:szCs w:val="28"/>
        </w:rPr>
        <w:t xml:space="preserve"> </w:t>
      </w:r>
      <w:r w:rsidR="007B6C72" w:rsidRPr="000B18A5">
        <w:rPr>
          <w:sz w:val="28"/>
          <w:szCs w:val="28"/>
        </w:rPr>
        <w:t>FOSTER</w:t>
      </w:r>
      <w:r w:rsidR="0030675C" w:rsidRPr="000B18A5">
        <w:rPr>
          <w:sz w:val="28"/>
          <w:szCs w:val="28"/>
        </w:rPr>
        <w:t xml:space="preserve">, </w:t>
      </w:r>
      <w:r w:rsidRPr="000B18A5">
        <w:rPr>
          <w:sz w:val="28"/>
          <w:szCs w:val="28"/>
        </w:rPr>
        <w:t>T</w:t>
      </w:r>
      <w:r w:rsidR="007B6C72">
        <w:rPr>
          <w:sz w:val="28"/>
          <w:szCs w:val="28"/>
        </w:rPr>
        <w:t>im</w:t>
      </w:r>
      <w:r w:rsidRPr="000B18A5">
        <w:rPr>
          <w:sz w:val="28"/>
          <w:szCs w:val="28"/>
        </w:rPr>
        <w:t xml:space="preserve"> </w:t>
      </w:r>
      <w:proofErr w:type="gramStart"/>
      <w:r w:rsidR="007B6C72" w:rsidRPr="000B18A5">
        <w:rPr>
          <w:sz w:val="28"/>
          <w:szCs w:val="28"/>
        </w:rPr>
        <w:t>BROWN</w:t>
      </w:r>
      <w:proofErr w:type="gramEnd"/>
      <w:r w:rsidR="00354AB6">
        <w:rPr>
          <w:sz w:val="28"/>
          <w:szCs w:val="28"/>
        </w:rPr>
        <w:t xml:space="preserve"> and</w:t>
      </w:r>
      <w:r w:rsidRPr="000B18A5">
        <w:rPr>
          <w:sz w:val="28"/>
          <w:szCs w:val="28"/>
        </w:rPr>
        <w:t xml:space="preserve"> </w:t>
      </w:r>
      <w:r w:rsidR="00877B1F" w:rsidRPr="000B18A5">
        <w:rPr>
          <w:sz w:val="28"/>
          <w:szCs w:val="28"/>
        </w:rPr>
        <w:t>J</w:t>
      </w:r>
      <w:r w:rsidR="007B6C72">
        <w:rPr>
          <w:sz w:val="28"/>
          <w:szCs w:val="28"/>
        </w:rPr>
        <w:t>udith</w:t>
      </w:r>
      <w:r w:rsidR="00877B1F" w:rsidRPr="000B18A5">
        <w:rPr>
          <w:sz w:val="28"/>
          <w:szCs w:val="28"/>
        </w:rPr>
        <w:t xml:space="preserve"> </w:t>
      </w:r>
      <w:r w:rsidR="007B6C72" w:rsidRPr="000B18A5">
        <w:rPr>
          <w:sz w:val="28"/>
          <w:szCs w:val="28"/>
        </w:rPr>
        <w:t>EVANS</w:t>
      </w:r>
    </w:p>
    <w:p w14:paraId="13F63836" w14:textId="1FACF49C" w:rsidR="0030675C" w:rsidRPr="005D1540" w:rsidRDefault="0030675C" w:rsidP="00150BF9">
      <w:pPr>
        <w:pStyle w:val="address"/>
        <w:jc w:val="center"/>
        <w:rPr>
          <w:sz w:val="22"/>
          <w:szCs w:val="22"/>
        </w:rPr>
      </w:pPr>
      <w:r w:rsidRPr="000B18A5">
        <w:rPr>
          <w:sz w:val="22"/>
          <w:szCs w:val="22"/>
        </w:rPr>
        <w:t xml:space="preserve">London South Bank University, </w:t>
      </w:r>
      <w:r w:rsidR="005D1540">
        <w:rPr>
          <w:sz w:val="22"/>
          <w:szCs w:val="22"/>
        </w:rPr>
        <w:t>Bristol</w:t>
      </w:r>
      <w:r w:rsidRPr="000B18A5">
        <w:rPr>
          <w:sz w:val="22"/>
          <w:szCs w:val="22"/>
        </w:rPr>
        <w:t xml:space="preserve">, </w:t>
      </w:r>
      <w:r w:rsidR="005D1540">
        <w:rPr>
          <w:sz w:val="22"/>
          <w:szCs w:val="22"/>
        </w:rPr>
        <w:t xml:space="preserve">BS40 5DU </w:t>
      </w:r>
      <w:r w:rsidR="005C584E" w:rsidRPr="000B18A5">
        <w:rPr>
          <w:sz w:val="22"/>
          <w:szCs w:val="22"/>
        </w:rPr>
        <w:t>UK</w:t>
      </w:r>
      <w:r w:rsidR="005D1540">
        <w:rPr>
          <w:sz w:val="22"/>
          <w:szCs w:val="22"/>
        </w:rPr>
        <w:t xml:space="preserve">, </w:t>
      </w:r>
      <w:hyperlink r:id="rId8" w:history="1">
        <w:r w:rsidRPr="005D1540">
          <w:rPr>
            <w:rStyle w:val="Hyperlink"/>
            <w:color w:val="auto"/>
            <w:sz w:val="22"/>
            <w:szCs w:val="22"/>
            <w:u w:val="none"/>
          </w:rPr>
          <w:t>alan.foster@lsbu.ac.uk</w:t>
        </w:r>
      </w:hyperlink>
    </w:p>
    <w:p w14:paraId="67D71A2D" w14:textId="77777777" w:rsidR="00DA1BAF" w:rsidRPr="000B18A5" w:rsidRDefault="00DA1BAF" w:rsidP="00DA1BAF">
      <w:pPr>
        <w:pStyle w:val="Heading1"/>
        <w:numPr>
          <w:ilvl w:val="0"/>
          <w:numId w:val="0"/>
        </w:numPr>
        <w:ind w:left="431" w:hanging="431"/>
        <w:rPr>
          <w:szCs w:val="22"/>
        </w:rPr>
      </w:pPr>
      <w:r w:rsidRPr="000B18A5">
        <w:t>ABSTRACT</w:t>
      </w:r>
    </w:p>
    <w:p w14:paraId="60331A2B" w14:textId="4CDB30DC" w:rsidR="00B114CB" w:rsidRPr="004A0D49" w:rsidRDefault="00816135" w:rsidP="00B114CB">
      <w:r>
        <w:t xml:space="preserve">Food </w:t>
      </w:r>
      <w:r w:rsidR="00354AB6">
        <w:t xml:space="preserve">cold chains are energy intensive and use </w:t>
      </w:r>
      <w:r w:rsidR="00993DD7">
        <w:t xml:space="preserve">high global warming </w:t>
      </w:r>
      <w:r w:rsidR="00354AB6">
        <w:t>refrigerants</w:t>
      </w:r>
      <w:r w:rsidR="005F72F1">
        <w:t>.</w:t>
      </w:r>
      <w:r w:rsidR="005E1679">
        <w:t xml:space="preserve">  </w:t>
      </w:r>
      <w:r w:rsidR="00354AB6">
        <w:t xml:space="preserve">The aim of this work </w:t>
      </w:r>
      <w:r w:rsidR="00A66C96">
        <w:t xml:space="preserve">was </w:t>
      </w:r>
      <w:r w:rsidR="00354AB6">
        <w:t xml:space="preserve">to benchmark the existing </w:t>
      </w:r>
      <w:r w:rsidR="00A66C96">
        <w:t xml:space="preserve">UK </w:t>
      </w:r>
      <w:r w:rsidR="00354AB6">
        <w:t>cold chain and provide robust evidence-based data on emissions in 2020. Only emissions from refrigeration</w:t>
      </w:r>
      <w:r w:rsidR="00993DD7">
        <w:t xml:space="preserve"> within UK borders</w:t>
      </w:r>
      <w:r w:rsidR="00354AB6">
        <w:t xml:space="preserve"> </w:t>
      </w:r>
      <w:r w:rsidR="00B114CB">
        <w:t>wa</w:t>
      </w:r>
      <w:r w:rsidR="00354AB6">
        <w:t>s considered, both from refrigerant leakage and from electrical power usage</w:t>
      </w:r>
      <w:r w:rsidR="00993DD7">
        <w:t>.</w:t>
      </w:r>
      <w:r w:rsidR="00BE0F77">
        <w:t xml:space="preserve"> </w:t>
      </w:r>
      <w:r w:rsidR="00B114CB" w:rsidRPr="001B0826">
        <w:t xml:space="preserve">Refrigeration in the food cold chain </w:t>
      </w:r>
      <w:r w:rsidR="007E7C56" w:rsidRPr="001B0826">
        <w:t>account</w:t>
      </w:r>
      <w:r w:rsidR="007E7C56">
        <w:t>ed</w:t>
      </w:r>
      <w:r w:rsidR="007E7C56" w:rsidRPr="001B0826">
        <w:t xml:space="preserve"> </w:t>
      </w:r>
      <w:r w:rsidR="00B114CB" w:rsidRPr="001B0826">
        <w:t xml:space="preserve">for approximately 28.6 </w:t>
      </w:r>
      <w:proofErr w:type="spellStart"/>
      <w:r w:rsidR="00B114CB" w:rsidRPr="001B0826">
        <w:t>TWh</w:t>
      </w:r>
      <w:proofErr w:type="spellEnd"/>
      <w:r w:rsidR="00B114CB" w:rsidRPr="001B0826">
        <w:t>/a</w:t>
      </w:r>
      <w:r w:rsidR="00B114CB">
        <w:t xml:space="preserve"> of electrical energy consumption</w:t>
      </w:r>
      <w:r w:rsidR="00B114CB" w:rsidRPr="001B0826">
        <w:t xml:space="preserve">.  </w:t>
      </w:r>
      <w:r w:rsidR="00B114CB">
        <w:t>Emissions caused by the generation of the electrical power, plus the emissions from road transport vehicles attributed to the TRUs were between 6.9 a</w:t>
      </w:r>
      <w:r w:rsidR="00993DD7">
        <w:t>n</w:t>
      </w:r>
      <w:r w:rsidR="00B114CB">
        <w:t xml:space="preserve">d 7.9 </w:t>
      </w:r>
      <w:r w:rsidR="00B114CB" w:rsidRPr="008C1C71">
        <w:t>MtCO</w:t>
      </w:r>
      <w:r w:rsidR="00B114CB" w:rsidRPr="008C1C71">
        <w:rPr>
          <w:vertAlign w:val="subscript"/>
        </w:rPr>
        <w:t>2e</w:t>
      </w:r>
      <w:r w:rsidR="00B114CB">
        <w:t xml:space="preserve">.  </w:t>
      </w:r>
      <w:r w:rsidR="00B114CB" w:rsidRPr="004A0D49">
        <w:t xml:space="preserve">Emissions from the refrigerants within the refrigerated equipment </w:t>
      </w:r>
      <w:r w:rsidR="007E7C56" w:rsidRPr="004A0D49">
        <w:t>w</w:t>
      </w:r>
      <w:r w:rsidR="007E7C56">
        <w:t>ere</w:t>
      </w:r>
      <w:r w:rsidR="007E7C56" w:rsidRPr="004A0D49">
        <w:t xml:space="preserve"> </w:t>
      </w:r>
      <w:r w:rsidR="00B114CB" w:rsidRPr="004A0D49">
        <w:t>5.4 MtCO</w:t>
      </w:r>
      <w:r w:rsidR="00B114CB" w:rsidRPr="004A0D49">
        <w:rPr>
          <w:vertAlign w:val="subscript"/>
        </w:rPr>
        <w:t>2e</w:t>
      </w:r>
      <w:r w:rsidR="00B114CB" w:rsidRPr="004A0D49">
        <w:t>.</w:t>
      </w:r>
      <w:r w:rsidR="00B114CB">
        <w:t xml:space="preserve"> It is clear from</w:t>
      </w:r>
      <w:r w:rsidR="00CF691F">
        <w:t xml:space="preserve"> the</w:t>
      </w:r>
      <w:r w:rsidR="00B114CB">
        <w:t xml:space="preserve"> results that energy consumption of domestic refrigeration and refrigerant emissions from retail refrigeration are the sectors which require the greatest focus.</w:t>
      </w:r>
    </w:p>
    <w:p w14:paraId="1E264729" w14:textId="77777777" w:rsidR="00B114CB" w:rsidRDefault="00B114CB" w:rsidP="00354AB6"/>
    <w:p w14:paraId="7EF911C9" w14:textId="2A02F26E" w:rsidR="00354AB6" w:rsidRDefault="0030675C" w:rsidP="00354AB6">
      <w:r w:rsidRPr="000B18A5">
        <w:t>Key words</w:t>
      </w:r>
      <w:r w:rsidR="00DA1BAF" w:rsidRPr="000B18A5">
        <w:t xml:space="preserve">: </w:t>
      </w:r>
      <w:r w:rsidR="00354AB6" w:rsidRPr="00354AB6">
        <w:t>Emissions, Cold Chain, Global Warming</w:t>
      </w:r>
    </w:p>
    <w:p w14:paraId="751A62F0" w14:textId="77777777" w:rsidR="00CA295C" w:rsidRPr="00173D50" w:rsidRDefault="00CA295C" w:rsidP="00657E84">
      <w:pPr>
        <w:pStyle w:val="Heading1"/>
      </w:pPr>
      <w:r w:rsidRPr="00173D50">
        <w:t>INTRODUCTION</w:t>
      </w:r>
    </w:p>
    <w:p w14:paraId="6562A976" w14:textId="6BD0FAA1" w:rsidR="00F7396F" w:rsidRDefault="0012200F" w:rsidP="0012200F">
      <w:bookmarkStart w:id="1" w:name="_Hlk89349889"/>
      <w:r w:rsidRPr="00FE14A7">
        <w:t xml:space="preserve">The food and drink industry </w:t>
      </w:r>
      <w:proofErr w:type="gramStart"/>
      <w:r w:rsidRPr="00FE14A7">
        <w:t>is</w:t>
      </w:r>
      <w:proofErr w:type="gramEnd"/>
      <w:r w:rsidRPr="00FE14A7">
        <w:t xml:space="preserve"> the largest manufacturing sector in the UK</w:t>
      </w:r>
      <w:r>
        <w:t xml:space="preserve">. </w:t>
      </w:r>
      <w:r w:rsidRPr="00FE14A7">
        <w:t xml:space="preserve"> </w:t>
      </w:r>
      <w:r w:rsidR="00F7396F" w:rsidRPr="00FE14A7">
        <w:t xml:space="preserve">The </w:t>
      </w:r>
      <w:r w:rsidR="00144D9A">
        <w:t>agri-food sector</w:t>
      </w:r>
      <w:r w:rsidR="00F7396F" w:rsidRPr="00FE14A7">
        <w:t xml:space="preserve"> </w:t>
      </w:r>
      <w:r w:rsidR="00F7396F">
        <w:t>wa</w:t>
      </w:r>
      <w:r w:rsidR="00F7396F" w:rsidRPr="00FE14A7">
        <w:t>s worth £1</w:t>
      </w:r>
      <w:r w:rsidR="00144D9A">
        <w:t>20</w:t>
      </w:r>
      <w:r w:rsidR="00F7396F">
        <w:t xml:space="preserve"> </w:t>
      </w:r>
      <w:r w:rsidR="00F7396F" w:rsidRPr="00FE14A7">
        <w:t>bn and account</w:t>
      </w:r>
      <w:r w:rsidR="00F7396F">
        <w:t>ed</w:t>
      </w:r>
      <w:r w:rsidR="00F7396F" w:rsidRPr="00FE14A7">
        <w:t xml:space="preserve"> for </w:t>
      </w:r>
      <w:r w:rsidR="00144D9A">
        <w:t>9.4</w:t>
      </w:r>
      <w:r w:rsidR="00F7396F" w:rsidRPr="00FE14A7">
        <w:t>% of national gross value added (GVA)</w:t>
      </w:r>
      <w:r w:rsidR="00F7396F">
        <w:t xml:space="preserve"> in 201</w:t>
      </w:r>
      <w:r w:rsidR="00530792">
        <w:t>8</w:t>
      </w:r>
      <w:r w:rsidR="00F7396F" w:rsidRPr="00FE14A7">
        <w:t xml:space="preserve">. </w:t>
      </w:r>
      <w:r w:rsidR="00F7396F">
        <w:t>Th</w:t>
      </w:r>
      <w:r w:rsidR="005E1679">
        <w:t>e</w:t>
      </w:r>
      <w:r w:rsidR="00F7396F">
        <w:t xml:space="preserve"> </w:t>
      </w:r>
      <w:r w:rsidR="00144D9A">
        <w:t xml:space="preserve">agri-food </w:t>
      </w:r>
      <w:r w:rsidR="00F7396F">
        <w:t>sector employs</w:t>
      </w:r>
      <w:r w:rsidR="00F7396F" w:rsidRPr="00FE14A7">
        <w:t xml:space="preserve"> </w:t>
      </w:r>
      <w:r w:rsidR="00144D9A">
        <w:t>4.1</w:t>
      </w:r>
      <w:r w:rsidR="00F7396F">
        <w:t xml:space="preserve"> </w:t>
      </w:r>
      <w:r w:rsidR="00F7396F" w:rsidRPr="00FE14A7">
        <w:t xml:space="preserve">m </w:t>
      </w:r>
      <w:r w:rsidR="00F7396F">
        <w:t>people</w:t>
      </w:r>
      <w:r w:rsidR="005E1679">
        <w:t xml:space="preserve"> </w:t>
      </w:r>
      <w:r w:rsidR="00F7396F" w:rsidRPr="00F80D69">
        <w:rPr>
          <w:rFonts w:ascii="Calibri" w:hAnsi="Calibri" w:cs="Calibri"/>
          <w:bCs/>
          <w:lang w:val="en-US"/>
        </w:rPr>
        <w:t>(DEFRA, 20</w:t>
      </w:r>
      <w:r w:rsidR="007C731A">
        <w:rPr>
          <w:rFonts w:ascii="Calibri" w:hAnsi="Calibri" w:cs="Calibri"/>
          <w:bCs/>
          <w:lang w:val="en-US"/>
        </w:rPr>
        <w:t>20</w:t>
      </w:r>
      <w:r w:rsidR="00F7396F">
        <w:rPr>
          <w:rFonts w:ascii="Calibri" w:hAnsi="Calibri" w:cs="Calibri"/>
          <w:bCs/>
          <w:lang w:val="en-US"/>
        </w:rPr>
        <w:t>)</w:t>
      </w:r>
      <w:r w:rsidR="00F7396F" w:rsidRPr="00FE14A7">
        <w:t>.</w:t>
      </w:r>
    </w:p>
    <w:bookmarkEnd w:id="1"/>
    <w:p w14:paraId="619B3B7E" w14:textId="6B5C1310" w:rsidR="0090408E" w:rsidRDefault="0090408E" w:rsidP="0090408E">
      <w:r>
        <w:t>Conventional cold chains for food are energy intensive and use refrigerants, which often have high global warming potentials (GWPs). The leakage of these refrigerants to the atmosphere and the associated CO</w:t>
      </w:r>
      <w:r w:rsidRPr="004953EE">
        <w:rPr>
          <w:vertAlign w:val="subscript"/>
        </w:rPr>
        <w:t>2</w:t>
      </w:r>
      <w:r w:rsidR="0051091E">
        <w:rPr>
          <w:vertAlign w:val="subscript"/>
        </w:rPr>
        <w:t>e</w:t>
      </w:r>
      <w:r>
        <w:t xml:space="preserve"> emissions from the electricity used to power the refrigeration systems is significant.  The food cold chain alone is responsible for a third of hydrofluorocarbon (HFC) emissions, or 1% of global greenhouse gas (GHG) emissions</w:t>
      </w:r>
      <w:r w:rsidR="00172307" w:rsidRPr="00172307">
        <w:t xml:space="preserve"> </w:t>
      </w:r>
      <w:r w:rsidR="0055107D">
        <w:t>and f</w:t>
      </w:r>
      <w:r>
        <w:t>ood refrigeration is estimated to be responsible for 2-4% of the UKs total GHG emissions</w:t>
      </w:r>
      <w:r w:rsidR="0055107D">
        <w:t xml:space="preserve"> </w:t>
      </w:r>
      <w:r w:rsidR="0055107D">
        <w:fldChar w:fldCharType="begin"/>
      </w:r>
      <w:r w:rsidR="0055107D">
        <w:instrText>ADDIN RW.CITE{{doc:60c8a4e28f0842a5e217c528 Ravishanka,Manu 2020}}</w:instrText>
      </w:r>
      <w:r w:rsidR="0055107D">
        <w:fldChar w:fldCharType="separate"/>
      </w:r>
      <w:r w:rsidR="00530792" w:rsidRPr="00530792">
        <w:rPr>
          <w:rFonts w:ascii="Calibri" w:hAnsi="Calibri" w:cs="Calibri"/>
          <w:bCs/>
          <w:lang w:val="en-US"/>
        </w:rPr>
        <w:t>(Ravishanka</w:t>
      </w:r>
      <w:r w:rsidR="004141CB">
        <w:rPr>
          <w:rFonts w:ascii="Calibri" w:hAnsi="Calibri" w:cs="Calibri"/>
          <w:bCs/>
          <w:lang w:val="en-US"/>
        </w:rPr>
        <w:t xml:space="preserve"> et al</w:t>
      </w:r>
      <w:r w:rsidR="00530792" w:rsidRPr="00530792">
        <w:rPr>
          <w:rFonts w:ascii="Calibri" w:hAnsi="Calibri" w:cs="Calibri"/>
          <w:bCs/>
          <w:lang w:val="en-US"/>
        </w:rPr>
        <w:t xml:space="preserve"> 2020)</w:t>
      </w:r>
      <w:r w:rsidR="0055107D">
        <w:fldChar w:fldCharType="end"/>
      </w:r>
      <w:r>
        <w:t>.</w:t>
      </w:r>
    </w:p>
    <w:p w14:paraId="1B464C1C" w14:textId="67AE5D14" w:rsidR="0090408E" w:rsidRDefault="0090408E" w:rsidP="0090408E">
      <w:r>
        <w:t>Availability of information varies across the food cold chain, with some sectors providing little information. For example, Chilled Food Association (CFA) state</w:t>
      </w:r>
      <w:r w:rsidR="00BE011B">
        <w:t xml:space="preserve"> on their web site</w:t>
      </w:r>
      <w:r>
        <w:t xml:space="preserve">: ‘There is no official collection of market data either in the UK, EU or internationally’. Evidence from sources such as climate change levy (CCL) data shows that sectors such as cold storage and retail have reduced carbon emissions over the last 5-10 years and so it is essential when benchmarking the cold chain that </w:t>
      </w:r>
      <w:r w:rsidR="00B2724C">
        <w:t>up-to-date</w:t>
      </w:r>
      <w:r>
        <w:t xml:space="preserve"> information is used in the assessment.</w:t>
      </w:r>
    </w:p>
    <w:p w14:paraId="1FDCAAD3" w14:textId="5A3F7783" w:rsidR="00190C08" w:rsidRDefault="0090408E" w:rsidP="0090408E">
      <w:r>
        <w:t xml:space="preserve">The aim of this work was to benchmark the existing </w:t>
      </w:r>
      <w:r w:rsidR="00F7396F">
        <w:t xml:space="preserve">UK </w:t>
      </w:r>
      <w:r>
        <w:t xml:space="preserve">cold chain (chilled and frozen) and provide robust evidence-based data on emissions </w:t>
      </w:r>
      <w:r w:rsidR="00CF691F">
        <w:t xml:space="preserve">covering the periods </w:t>
      </w:r>
      <w:r>
        <w:t>2019</w:t>
      </w:r>
      <w:r w:rsidR="00CF691F">
        <w:t xml:space="preserve"> to</w:t>
      </w:r>
      <w:r>
        <w:t xml:space="preserve">2020.  </w:t>
      </w:r>
      <w:r w:rsidRPr="0063319A">
        <w:t xml:space="preserve">Only emissions from the refrigeration </w:t>
      </w:r>
      <w:r w:rsidR="00F7396F" w:rsidRPr="0063319A">
        <w:t xml:space="preserve">were </w:t>
      </w:r>
      <w:r w:rsidRPr="0063319A">
        <w:t>considered, both direct from refrigerant leakage and indirect from electrical power usage.</w:t>
      </w:r>
    </w:p>
    <w:p w14:paraId="5DE47C9A" w14:textId="77777777" w:rsidR="00B14B80" w:rsidRPr="00D34F70" w:rsidRDefault="00B14B80" w:rsidP="0090408E"/>
    <w:p w14:paraId="6F9217F2" w14:textId="77777777" w:rsidR="002D0BFA" w:rsidRPr="00710364" w:rsidRDefault="002D0BFA" w:rsidP="00C31618">
      <w:pPr>
        <w:pStyle w:val="Heading1"/>
      </w:pPr>
      <w:r w:rsidRPr="00710364">
        <w:t>Method</w:t>
      </w:r>
    </w:p>
    <w:p w14:paraId="72678A9F" w14:textId="5F0F93EA" w:rsidR="000573D0" w:rsidRDefault="000573D0" w:rsidP="000573D0">
      <w:r>
        <w:t>The cold chain was split into sectors.  These were:</w:t>
      </w:r>
    </w:p>
    <w:p w14:paraId="093DE063" w14:textId="77777777" w:rsidR="000573D0" w:rsidRDefault="000573D0" w:rsidP="000573D0">
      <w:pPr>
        <w:pStyle w:val="ListParagraph"/>
        <w:numPr>
          <w:ilvl w:val="0"/>
          <w:numId w:val="10"/>
        </w:numPr>
        <w:overflowPunct/>
        <w:autoSpaceDE/>
        <w:autoSpaceDN/>
        <w:adjustRightInd/>
        <w:spacing w:line="259" w:lineRule="auto"/>
        <w:jc w:val="left"/>
        <w:textAlignment w:val="auto"/>
      </w:pPr>
      <w:r>
        <w:t>Agriculture</w:t>
      </w:r>
    </w:p>
    <w:p w14:paraId="25D5FBBA" w14:textId="77777777" w:rsidR="000573D0" w:rsidRDefault="000573D0" w:rsidP="000573D0">
      <w:pPr>
        <w:pStyle w:val="ListParagraph"/>
        <w:numPr>
          <w:ilvl w:val="0"/>
          <w:numId w:val="10"/>
        </w:numPr>
        <w:overflowPunct/>
        <w:autoSpaceDE/>
        <w:autoSpaceDN/>
        <w:adjustRightInd/>
        <w:spacing w:line="259" w:lineRule="auto"/>
        <w:jc w:val="left"/>
        <w:textAlignment w:val="auto"/>
      </w:pPr>
      <w:r>
        <w:t>Food and drink production</w:t>
      </w:r>
    </w:p>
    <w:p w14:paraId="1D26C62B" w14:textId="77777777" w:rsidR="000573D0" w:rsidRDefault="000573D0" w:rsidP="000573D0">
      <w:pPr>
        <w:pStyle w:val="ListParagraph"/>
        <w:numPr>
          <w:ilvl w:val="0"/>
          <w:numId w:val="10"/>
        </w:numPr>
        <w:overflowPunct/>
        <w:autoSpaceDE/>
        <w:autoSpaceDN/>
        <w:adjustRightInd/>
        <w:spacing w:line="259" w:lineRule="auto"/>
        <w:jc w:val="left"/>
        <w:textAlignment w:val="auto"/>
      </w:pPr>
      <w:r>
        <w:t>Cold storage (after production)</w:t>
      </w:r>
    </w:p>
    <w:p w14:paraId="738D30EA" w14:textId="77777777" w:rsidR="000573D0" w:rsidRDefault="000573D0" w:rsidP="000573D0">
      <w:pPr>
        <w:pStyle w:val="ListParagraph"/>
        <w:numPr>
          <w:ilvl w:val="0"/>
          <w:numId w:val="10"/>
        </w:numPr>
        <w:overflowPunct/>
        <w:autoSpaceDE/>
        <w:autoSpaceDN/>
        <w:adjustRightInd/>
        <w:spacing w:line="259" w:lineRule="auto"/>
        <w:jc w:val="left"/>
        <w:textAlignment w:val="auto"/>
      </w:pPr>
      <w:r>
        <w:t>Retail</w:t>
      </w:r>
    </w:p>
    <w:p w14:paraId="0A9A8449" w14:textId="77777777" w:rsidR="000573D0" w:rsidRDefault="000573D0" w:rsidP="000573D0">
      <w:pPr>
        <w:pStyle w:val="ListParagraph"/>
        <w:numPr>
          <w:ilvl w:val="0"/>
          <w:numId w:val="10"/>
        </w:numPr>
        <w:overflowPunct/>
        <w:autoSpaceDE/>
        <w:autoSpaceDN/>
        <w:adjustRightInd/>
        <w:spacing w:line="259" w:lineRule="auto"/>
        <w:jc w:val="left"/>
        <w:textAlignment w:val="auto"/>
      </w:pPr>
      <w:r>
        <w:lastRenderedPageBreak/>
        <w:t>Food service</w:t>
      </w:r>
    </w:p>
    <w:p w14:paraId="64D1A0FC" w14:textId="77777777" w:rsidR="000573D0" w:rsidRDefault="000573D0" w:rsidP="000573D0">
      <w:pPr>
        <w:pStyle w:val="ListParagraph"/>
        <w:numPr>
          <w:ilvl w:val="0"/>
          <w:numId w:val="10"/>
        </w:numPr>
        <w:overflowPunct/>
        <w:autoSpaceDE/>
        <w:autoSpaceDN/>
        <w:adjustRightInd/>
        <w:spacing w:line="259" w:lineRule="auto"/>
        <w:jc w:val="left"/>
        <w:textAlignment w:val="auto"/>
      </w:pPr>
      <w:r>
        <w:t>Transport between all sectors</w:t>
      </w:r>
    </w:p>
    <w:p w14:paraId="5919D3CA" w14:textId="77777777" w:rsidR="000573D0" w:rsidRDefault="000573D0" w:rsidP="000573D0">
      <w:pPr>
        <w:pStyle w:val="ListParagraph"/>
        <w:numPr>
          <w:ilvl w:val="0"/>
          <w:numId w:val="10"/>
        </w:numPr>
        <w:overflowPunct/>
        <w:autoSpaceDE/>
        <w:autoSpaceDN/>
        <w:adjustRightInd/>
        <w:spacing w:line="259" w:lineRule="auto"/>
        <w:jc w:val="left"/>
        <w:textAlignment w:val="auto"/>
      </w:pPr>
      <w:r>
        <w:t>Domestic</w:t>
      </w:r>
    </w:p>
    <w:p w14:paraId="4EDEC9F8" w14:textId="4EE69642" w:rsidR="000573D0" w:rsidRDefault="000573D0" w:rsidP="000573D0">
      <w:r>
        <w:t>GHG</w:t>
      </w:r>
      <w:r w:rsidR="00C66A17">
        <w:t xml:space="preserve"> </w:t>
      </w:r>
      <w:r w:rsidR="000550AF">
        <w:t>emissions</w:t>
      </w:r>
      <w:r>
        <w:t xml:space="preserve"> were split into direct emissions from refrigerants and indirect emissions from the electricity consumed.  </w:t>
      </w:r>
      <w:r w:rsidR="00F51469">
        <w:t xml:space="preserve">As </w:t>
      </w:r>
      <w:r w:rsidR="000550AF">
        <w:t xml:space="preserve">emissions from </w:t>
      </w:r>
      <w:r w:rsidR="00F51469">
        <w:t xml:space="preserve">refrigerated transport units </w:t>
      </w:r>
      <w:r w:rsidR="000550AF">
        <w:t>(TRUs) originate from the</w:t>
      </w:r>
      <w:r w:rsidR="00F51469">
        <w:t xml:space="preserve"> </w:t>
      </w:r>
      <w:r w:rsidR="005333E2">
        <w:t>diesel</w:t>
      </w:r>
      <w:r w:rsidR="00F51469">
        <w:t xml:space="preserve"> engines that power the </w:t>
      </w:r>
      <w:r w:rsidR="000550AF">
        <w:t>TRUs</w:t>
      </w:r>
      <w:r w:rsidR="005333E2">
        <w:t xml:space="preserve">, these have been included in the energy consumption section, to separate </w:t>
      </w:r>
      <w:r w:rsidR="00A25DC9">
        <w:t xml:space="preserve">them </w:t>
      </w:r>
      <w:r w:rsidR="005333E2">
        <w:t>from the emissions from the refrigerants.</w:t>
      </w:r>
      <w:r w:rsidR="00F51469">
        <w:t xml:space="preserve">  </w:t>
      </w:r>
      <w:r>
        <w:t xml:space="preserve">For all sectors except transport the indirect emissions from energy consumption </w:t>
      </w:r>
      <w:r w:rsidR="00724BE1">
        <w:t xml:space="preserve">were </w:t>
      </w:r>
      <w:r>
        <w:t xml:space="preserve">converted into GHG emissions based on </w:t>
      </w:r>
      <w:r w:rsidR="00724BE1">
        <w:t xml:space="preserve">the </w:t>
      </w:r>
      <w:r>
        <w:t>carbon intensity of the grid in 2019 of 0.22 kgCO</w:t>
      </w:r>
      <w:r w:rsidRPr="00533B7B">
        <w:rPr>
          <w:vertAlign w:val="subscript"/>
        </w:rPr>
        <w:t>2e</w:t>
      </w:r>
      <w:r>
        <w:t xml:space="preserve">/kWh (BEIS, 2021).  </w:t>
      </w:r>
      <w:r w:rsidRPr="0063319A">
        <w:t>For transport, electricity is rarely used for the refrigeration, as refrigeration systems on vehicles are almost always driven directly from fossil fuels. Only the emissions associated with the refrigeration of the vehicle were considered and emissions to drive the vehicle were excluded.</w:t>
      </w:r>
    </w:p>
    <w:p w14:paraId="53F703E9" w14:textId="6DFB7EF0" w:rsidR="000573D0" w:rsidRDefault="000573D0" w:rsidP="000573D0">
      <w:r>
        <w:t xml:space="preserve">A literature review of reports and peer reviewed papers was conducted with the aim of finding the latest and most comprehensive data on emissions.    </w:t>
      </w:r>
      <w:r w:rsidR="006763A6">
        <w:t>A level of confidence was attached to the results which considered the quality of data, agreement between separate sources and age of the data</w:t>
      </w:r>
      <w:r w:rsidR="00955805">
        <w:t>.</w:t>
      </w:r>
    </w:p>
    <w:p w14:paraId="465DF329" w14:textId="581F584E" w:rsidR="000573D0" w:rsidRDefault="00C01ABA" w:rsidP="00D81D30">
      <w:pPr>
        <w:pStyle w:val="Heading2"/>
      </w:pPr>
      <w:r>
        <w:t>Energy consumption</w:t>
      </w:r>
    </w:p>
    <w:p w14:paraId="1D464CDB" w14:textId="471D0D52" w:rsidR="000573D0" w:rsidRDefault="000573D0" w:rsidP="000573D0">
      <w:r>
        <w:t xml:space="preserve">For </w:t>
      </w:r>
      <w:r w:rsidR="00C01ABA">
        <w:t>e</w:t>
      </w:r>
      <w:r>
        <w:t xml:space="preserve">nergy consumption the Digest of UK Energy Statistics (DUKES) was widely used.  This data is compiled by the </w:t>
      </w:r>
      <w:r w:rsidRPr="001A2C9D">
        <w:t>Department for Business, Energy &amp; Industrial Strategy</w:t>
      </w:r>
      <w:r>
        <w:t xml:space="preserve"> </w:t>
      </w:r>
      <w:r w:rsidR="00955805">
        <w:t xml:space="preserve">(BEIS) </w:t>
      </w:r>
      <w:r>
        <w:t xml:space="preserve">and contains data for many years up until the current year.  The United Kingdom Statistics Authority has designated these statistics as National Statistics, in accordance with the Statistics and Registration Service Act 2007 and therefore </w:t>
      </w:r>
      <w:r w:rsidR="00955805">
        <w:t xml:space="preserve">they </w:t>
      </w:r>
      <w:r>
        <w:t>were considered as the most accurate data available. DUKES data does not always differentiate the energy consumed by refrigeration systems in each of the cold chain sectors and therefore further analysis and assumptions were often required. Energy consumption values shown were collated per year for the years 2019/2020, unless otherwise stated.</w:t>
      </w:r>
    </w:p>
    <w:p w14:paraId="2CFF22AF" w14:textId="6D68721A" w:rsidR="000573D0" w:rsidRDefault="00C01ABA" w:rsidP="00D81D30">
      <w:pPr>
        <w:pStyle w:val="Heading2"/>
      </w:pPr>
      <w:r>
        <w:t>E</w:t>
      </w:r>
      <w:r w:rsidR="000573D0">
        <w:t>missions</w:t>
      </w:r>
      <w:r>
        <w:t xml:space="preserve"> from refrigerant leakage</w:t>
      </w:r>
    </w:p>
    <w:p w14:paraId="52E26518" w14:textId="27D89592" w:rsidR="000573D0" w:rsidRDefault="000573D0" w:rsidP="000573D0">
      <w:r>
        <w:t>The main GHG refrigerants are the fluorinated gases (f-gases)</w:t>
      </w:r>
      <w:r w:rsidR="00724BE1">
        <w:t>;</w:t>
      </w:r>
      <w:r>
        <w:t xml:space="preserve"> </w:t>
      </w:r>
      <w:r w:rsidRPr="00B259C7">
        <w:t>hydrofluorocarbon</w:t>
      </w:r>
      <w:r>
        <w:t xml:space="preserve">s (HFCs) and </w:t>
      </w:r>
      <w:r w:rsidRPr="00B259C7">
        <w:t>hydrochlorofluorocarbon</w:t>
      </w:r>
      <w:r>
        <w:t xml:space="preserve">s (HCFCs).  </w:t>
      </w:r>
    </w:p>
    <w:p w14:paraId="524D3B89" w14:textId="63E57B9E" w:rsidR="000573D0" w:rsidRDefault="000573D0" w:rsidP="000573D0">
      <w:r>
        <w:t xml:space="preserve">According to </w:t>
      </w:r>
      <w:r w:rsidR="00724BE1" w:rsidRPr="00F22A02">
        <w:rPr>
          <w:rFonts w:ascii="Calibri" w:hAnsi="Calibri" w:cs="Calibri"/>
          <w:bCs/>
          <w:lang w:val="en-US"/>
        </w:rPr>
        <w:t xml:space="preserve">Brown </w:t>
      </w:r>
      <w:r w:rsidR="00052D1B">
        <w:rPr>
          <w:rFonts w:ascii="Calibri" w:hAnsi="Calibri" w:cs="Calibri"/>
          <w:bCs/>
          <w:lang w:val="en-US"/>
        </w:rPr>
        <w:t>et al</w:t>
      </w:r>
      <w:r w:rsidR="00724BE1">
        <w:t xml:space="preserve"> </w:t>
      </w:r>
      <w:r>
        <w:fldChar w:fldCharType="begin"/>
      </w:r>
      <w:r>
        <w:instrText>ADDIN RW.CITE{{doc:60e31dbc8f083e36f6d25dda Brown,P 2021}}</w:instrText>
      </w:r>
      <w:r>
        <w:fldChar w:fldCharType="separate"/>
      </w:r>
      <w:r w:rsidR="00530792" w:rsidRPr="00530792">
        <w:rPr>
          <w:rFonts w:ascii="Calibri" w:hAnsi="Calibri" w:cs="Calibri"/>
          <w:bCs/>
          <w:lang w:val="en-US"/>
        </w:rPr>
        <w:t>(Brown et al.</w:t>
      </w:r>
      <w:r w:rsidR="00C7040F">
        <w:rPr>
          <w:rFonts w:ascii="Calibri" w:hAnsi="Calibri" w:cs="Calibri"/>
          <w:bCs/>
          <w:lang w:val="en-US"/>
        </w:rPr>
        <w:t>,</w:t>
      </w:r>
      <w:r w:rsidR="00530792" w:rsidRPr="00530792">
        <w:rPr>
          <w:rFonts w:ascii="Calibri" w:hAnsi="Calibri" w:cs="Calibri"/>
          <w:bCs/>
          <w:lang w:val="en-US"/>
        </w:rPr>
        <w:t xml:space="preserve"> 2021)</w:t>
      </w:r>
      <w:r>
        <w:fldChar w:fldCharType="end"/>
      </w:r>
      <w:r>
        <w:t xml:space="preserve"> emissions of f-gases can occur at various stages of the refrigeration </w:t>
      </w:r>
      <w:r w:rsidR="00DA060E">
        <w:t xml:space="preserve">equipment </w:t>
      </w:r>
      <w:proofErr w:type="gramStart"/>
      <w:r>
        <w:t>life-cycle</w:t>
      </w:r>
      <w:proofErr w:type="gramEnd"/>
      <w:r>
        <w:t>:</w:t>
      </w:r>
    </w:p>
    <w:p w14:paraId="77F1CD3C" w14:textId="6607A5E6" w:rsidR="000573D0" w:rsidRDefault="000573D0" w:rsidP="000573D0">
      <w:pPr>
        <w:ind w:left="720"/>
      </w:pPr>
      <w:r>
        <w:t>• During manufacturing</w:t>
      </w:r>
    </w:p>
    <w:p w14:paraId="125B682B" w14:textId="448218D5" w:rsidR="000573D0" w:rsidRDefault="000573D0" w:rsidP="000573D0">
      <w:pPr>
        <w:ind w:left="720"/>
      </w:pPr>
      <w:r>
        <w:t>• During installation</w:t>
      </w:r>
    </w:p>
    <w:p w14:paraId="57B7E65A" w14:textId="4F55EF1A" w:rsidR="000573D0" w:rsidRDefault="000573D0" w:rsidP="000573D0">
      <w:pPr>
        <w:ind w:left="720"/>
      </w:pPr>
      <w:r>
        <w:t>• Over the operational lifetime</w:t>
      </w:r>
    </w:p>
    <w:p w14:paraId="450CF565" w14:textId="34D44CA2" w:rsidR="000573D0" w:rsidRDefault="000573D0" w:rsidP="000573D0">
      <w:pPr>
        <w:ind w:left="720"/>
      </w:pPr>
      <w:r>
        <w:t>• At disposal.</w:t>
      </w:r>
    </w:p>
    <w:p w14:paraId="1D2EF058" w14:textId="760A9881" w:rsidR="000573D0" w:rsidRDefault="000573D0" w:rsidP="000573D0">
      <w:r>
        <w:t>The most comprehensive source of information for direct emissions is the UK Greenhouse Gas Inventory.  This</w:t>
      </w:r>
      <w:r w:rsidRPr="00F22A02">
        <w:t xml:space="preserve"> contains national greenhouse gas emission estimates for the period 1990-2019</w:t>
      </w:r>
      <w:r>
        <w:t xml:space="preserve"> and is the United Kingdom’s National Inventory Report (NIR) submitted to the United Nations Framework Convention on Climate Change (UNFCCC</w:t>
      </w:r>
      <w:r w:rsidRPr="0063319A">
        <w:t>).</w:t>
      </w:r>
      <w:r w:rsidR="009F2597" w:rsidRPr="0063319A">
        <w:t xml:space="preserve">  It includes losses during manufacture/initial charging and at decommissioning as well as losses in use.</w:t>
      </w:r>
    </w:p>
    <w:p w14:paraId="196E2324" w14:textId="77777777" w:rsidR="00CD1EFD" w:rsidRPr="007C39B6" w:rsidRDefault="007F1BC7" w:rsidP="001E5449">
      <w:pPr>
        <w:pStyle w:val="Heading1"/>
      </w:pPr>
      <w:r w:rsidRPr="007C39B6">
        <w:t>Results</w:t>
      </w:r>
      <w:bookmarkEnd w:id="0"/>
    </w:p>
    <w:p w14:paraId="7F65C64C" w14:textId="77777777" w:rsidR="00BF4B79" w:rsidRDefault="00C01ABA" w:rsidP="00BF4B79">
      <w:pPr>
        <w:pStyle w:val="Heading2"/>
      </w:pPr>
      <w:r>
        <w:t>Energy consumption</w:t>
      </w:r>
      <w:r w:rsidR="000550AF">
        <w:t xml:space="preserve"> </w:t>
      </w:r>
      <w:bookmarkStart w:id="2" w:name="_Hlk74835271"/>
    </w:p>
    <w:p w14:paraId="3C543C0E" w14:textId="4D633753" w:rsidR="00E96F77" w:rsidRDefault="00E96F77" w:rsidP="000550AF">
      <w:pPr>
        <w:pStyle w:val="Heading3"/>
      </w:pPr>
      <w:r>
        <w:t xml:space="preserve">Agriculture and fisheries </w:t>
      </w:r>
    </w:p>
    <w:p w14:paraId="61CAD93A" w14:textId="5A377CBE" w:rsidR="00675AFB" w:rsidRDefault="00675AFB" w:rsidP="00675AFB">
      <w:pPr>
        <w:rPr>
          <w:rFonts w:cstheme="minorHAnsi"/>
        </w:rPr>
      </w:pPr>
      <w:r w:rsidRPr="00607A75">
        <w:rPr>
          <w:rFonts w:cstheme="minorHAnsi"/>
        </w:rPr>
        <w:t>During 2011, the UK farming and fishing sector accounted for 55.1 MtCO</w:t>
      </w:r>
      <w:r w:rsidRPr="00607A75">
        <w:rPr>
          <w:rFonts w:cstheme="minorHAnsi"/>
          <w:vertAlign w:val="subscript"/>
        </w:rPr>
        <w:t>2e</w:t>
      </w:r>
      <w:r w:rsidRPr="00607A75">
        <w:rPr>
          <w:rFonts w:cstheme="minorHAnsi"/>
        </w:rPr>
        <w:t xml:space="preserve"> GHG emissions </w:t>
      </w:r>
      <w:r w:rsidRPr="00607A75">
        <w:rPr>
          <w:rFonts w:cstheme="minorHAnsi"/>
        </w:rPr>
        <w:fldChar w:fldCharType="begin"/>
      </w:r>
      <w:r w:rsidRPr="00607A75">
        <w:rPr>
          <w:rFonts w:cstheme="minorHAnsi"/>
        </w:rPr>
        <w:instrText>ADDIN RW.CITE{{doc:60fea7af8f0849a892c0ec30 DepartmentforEnvironment,FoodandRuralAffairs 2014}}</w:instrText>
      </w:r>
      <w:r w:rsidRPr="00607A75">
        <w:rPr>
          <w:rFonts w:cstheme="minorHAnsi"/>
        </w:rPr>
        <w:fldChar w:fldCharType="separate"/>
      </w:r>
      <w:r w:rsidR="00D766F6" w:rsidRPr="00D766F6">
        <w:rPr>
          <w:rFonts w:cstheme="minorHAnsi"/>
          <w:bCs/>
          <w:lang w:val="en-US"/>
        </w:rPr>
        <w:t>(DEFRA 2014)</w:t>
      </w:r>
      <w:r w:rsidRPr="00607A75">
        <w:rPr>
          <w:rFonts w:cstheme="minorHAnsi"/>
        </w:rPr>
        <w:fldChar w:fldCharType="end"/>
      </w:r>
      <w:r w:rsidRPr="00607A75">
        <w:rPr>
          <w:rFonts w:cstheme="minorHAnsi"/>
        </w:rPr>
        <w:t xml:space="preserve">.  Enteric fermentation in ruminating animals and oxidisation of nitrogen in fertilisers </w:t>
      </w:r>
      <w:r w:rsidR="00E92AB1">
        <w:rPr>
          <w:rFonts w:cstheme="minorHAnsi"/>
        </w:rPr>
        <w:t>were</w:t>
      </w:r>
      <w:r w:rsidR="00E92AB1" w:rsidRPr="00607A75">
        <w:rPr>
          <w:rFonts w:cstheme="minorHAnsi"/>
        </w:rPr>
        <w:t xml:space="preserve"> </w:t>
      </w:r>
      <w:r w:rsidRPr="00607A75">
        <w:rPr>
          <w:rFonts w:cstheme="minorHAnsi"/>
        </w:rPr>
        <w:t>the source</w:t>
      </w:r>
      <w:r w:rsidR="00E92AB1">
        <w:rPr>
          <w:rFonts w:cstheme="minorHAnsi"/>
        </w:rPr>
        <w:t>s</w:t>
      </w:r>
      <w:r w:rsidRPr="00607A75">
        <w:rPr>
          <w:rFonts w:cstheme="minorHAnsi"/>
        </w:rPr>
        <w:t xml:space="preserve"> of most of these emissions. </w:t>
      </w:r>
    </w:p>
    <w:p w14:paraId="3DFC8141" w14:textId="0293DC36" w:rsidR="00675AFB" w:rsidRDefault="00675AFB" w:rsidP="00675AFB">
      <w:pPr>
        <w:rPr>
          <w:rFonts w:cstheme="minorHAnsi"/>
        </w:rPr>
      </w:pPr>
      <w:r w:rsidRPr="00607A75">
        <w:rPr>
          <w:rFonts w:cstheme="minorHAnsi"/>
        </w:rPr>
        <w:lastRenderedPageBreak/>
        <w:t>Dairying accounts for 57%, potatoes 23%</w:t>
      </w:r>
      <w:r>
        <w:rPr>
          <w:rFonts w:cstheme="minorHAnsi"/>
        </w:rPr>
        <w:t xml:space="preserve">, </w:t>
      </w:r>
      <w:r w:rsidRPr="00607A75">
        <w:rPr>
          <w:rFonts w:cstheme="minorHAnsi"/>
        </w:rPr>
        <w:t>horticultural field crops 10%</w:t>
      </w:r>
      <w:r>
        <w:rPr>
          <w:rFonts w:cstheme="minorHAnsi"/>
        </w:rPr>
        <w:t xml:space="preserve">, </w:t>
      </w:r>
      <w:bookmarkStart w:id="3" w:name="_Hlk79754594"/>
      <w:r>
        <w:rPr>
          <w:rFonts w:cstheme="minorHAnsi"/>
        </w:rPr>
        <w:t xml:space="preserve">protected crops 5% </w:t>
      </w:r>
      <w:bookmarkEnd w:id="3"/>
      <w:r>
        <w:rPr>
          <w:rFonts w:cstheme="minorHAnsi"/>
        </w:rPr>
        <w:t>and poultry 5%</w:t>
      </w:r>
      <w:r w:rsidRPr="00607A75">
        <w:rPr>
          <w:rFonts w:cstheme="minorHAnsi"/>
        </w:rPr>
        <w:t xml:space="preserve"> of the refrigeration energy </w:t>
      </w:r>
      <w:r w:rsidRPr="00607A75">
        <w:rPr>
          <w:rFonts w:cstheme="minorHAnsi"/>
        </w:rPr>
        <w:fldChar w:fldCharType="begin"/>
      </w:r>
      <w:r w:rsidRPr="00607A75">
        <w:rPr>
          <w:rFonts w:cstheme="minorHAnsi"/>
        </w:rPr>
        <w:instrText>ADDIN RW.CITE{{doc:609940458f0880ad90e48af8 Warwick,HRI 2007}}</w:instrText>
      </w:r>
      <w:r w:rsidRPr="00607A75">
        <w:rPr>
          <w:rFonts w:cstheme="minorHAnsi"/>
        </w:rPr>
        <w:fldChar w:fldCharType="separate"/>
      </w:r>
      <w:r w:rsidR="00530792" w:rsidRPr="00530792">
        <w:rPr>
          <w:rFonts w:cstheme="minorHAnsi"/>
          <w:bCs/>
          <w:lang w:val="en-US"/>
        </w:rPr>
        <w:t>(Warwick</w:t>
      </w:r>
      <w:r w:rsidR="00C7040F">
        <w:rPr>
          <w:rFonts w:cstheme="minorHAnsi"/>
          <w:bCs/>
          <w:lang w:val="en-US"/>
        </w:rPr>
        <w:t xml:space="preserve"> et al.,</w:t>
      </w:r>
      <w:r w:rsidR="00530792" w:rsidRPr="00530792">
        <w:rPr>
          <w:rFonts w:cstheme="minorHAnsi"/>
          <w:bCs/>
          <w:lang w:val="en-US"/>
        </w:rPr>
        <w:t xml:space="preserve"> 2007)</w:t>
      </w:r>
      <w:r w:rsidRPr="00607A75">
        <w:rPr>
          <w:rFonts w:cstheme="minorHAnsi"/>
        </w:rPr>
        <w:fldChar w:fldCharType="end"/>
      </w:r>
      <w:r w:rsidRPr="00607A75">
        <w:rPr>
          <w:rFonts w:cstheme="minorHAnsi"/>
        </w:rPr>
        <w:t xml:space="preserve">.  </w:t>
      </w:r>
      <w:r w:rsidRPr="0041661C">
        <w:rPr>
          <w:rFonts w:cstheme="minorHAnsi"/>
        </w:rPr>
        <w:t>The main</w:t>
      </w:r>
      <w:r>
        <w:rPr>
          <w:rFonts w:cstheme="minorHAnsi"/>
        </w:rPr>
        <w:t xml:space="preserve"> </w:t>
      </w:r>
      <w:r w:rsidRPr="0041661C">
        <w:rPr>
          <w:rFonts w:cstheme="minorHAnsi"/>
        </w:rPr>
        <w:t>use of refrigeration and cooling in dairy is the rapid removal of “body heat” from milk, whilst in the case of field</w:t>
      </w:r>
      <w:r>
        <w:rPr>
          <w:rFonts w:cstheme="minorHAnsi"/>
        </w:rPr>
        <w:t xml:space="preserve"> </w:t>
      </w:r>
      <w:r w:rsidRPr="0041661C">
        <w:rPr>
          <w:rFonts w:cstheme="minorHAnsi"/>
        </w:rPr>
        <w:t>vegetables it is the removal of “field heat” after harvest.</w:t>
      </w:r>
      <w:r>
        <w:rPr>
          <w:rFonts w:cstheme="minorHAnsi"/>
        </w:rPr>
        <w:t xml:space="preserve">  </w:t>
      </w:r>
      <w:r w:rsidRPr="0041661C">
        <w:rPr>
          <w:rFonts w:cstheme="minorHAnsi"/>
        </w:rPr>
        <w:t>Refrigeration and cooling are also used during the</w:t>
      </w:r>
      <w:r>
        <w:rPr>
          <w:rFonts w:cstheme="minorHAnsi"/>
        </w:rPr>
        <w:t xml:space="preserve"> </w:t>
      </w:r>
      <w:r w:rsidRPr="0041661C">
        <w:rPr>
          <w:rFonts w:cstheme="minorHAnsi"/>
        </w:rPr>
        <w:t>storage of crops</w:t>
      </w:r>
      <w:r>
        <w:rPr>
          <w:rFonts w:cstheme="minorHAnsi"/>
        </w:rPr>
        <w:t>.</w:t>
      </w:r>
    </w:p>
    <w:p w14:paraId="1AF765C5" w14:textId="454998B3" w:rsidR="00675AFB" w:rsidRPr="00607A75" w:rsidRDefault="00675AFB" w:rsidP="00675AFB">
      <w:pPr>
        <w:rPr>
          <w:rFonts w:cstheme="minorHAnsi"/>
        </w:rPr>
      </w:pPr>
      <w:r w:rsidRPr="00607A75">
        <w:rPr>
          <w:rFonts w:cstheme="minorHAnsi"/>
        </w:rPr>
        <w:t xml:space="preserve">According to DUKES data for 2019 </w:t>
      </w:r>
      <w:r>
        <w:rPr>
          <w:rFonts w:cstheme="minorHAnsi"/>
        </w:rPr>
        <w:fldChar w:fldCharType="begin"/>
      </w:r>
      <w:r>
        <w:rPr>
          <w:rFonts w:cstheme="minorHAnsi"/>
        </w:rPr>
        <w:instrText>ADDIN RW.CITE{{doc:60c763698f08355070f57f93 BEIS 2020}}</w:instrText>
      </w:r>
      <w:r>
        <w:rPr>
          <w:rFonts w:cstheme="minorHAnsi"/>
        </w:rPr>
        <w:fldChar w:fldCharType="separate"/>
      </w:r>
      <w:r w:rsidR="00530792" w:rsidRPr="00530792">
        <w:rPr>
          <w:rFonts w:ascii="Calibri" w:hAnsi="Calibri" w:cs="Calibri"/>
          <w:bCs/>
          <w:lang w:val="en-US"/>
        </w:rPr>
        <w:t>(BEIS 2020)</w:t>
      </w:r>
      <w:r>
        <w:rPr>
          <w:rFonts w:cstheme="minorHAnsi"/>
        </w:rPr>
        <w:fldChar w:fldCharType="end"/>
      </w:r>
      <w:r w:rsidRPr="00607A75">
        <w:rPr>
          <w:rFonts w:cstheme="minorHAnsi"/>
        </w:rPr>
        <w:t xml:space="preserve">, agriculture </w:t>
      </w:r>
      <w:r>
        <w:rPr>
          <w:rFonts w:cstheme="minorHAnsi"/>
        </w:rPr>
        <w:t>(</w:t>
      </w:r>
      <w:r w:rsidRPr="00607A75">
        <w:rPr>
          <w:rFonts w:cstheme="minorHAnsi"/>
        </w:rPr>
        <w:t>includ</w:t>
      </w:r>
      <w:r>
        <w:rPr>
          <w:rFonts w:cstheme="minorHAnsi"/>
        </w:rPr>
        <w:t>ing</w:t>
      </w:r>
      <w:r w:rsidRPr="00607A75">
        <w:rPr>
          <w:rFonts w:cstheme="minorHAnsi"/>
        </w:rPr>
        <w:t xml:space="preserve"> tobacco and fisheries</w:t>
      </w:r>
      <w:r>
        <w:rPr>
          <w:rFonts w:cstheme="minorHAnsi"/>
        </w:rPr>
        <w:t xml:space="preserve">) </w:t>
      </w:r>
      <w:r w:rsidRPr="00607A75">
        <w:rPr>
          <w:rFonts w:cstheme="minorHAnsi"/>
        </w:rPr>
        <w:t xml:space="preserve">used 1.51 Mtoe (17.50 </w:t>
      </w:r>
      <w:proofErr w:type="spellStart"/>
      <w:r w:rsidRPr="00607A75">
        <w:rPr>
          <w:rFonts w:cstheme="minorHAnsi"/>
        </w:rPr>
        <w:t>TWh</w:t>
      </w:r>
      <w:proofErr w:type="spellEnd"/>
      <w:r w:rsidRPr="00607A75">
        <w:rPr>
          <w:rFonts w:cstheme="minorHAnsi"/>
        </w:rPr>
        <w:t>) of final energy</w:t>
      </w:r>
      <w:r>
        <w:rPr>
          <w:rFonts w:cstheme="minorHAnsi"/>
        </w:rPr>
        <w:t xml:space="preserve">, of which </w:t>
      </w:r>
      <w:r w:rsidRPr="00607A75">
        <w:rPr>
          <w:rFonts w:cstheme="minorHAnsi"/>
        </w:rPr>
        <w:t xml:space="preserve">362 </w:t>
      </w:r>
      <w:proofErr w:type="spellStart"/>
      <w:r w:rsidRPr="00607A75">
        <w:rPr>
          <w:rFonts w:cstheme="minorHAnsi"/>
        </w:rPr>
        <w:t>ktoe</w:t>
      </w:r>
      <w:proofErr w:type="spellEnd"/>
      <w:r w:rsidRPr="00607A75">
        <w:rPr>
          <w:rFonts w:cstheme="minorHAnsi"/>
        </w:rPr>
        <w:t xml:space="preserve"> (4.21 </w:t>
      </w:r>
      <w:proofErr w:type="spellStart"/>
      <w:r w:rsidRPr="00607A75">
        <w:rPr>
          <w:rFonts w:cstheme="minorHAnsi"/>
        </w:rPr>
        <w:t>TWh</w:t>
      </w:r>
      <w:proofErr w:type="spellEnd"/>
      <w:r w:rsidRPr="00607A75">
        <w:rPr>
          <w:rFonts w:cstheme="minorHAnsi"/>
        </w:rPr>
        <w:t>)</w:t>
      </w:r>
      <w:r>
        <w:rPr>
          <w:rFonts w:cstheme="minorHAnsi"/>
        </w:rPr>
        <w:t xml:space="preserve"> was </w:t>
      </w:r>
      <w:r w:rsidRPr="00607A75">
        <w:rPr>
          <w:rFonts w:cstheme="minorHAnsi"/>
        </w:rPr>
        <w:t>electrical consumptio</w:t>
      </w:r>
      <w:r>
        <w:rPr>
          <w:rFonts w:cstheme="minorHAnsi"/>
        </w:rPr>
        <w:t>n</w:t>
      </w:r>
      <w:r w:rsidRPr="00607A75">
        <w:rPr>
          <w:rFonts w:cstheme="minorHAnsi"/>
        </w:rPr>
        <w:t>.</w:t>
      </w:r>
      <w:r>
        <w:rPr>
          <w:rFonts w:cstheme="minorHAnsi"/>
        </w:rPr>
        <w:t xml:space="preserve">  DUKES do</w:t>
      </w:r>
      <w:r w:rsidR="0032222C">
        <w:rPr>
          <w:rFonts w:cstheme="minorHAnsi"/>
        </w:rPr>
        <w:t>es</w:t>
      </w:r>
      <w:r>
        <w:rPr>
          <w:rFonts w:cstheme="minorHAnsi"/>
        </w:rPr>
        <w:t xml:space="preserve"> not break the consumption down to the level of refrigeration.</w:t>
      </w:r>
    </w:p>
    <w:p w14:paraId="2007F12A" w14:textId="1336E03E" w:rsidR="00675AFB" w:rsidRPr="00607A75" w:rsidRDefault="00675AFB" w:rsidP="00675AFB">
      <w:pPr>
        <w:rPr>
          <w:rFonts w:cstheme="minorHAnsi"/>
        </w:rPr>
      </w:pPr>
      <w:r w:rsidRPr="00607A75">
        <w:rPr>
          <w:rFonts w:cstheme="minorHAnsi"/>
        </w:rPr>
        <w:fldChar w:fldCharType="begin"/>
      </w:r>
      <w:r w:rsidRPr="00607A75">
        <w:rPr>
          <w:rFonts w:cstheme="minorHAnsi"/>
        </w:rPr>
        <w:instrText>ADDIN RW.CITE{{doc:609940458f0880ad90e48af8 Warwick,HRI 2007}}</w:instrText>
      </w:r>
      <w:r w:rsidRPr="00607A75">
        <w:rPr>
          <w:rFonts w:cstheme="minorHAnsi"/>
        </w:rPr>
        <w:fldChar w:fldCharType="separate"/>
      </w:r>
      <w:r w:rsidR="00530792" w:rsidRPr="00530792">
        <w:rPr>
          <w:rFonts w:cstheme="minorHAnsi"/>
          <w:bCs/>
          <w:lang w:val="en-US"/>
        </w:rPr>
        <w:t>Warwick</w:t>
      </w:r>
      <w:r w:rsidR="00C7040F">
        <w:rPr>
          <w:rFonts w:cstheme="minorHAnsi"/>
          <w:bCs/>
          <w:lang w:val="en-US"/>
        </w:rPr>
        <w:t xml:space="preserve"> et al. (</w:t>
      </w:r>
      <w:r w:rsidR="00530792" w:rsidRPr="00530792">
        <w:rPr>
          <w:rFonts w:cstheme="minorHAnsi"/>
          <w:bCs/>
          <w:lang w:val="en-US"/>
        </w:rPr>
        <w:t>2007)</w:t>
      </w:r>
      <w:r w:rsidRPr="00607A75">
        <w:rPr>
          <w:rFonts w:cstheme="minorHAnsi"/>
        </w:rPr>
        <w:fldChar w:fldCharType="end"/>
      </w:r>
      <w:r>
        <w:rPr>
          <w:rFonts w:cstheme="minorHAnsi"/>
        </w:rPr>
        <w:t xml:space="preserve"> calculated that in 2005</w:t>
      </w:r>
      <w:r w:rsidR="00BF4B79">
        <w:rPr>
          <w:rFonts w:cstheme="minorHAnsi"/>
        </w:rPr>
        <w:t>,</w:t>
      </w:r>
      <w:r>
        <w:rPr>
          <w:rFonts w:cstheme="minorHAnsi"/>
        </w:rPr>
        <w:t xml:space="preserve"> </w:t>
      </w:r>
      <w:r w:rsidR="00645E87" w:rsidRPr="00607A75">
        <w:rPr>
          <w:rFonts w:cstheme="minorHAnsi"/>
        </w:rPr>
        <w:t xml:space="preserve">1.15 </w:t>
      </w:r>
      <w:proofErr w:type="spellStart"/>
      <w:r w:rsidR="00645E87" w:rsidRPr="00607A75">
        <w:rPr>
          <w:rFonts w:cstheme="minorHAnsi"/>
        </w:rPr>
        <w:t>TWh</w:t>
      </w:r>
      <w:proofErr w:type="spellEnd"/>
      <w:r w:rsidR="00645E87">
        <w:rPr>
          <w:rFonts w:cstheme="minorHAnsi"/>
        </w:rPr>
        <w:t xml:space="preserve"> (</w:t>
      </w:r>
      <w:r>
        <w:rPr>
          <w:rFonts w:cstheme="minorHAnsi"/>
        </w:rPr>
        <w:t>6%</w:t>
      </w:r>
      <w:r w:rsidR="00645E87">
        <w:rPr>
          <w:rFonts w:cstheme="minorHAnsi"/>
        </w:rPr>
        <w:t>)</w:t>
      </w:r>
      <w:r>
        <w:rPr>
          <w:rFonts w:cstheme="minorHAnsi"/>
        </w:rPr>
        <w:t xml:space="preserve"> </w:t>
      </w:r>
      <w:r w:rsidRPr="00AB7AC8">
        <w:rPr>
          <w:rFonts w:cstheme="minorHAnsi"/>
        </w:rPr>
        <w:t>of energy use in agriculture</w:t>
      </w:r>
      <w:r>
        <w:rPr>
          <w:rFonts w:cstheme="minorHAnsi"/>
        </w:rPr>
        <w:t xml:space="preserve"> was </w:t>
      </w:r>
      <w:r w:rsidR="00DA060E">
        <w:rPr>
          <w:rFonts w:cstheme="minorHAnsi"/>
        </w:rPr>
        <w:t xml:space="preserve">for </w:t>
      </w:r>
      <w:r>
        <w:rPr>
          <w:rFonts w:cstheme="minorHAnsi"/>
        </w:rPr>
        <w:t xml:space="preserve">refrigeration.  </w:t>
      </w:r>
      <w:r w:rsidRPr="00607A75">
        <w:rPr>
          <w:rFonts w:cstheme="minorHAnsi"/>
        </w:rPr>
        <w:t xml:space="preserve">This </w:t>
      </w:r>
      <w:r w:rsidR="00645E87" w:rsidRPr="0063319A">
        <w:rPr>
          <w:rFonts w:cstheme="minorHAnsi"/>
        </w:rPr>
        <w:t>energy consumption presented</w:t>
      </w:r>
      <w:r w:rsidR="00645E87">
        <w:rPr>
          <w:rFonts w:cstheme="minorHAnsi"/>
        </w:rPr>
        <w:t xml:space="preserve"> wa</w:t>
      </w:r>
      <w:r w:rsidRPr="00607A75">
        <w:rPr>
          <w:rFonts w:cstheme="minorHAnsi"/>
        </w:rPr>
        <w:t>s primary energy consumption</w:t>
      </w:r>
      <w:r w:rsidR="00257EA6">
        <w:rPr>
          <w:rFonts w:cstheme="minorHAnsi"/>
        </w:rPr>
        <w:t xml:space="preserve"> (energy </w:t>
      </w:r>
      <w:r w:rsidR="006408E2">
        <w:rPr>
          <w:rFonts w:cstheme="minorHAnsi"/>
        </w:rPr>
        <w:t>of primary energy source</w:t>
      </w:r>
      <w:r w:rsidR="00257EA6">
        <w:rPr>
          <w:rFonts w:cstheme="minorHAnsi"/>
        </w:rPr>
        <w:t xml:space="preserve">, </w:t>
      </w:r>
      <w:proofErr w:type="gramStart"/>
      <w:r w:rsidR="00257EA6">
        <w:rPr>
          <w:rFonts w:cstheme="minorHAnsi"/>
        </w:rPr>
        <w:t>e.g.</w:t>
      </w:r>
      <w:proofErr w:type="gramEnd"/>
      <w:r w:rsidR="00257EA6">
        <w:rPr>
          <w:rFonts w:cstheme="minorHAnsi"/>
        </w:rPr>
        <w:t xml:space="preserve"> power station)</w:t>
      </w:r>
      <w:r w:rsidRPr="00607A75">
        <w:rPr>
          <w:rFonts w:cstheme="minorHAnsi"/>
        </w:rPr>
        <w:t xml:space="preserve"> and </w:t>
      </w:r>
      <w:r w:rsidR="00645E87">
        <w:rPr>
          <w:rFonts w:cstheme="minorHAnsi"/>
        </w:rPr>
        <w:t>wa</w:t>
      </w:r>
      <w:r w:rsidRPr="00607A75">
        <w:rPr>
          <w:rFonts w:cstheme="minorHAnsi"/>
        </w:rPr>
        <w:t xml:space="preserve">s based on CCL returns.  Therefore, the final energy consumption </w:t>
      </w:r>
      <w:r w:rsidR="00257EA6">
        <w:rPr>
          <w:rFonts w:cstheme="minorHAnsi"/>
        </w:rPr>
        <w:t xml:space="preserve">(energy consumption at appliance) </w:t>
      </w:r>
      <w:r w:rsidRPr="00607A75">
        <w:rPr>
          <w:rFonts w:cstheme="minorHAnsi"/>
        </w:rPr>
        <w:t xml:space="preserve">would be 2.6 times less </w:t>
      </w:r>
      <w:r w:rsidR="00366C16">
        <w:rPr>
          <w:rFonts w:cstheme="minorHAnsi"/>
        </w:rPr>
        <w:t>(primary energy factor at the time)</w:t>
      </w:r>
      <w:r w:rsidR="00645E87">
        <w:rPr>
          <w:rFonts w:cstheme="minorHAnsi"/>
        </w:rPr>
        <w:t xml:space="preserve"> </w:t>
      </w:r>
      <w:r w:rsidRPr="00607A75">
        <w:rPr>
          <w:rFonts w:cstheme="minorHAnsi"/>
        </w:rPr>
        <w:t>which equals</w:t>
      </w:r>
      <w:r w:rsidR="00645E87">
        <w:rPr>
          <w:rFonts w:cstheme="minorHAnsi"/>
        </w:rPr>
        <w:t xml:space="preserve"> </w:t>
      </w:r>
      <w:r w:rsidR="00645E87" w:rsidRPr="00607A75">
        <w:rPr>
          <w:rFonts w:cstheme="minorHAnsi"/>
        </w:rPr>
        <w:t xml:space="preserve">0.44 </w:t>
      </w:r>
      <w:proofErr w:type="spellStart"/>
      <w:r w:rsidR="00645E87" w:rsidRPr="00607A75">
        <w:rPr>
          <w:rFonts w:cstheme="minorHAnsi"/>
        </w:rPr>
        <w:t>TW</w:t>
      </w:r>
      <w:r w:rsidR="00645E87">
        <w:rPr>
          <w:rFonts w:cstheme="minorHAnsi"/>
        </w:rPr>
        <w:t>h</w:t>
      </w:r>
      <w:proofErr w:type="spellEnd"/>
      <w:r w:rsidR="00645E87">
        <w:rPr>
          <w:rFonts w:cstheme="minorHAnsi"/>
        </w:rPr>
        <w:t xml:space="preserve"> (</w:t>
      </w:r>
      <w:r w:rsidRPr="00607A75">
        <w:rPr>
          <w:rFonts w:cstheme="minorHAnsi"/>
        </w:rPr>
        <w:t xml:space="preserve">2.3% of the total energy consumption).  </w:t>
      </w:r>
    </w:p>
    <w:p w14:paraId="6BBB8D61" w14:textId="47BDE927" w:rsidR="00675AFB" w:rsidRPr="00607A75" w:rsidRDefault="00675AFB" w:rsidP="00675AFB">
      <w:pPr>
        <w:rPr>
          <w:rFonts w:cstheme="minorHAnsi"/>
        </w:rPr>
      </w:pPr>
      <w:r w:rsidRPr="00607A75">
        <w:rPr>
          <w:rFonts w:cstheme="minorHAnsi"/>
        </w:rPr>
        <w:t xml:space="preserve">If we assume that 2.3% of the energy consumption in 2019 </w:t>
      </w:r>
      <w:r w:rsidR="00B82EDF">
        <w:rPr>
          <w:rFonts w:cstheme="minorHAnsi"/>
        </w:rPr>
        <w:t>was</w:t>
      </w:r>
      <w:r w:rsidR="00B82EDF" w:rsidRPr="00607A75">
        <w:rPr>
          <w:rFonts w:cstheme="minorHAnsi"/>
        </w:rPr>
        <w:t xml:space="preserve"> </w:t>
      </w:r>
      <w:r w:rsidRPr="00607A75">
        <w:rPr>
          <w:rFonts w:cstheme="minorHAnsi"/>
        </w:rPr>
        <w:t>refrigeration</w:t>
      </w:r>
      <w:r w:rsidR="00631BD6">
        <w:rPr>
          <w:rFonts w:cstheme="minorHAnsi"/>
        </w:rPr>
        <w:t xml:space="preserve"> and compare this to the</w:t>
      </w:r>
      <w:r w:rsidRPr="00607A75">
        <w:rPr>
          <w:rFonts w:cstheme="minorHAnsi"/>
        </w:rPr>
        <w:t xml:space="preserve"> DUKES energy consumption for 2019 (17.50 </w:t>
      </w:r>
      <w:proofErr w:type="spellStart"/>
      <w:r w:rsidRPr="00607A75">
        <w:rPr>
          <w:rFonts w:cstheme="minorHAnsi"/>
        </w:rPr>
        <w:t>TWh</w:t>
      </w:r>
      <w:proofErr w:type="spellEnd"/>
      <w:r w:rsidRPr="00607A75">
        <w:rPr>
          <w:rFonts w:cstheme="minorHAnsi"/>
        </w:rPr>
        <w:t xml:space="preserve">) </w:t>
      </w:r>
      <w:r w:rsidR="00631BD6">
        <w:rPr>
          <w:rFonts w:cstheme="minorHAnsi"/>
        </w:rPr>
        <w:t xml:space="preserve">this </w:t>
      </w:r>
      <w:r w:rsidRPr="00607A75">
        <w:rPr>
          <w:rFonts w:cstheme="minorHAnsi"/>
        </w:rPr>
        <w:t xml:space="preserve">provides a refrigeration energy consumption of 0.40 </w:t>
      </w:r>
      <w:proofErr w:type="spellStart"/>
      <w:r w:rsidRPr="00607A75">
        <w:rPr>
          <w:rFonts w:cstheme="minorHAnsi"/>
        </w:rPr>
        <w:t>TWh</w:t>
      </w:r>
      <w:proofErr w:type="spellEnd"/>
      <w:r w:rsidRPr="00607A75">
        <w:rPr>
          <w:rFonts w:cstheme="minorHAnsi"/>
        </w:rPr>
        <w:t>.</w:t>
      </w:r>
      <w:r>
        <w:rPr>
          <w:rFonts w:cstheme="minorHAnsi"/>
        </w:rPr>
        <w:t xml:space="preserve">  This is </w:t>
      </w:r>
      <w:r w:rsidR="00045C6C">
        <w:rPr>
          <w:rFonts w:cstheme="minorHAnsi"/>
        </w:rPr>
        <w:t>9</w:t>
      </w:r>
      <w:r>
        <w:rPr>
          <w:rFonts w:cstheme="minorHAnsi"/>
        </w:rPr>
        <w:t xml:space="preserve">% less than the refrigeration energy consumption presented by </w:t>
      </w:r>
      <w:r w:rsidRPr="00607A75">
        <w:rPr>
          <w:rFonts w:cstheme="minorHAnsi"/>
        </w:rPr>
        <w:fldChar w:fldCharType="begin"/>
      </w:r>
      <w:r w:rsidRPr="00607A75">
        <w:rPr>
          <w:rFonts w:cstheme="minorHAnsi"/>
        </w:rPr>
        <w:instrText>ADDIN RW.CITE{{doc:609940458f0880ad90e48af8 Warwick,HRI 2007}}</w:instrText>
      </w:r>
      <w:r w:rsidRPr="00607A75">
        <w:rPr>
          <w:rFonts w:cstheme="minorHAnsi"/>
        </w:rPr>
        <w:fldChar w:fldCharType="separate"/>
      </w:r>
      <w:r w:rsidR="00530792" w:rsidRPr="00530792">
        <w:rPr>
          <w:rFonts w:cstheme="minorHAnsi"/>
          <w:bCs/>
          <w:lang w:val="en-US"/>
        </w:rPr>
        <w:t xml:space="preserve">(Warwick </w:t>
      </w:r>
      <w:r w:rsidR="00C7040F">
        <w:rPr>
          <w:rFonts w:cstheme="minorHAnsi"/>
          <w:bCs/>
          <w:lang w:val="en-US"/>
        </w:rPr>
        <w:t>et al.</w:t>
      </w:r>
      <w:r w:rsidR="00045C6C">
        <w:rPr>
          <w:rFonts w:cstheme="minorHAnsi"/>
          <w:bCs/>
          <w:lang w:val="en-US"/>
        </w:rPr>
        <w:t>,</w:t>
      </w:r>
      <w:r w:rsidR="00530792" w:rsidRPr="00530792">
        <w:rPr>
          <w:rFonts w:cstheme="minorHAnsi"/>
          <w:bCs/>
          <w:lang w:val="en-US"/>
        </w:rPr>
        <w:t xml:space="preserve"> 2007)</w:t>
      </w:r>
      <w:r w:rsidRPr="00607A75">
        <w:rPr>
          <w:rFonts w:cstheme="minorHAnsi"/>
        </w:rPr>
        <w:fldChar w:fldCharType="end"/>
      </w:r>
      <w:r>
        <w:rPr>
          <w:rFonts w:cstheme="minorHAnsi"/>
        </w:rPr>
        <w:t xml:space="preserve"> in 2005.</w:t>
      </w:r>
    </w:p>
    <w:p w14:paraId="152BBA20" w14:textId="7FCAF688" w:rsidR="00675AFB" w:rsidRDefault="00675AFB" w:rsidP="00675AFB">
      <w:pPr>
        <w:rPr>
          <w:rFonts w:cstheme="minorHAnsi"/>
        </w:rPr>
      </w:pPr>
      <w:r w:rsidRPr="00607A75">
        <w:rPr>
          <w:rFonts w:cstheme="minorHAnsi"/>
        </w:rPr>
        <w:fldChar w:fldCharType="begin"/>
      </w:r>
      <w:r w:rsidRPr="00607A75">
        <w:rPr>
          <w:rFonts w:cstheme="minorHAnsi"/>
        </w:rPr>
        <w:instrText>ADDIN RW.CITE{{doc:60e30c3f8f083a58087ca086 SKMEnviros 2011}}</w:instrText>
      </w:r>
      <w:r w:rsidRPr="00607A75">
        <w:rPr>
          <w:rFonts w:cstheme="minorHAnsi"/>
        </w:rPr>
        <w:fldChar w:fldCharType="separate"/>
      </w:r>
      <w:r w:rsidR="00530792" w:rsidRPr="00530792">
        <w:rPr>
          <w:rFonts w:cstheme="minorHAnsi"/>
          <w:bCs/>
          <w:lang w:val="en-US"/>
        </w:rPr>
        <w:t xml:space="preserve">SKM Enviros </w:t>
      </w:r>
      <w:r w:rsidR="00C7040F">
        <w:rPr>
          <w:rFonts w:cstheme="minorHAnsi"/>
          <w:bCs/>
          <w:lang w:val="en-US"/>
        </w:rPr>
        <w:t>(</w:t>
      </w:r>
      <w:r w:rsidR="00530792" w:rsidRPr="00530792">
        <w:rPr>
          <w:rFonts w:cstheme="minorHAnsi"/>
          <w:bCs/>
          <w:lang w:val="en-US"/>
        </w:rPr>
        <w:t>2011)</w:t>
      </w:r>
      <w:r w:rsidRPr="00607A75">
        <w:rPr>
          <w:rFonts w:cstheme="minorHAnsi"/>
        </w:rPr>
        <w:fldChar w:fldCharType="end"/>
      </w:r>
      <w:r w:rsidRPr="00607A75">
        <w:rPr>
          <w:rFonts w:cstheme="minorHAnsi"/>
        </w:rPr>
        <w:t xml:space="preserve"> </w:t>
      </w:r>
      <w:r>
        <w:rPr>
          <w:rFonts w:cstheme="minorHAnsi"/>
        </w:rPr>
        <w:t xml:space="preserve">carried out a </w:t>
      </w:r>
      <w:r w:rsidRPr="007076D3">
        <w:rPr>
          <w:rFonts w:cstheme="minorHAnsi"/>
        </w:rPr>
        <w:t>study into GHG</w:t>
      </w:r>
      <w:r w:rsidR="00D61F10">
        <w:rPr>
          <w:rFonts w:cstheme="minorHAnsi"/>
        </w:rPr>
        <w:t xml:space="preserve"> emissions</w:t>
      </w:r>
      <w:r w:rsidRPr="007076D3">
        <w:rPr>
          <w:rFonts w:cstheme="minorHAnsi"/>
        </w:rPr>
        <w:t xml:space="preserve"> from refrigeration systems in the UK food chain in the period October 2010 to May 2011.</w:t>
      </w:r>
      <w:r>
        <w:rPr>
          <w:rFonts w:cstheme="minorHAnsi"/>
        </w:rPr>
        <w:t xml:space="preserve">  They estimated</w:t>
      </w:r>
      <w:r w:rsidRPr="00607A75">
        <w:rPr>
          <w:rFonts w:cstheme="minorHAnsi"/>
        </w:rPr>
        <w:t xml:space="preserve"> </w:t>
      </w:r>
      <w:r w:rsidR="00D61F10">
        <w:rPr>
          <w:rFonts w:cstheme="minorHAnsi"/>
        </w:rPr>
        <w:t xml:space="preserve">energy consumption of </w:t>
      </w:r>
      <w:r w:rsidRPr="00607A75">
        <w:rPr>
          <w:rFonts w:cstheme="minorHAnsi"/>
        </w:rPr>
        <w:t>0.4</w:t>
      </w:r>
      <w:r>
        <w:rPr>
          <w:rFonts w:cstheme="minorHAnsi"/>
        </w:rPr>
        <w:t>4</w:t>
      </w:r>
      <w:r w:rsidRPr="00607A75">
        <w:rPr>
          <w:rFonts w:cstheme="minorHAnsi"/>
        </w:rPr>
        <w:t xml:space="preserve"> </w:t>
      </w:r>
      <w:proofErr w:type="spellStart"/>
      <w:r w:rsidRPr="00607A75">
        <w:rPr>
          <w:rFonts w:cstheme="minorHAnsi"/>
        </w:rPr>
        <w:t>TWh</w:t>
      </w:r>
      <w:proofErr w:type="spellEnd"/>
      <w:r w:rsidRPr="00607A75">
        <w:rPr>
          <w:rFonts w:cstheme="minorHAnsi"/>
        </w:rPr>
        <w:t xml:space="preserve"> for refrigeration which </w:t>
      </w:r>
      <w:r>
        <w:rPr>
          <w:rFonts w:cstheme="minorHAnsi"/>
        </w:rPr>
        <w:t>was</w:t>
      </w:r>
      <w:r w:rsidRPr="00607A75">
        <w:rPr>
          <w:rFonts w:cstheme="minorHAnsi"/>
        </w:rPr>
        <w:t xml:space="preserve"> 11% of total energy consumption</w:t>
      </w:r>
      <w:r w:rsidR="00631BD6">
        <w:rPr>
          <w:rFonts w:cstheme="minorHAnsi"/>
        </w:rPr>
        <w:t xml:space="preserve"> for the sector</w:t>
      </w:r>
      <w:r w:rsidRPr="00607A75">
        <w:rPr>
          <w:rFonts w:cstheme="minorHAnsi"/>
        </w:rPr>
        <w:t xml:space="preserve">.  This </w:t>
      </w:r>
      <w:r>
        <w:rPr>
          <w:rFonts w:cstheme="minorHAnsi"/>
        </w:rPr>
        <w:t xml:space="preserve">exactly matches the value from </w:t>
      </w:r>
      <w:r w:rsidRPr="00607A75">
        <w:rPr>
          <w:rFonts w:cstheme="minorHAnsi"/>
        </w:rPr>
        <w:fldChar w:fldCharType="begin"/>
      </w:r>
      <w:r w:rsidRPr="00607A75">
        <w:rPr>
          <w:rFonts w:cstheme="minorHAnsi"/>
        </w:rPr>
        <w:instrText>ADDIN RW.CITE{{doc:609940458f0880ad90e48af8 Warwick,HRI 2007}}</w:instrText>
      </w:r>
      <w:r w:rsidRPr="00607A75">
        <w:rPr>
          <w:rFonts w:cstheme="minorHAnsi"/>
        </w:rPr>
        <w:fldChar w:fldCharType="separate"/>
      </w:r>
      <w:r w:rsidR="00530792" w:rsidRPr="00530792">
        <w:rPr>
          <w:rFonts w:cstheme="minorHAnsi"/>
          <w:bCs/>
          <w:lang w:val="en-US"/>
        </w:rPr>
        <w:t xml:space="preserve">Warwick </w:t>
      </w:r>
      <w:r w:rsidR="00456616">
        <w:rPr>
          <w:rFonts w:cstheme="minorHAnsi"/>
          <w:bCs/>
          <w:lang w:val="en-US"/>
        </w:rPr>
        <w:t>et al.</w:t>
      </w:r>
      <w:r w:rsidR="00530792" w:rsidRPr="00530792">
        <w:rPr>
          <w:rFonts w:cstheme="minorHAnsi"/>
          <w:bCs/>
          <w:lang w:val="en-US"/>
        </w:rPr>
        <w:t xml:space="preserve"> </w:t>
      </w:r>
      <w:r w:rsidR="00456616">
        <w:rPr>
          <w:rFonts w:cstheme="minorHAnsi"/>
          <w:bCs/>
          <w:lang w:val="en-US"/>
        </w:rPr>
        <w:t>(</w:t>
      </w:r>
      <w:r w:rsidR="00530792" w:rsidRPr="00530792">
        <w:rPr>
          <w:rFonts w:cstheme="minorHAnsi"/>
          <w:bCs/>
          <w:lang w:val="en-US"/>
        </w:rPr>
        <w:t>2007)</w:t>
      </w:r>
      <w:r w:rsidRPr="00607A75">
        <w:rPr>
          <w:rFonts w:cstheme="minorHAnsi"/>
        </w:rPr>
        <w:fldChar w:fldCharType="end"/>
      </w:r>
      <w:r w:rsidRPr="00607A75">
        <w:rPr>
          <w:rFonts w:cstheme="minorHAnsi"/>
        </w:rPr>
        <w:t xml:space="preserve">.  </w:t>
      </w:r>
    </w:p>
    <w:p w14:paraId="712E3B78" w14:textId="161C2A9E" w:rsidR="00E96F77" w:rsidRDefault="00095D49" w:rsidP="00E96F77">
      <w:pPr>
        <w:rPr>
          <w:rFonts w:cstheme="minorHAnsi"/>
        </w:rPr>
      </w:pPr>
      <w:r>
        <w:rPr>
          <w:rFonts w:cstheme="minorHAnsi"/>
        </w:rPr>
        <w:t xml:space="preserve">The </w:t>
      </w:r>
      <w:r w:rsidR="00DE50D6">
        <w:rPr>
          <w:rFonts w:cstheme="minorHAnsi"/>
        </w:rPr>
        <w:t xml:space="preserve">sources above provide good consensus on an energy consumption </w:t>
      </w:r>
      <w:r w:rsidR="00631BD6">
        <w:rPr>
          <w:rFonts w:cstheme="minorHAnsi"/>
        </w:rPr>
        <w:t xml:space="preserve">for the sector of </w:t>
      </w:r>
      <w:r w:rsidR="00675AFB">
        <w:rPr>
          <w:rFonts w:cstheme="minorHAnsi"/>
        </w:rPr>
        <w:t xml:space="preserve">between 0.40 and 0.44 </w:t>
      </w:r>
      <w:proofErr w:type="spellStart"/>
      <w:r w:rsidR="00675AFB">
        <w:rPr>
          <w:rFonts w:cstheme="minorHAnsi"/>
        </w:rPr>
        <w:t>TWh</w:t>
      </w:r>
      <w:proofErr w:type="spellEnd"/>
      <w:r w:rsidR="006763A6">
        <w:rPr>
          <w:rFonts w:cstheme="minorHAnsi"/>
        </w:rPr>
        <w:t xml:space="preserve"> with a high confidence</w:t>
      </w:r>
      <w:r w:rsidR="00675AFB">
        <w:rPr>
          <w:rFonts w:cstheme="minorHAnsi"/>
        </w:rPr>
        <w:t>.</w:t>
      </w:r>
    </w:p>
    <w:p w14:paraId="110ACD9B" w14:textId="5BA5007F" w:rsidR="00577F46" w:rsidRDefault="00577F46" w:rsidP="00BF4B79">
      <w:pPr>
        <w:pStyle w:val="Heading3"/>
      </w:pPr>
      <w:r>
        <w:t>Food and drink manufacture</w:t>
      </w:r>
    </w:p>
    <w:p w14:paraId="667E758B" w14:textId="77777777" w:rsidR="00577F46" w:rsidRDefault="00577F46" w:rsidP="00577F46">
      <w:r>
        <w:t>Much of the refrigeration energy in this sector is used to extract heat from products to chill or freeze them. Once heat is extracted from the food, the refrigeration system energy is much less as there is only a requirement to maintain the food at the correct temperature in a holding room.</w:t>
      </w:r>
    </w:p>
    <w:p w14:paraId="1C704537" w14:textId="30D67A7C" w:rsidR="00577F46" w:rsidRPr="00FC1C2E" w:rsidRDefault="00577F46" w:rsidP="00577F46">
      <w:r w:rsidRPr="00FC1C2E">
        <w:t>During 2011, the food manufacturing sector accounted for 13 MtCO</w:t>
      </w:r>
      <w:r w:rsidRPr="00FC1C2E">
        <w:rPr>
          <w:vertAlign w:val="subscript"/>
        </w:rPr>
        <w:t>2e</w:t>
      </w:r>
      <w:r w:rsidRPr="00FC1C2E">
        <w:t xml:space="preserve"> of GHG emissions and 5.2 Mtoe (60 </w:t>
      </w:r>
      <w:proofErr w:type="spellStart"/>
      <w:r w:rsidRPr="00FC1C2E">
        <w:t>TWh</w:t>
      </w:r>
      <w:proofErr w:type="spellEnd"/>
      <w:r w:rsidRPr="00FC1C2E">
        <w:t xml:space="preserve">) of primary energy was used </w:t>
      </w:r>
      <w:r w:rsidRPr="00FC1C2E">
        <w:fldChar w:fldCharType="begin"/>
      </w:r>
      <w:r w:rsidRPr="00FC1C2E">
        <w:instrText>ADDIN RW.CITE{{doc:60fea7af8f0849a892c0ec30 DEFRA 2014}}</w:instrText>
      </w:r>
      <w:r w:rsidRPr="00FC1C2E">
        <w:fldChar w:fldCharType="separate"/>
      </w:r>
      <w:r w:rsidR="00530792" w:rsidRPr="00530792">
        <w:rPr>
          <w:rFonts w:ascii="Calibri" w:hAnsi="Calibri" w:cs="Calibri"/>
          <w:bCs/>
          <w:lang w:val="en-US"/>
        </w:rPr>
        <w:t>(DEFRA 2014)</w:t>
      </w:r>
      <w:r w:rsidRPr="00FC1C2E">
        <w:fldChar w:fldCharType="end"/>
      </w:r>
      <w:r w:rsidRPr="00FC1C2E">
        <w:t xml:space="preserve">.  Natural gas accounted for 62% </w:t>
      </w:r>
      <w:r>
        <w:t xml:space="preserve">and </w:t>
      </w:r>
      <w:r w:rsidRPr="00FC1C2E">
        <w:t>electricity 30%</w:t>
      </w:r>
      <w:r>
        <w:t xml:space="preserve"> </w:t>
      </w:r>
      <w:r w:rsidRPr="00FC1C2E">
        <w:t>of total energy consumption in food and drink manufacturing in 2011</w:t>
      </w:r>
      <w:r>
        <w:t>.</w:t>
      </w:r>
    </w:p>
    <w:p w14:paraId="519B9AA2" w14:textId="7A33864F" w:rsidR="00577C4B" w:rsidRDefault="00577F46" w:rsidP="00E96F77">
      <w:r w:rsidRPr="00FC1C2E">
        <w:t xml:space="preserve">DUKES data for 2019 </w:t>
      </w:r>
      <w:r w:rsidRPr="00FC1C2E">
        <w:fldChar w:fldCharType="begin"/>
      </w:r>
      <w:r w:rsidRPr="00FC1C2E">
        <w:instrText>ADDIN RW.CITE{{doc:60c763698f08355070f57f93 BEIS 2020}}</w:instrText>
      </w:r>
      <w:r w:rsidRPr="00FC1C2E">
        <w:fldChar w:fldCharType="separate"/>
      </w:r>
      <w:r w:rsidR="00530792" w:rsidRPr="00530792">
        <w:rPr>
          <w:rFonts w:ascii="Calibri" w:hAnsi="Calibri" w:cs="Calibri"/>
          <w:bCs/>
          <w:lang w:val="en-US"/>
        </w:rPr>
        <w:t>(BEIS 2020)</w:t>
      </w:r>
      <w:r w:rsidRPr="00FC1C2E">
        <w:fldChar w:fldCharType="end"/>
      </w:r>
      <w:r w:rsidRPr="00FC1C2E">
        <w:t xml:space="preserve"> shows the manufacture of food products used 214 </w:t>
      </w:r>
      <w:proofErr w:type="spellStart"/>
      <w:r w:rsidRPr="00FC1C2E">
        <w:t>ktoe</w:t>
      </w:r>
      <w:proofErr w:type="spellEnd"/>
      <w:r w:rsidRPr="00FC1C2E">
        <w:t xml:space="preserve"> (2.49 </w:t>
      </w:r>
      <w:proofErr w:type="spellStart"/>
      <w:r w:rsidRPr="00FC1C2E">
        <w:t>TWh</w:t>
      </w:r>
      <w:proofErr w:type="spellEnd"/>
      <w:r w:rsidRPr="00FC1C2E">
        <w:t xml:space="preserve">) of refrigeration and beverages used 51 </w:t>
      </w:r>
      <w:proofErr w:type="spellStart"/>
      <w:r w:rsidRPr="00FC1C2E">
        <w:t>ktoe</w:t>
      </w:r>
      <w:proofErr w:type="spellEnd"/>
      <w:r w:rsidRPr="00FC1C2E">
        <w:t xml:space="preserve"> (0.59 </w:t>
      </w:r>
      <w:proofErr w:type="spellStart"/>
      <w:r w:rsidRPr="00FC1C2E">
        <w:t>TWh</w:t>
      </w:r>
      <w:proofErr w:type="spellEnd"/>
      <w:r w:rsidRPr="00FC1C2E">
        <w:t xml:space="preserve">) of final energy giving a total of 3.08 </w:t>
      </w:r>
      <w:proofErr w:type="spellStart"/>
      <w:r w:rsidRPr="00FC1C2E">
        <w:t>TWh</w:t>
      </w:r>
      <w:proofErr w:type="spellEnd"/>
      <w:r w:rsidRPr="00FC1C2E">
        <w:t xml:space="preserve">. </w:t>
      </w:r>
    </w:p>
    <w:p w14:paraId="3C2400AC" w14:textId="51E5D314" w:rsidR="00D377C9" w:rsidRPr="00D377C9" w:rsidRDefault="00D377C9" w:rsidP="00E96F77">
      <w:pPr>
        <w:rPr>
          <w:rFonts w:cstheme="minorHAnsi"/>
        </w:rPr>
      </w:pPr>
      <w:r>
        <w:rPr>
          <w:rFonts w:cstheme="minorHAnsi"/>
        </w:rPr>
        <w:t>As the source comes from government statistics and requires no further adjustment, it is considered as a high confidence.</w:t>
      </w:r>
    </w:p>
    <w:bookmarkEnd w:id="2"/>
    <w:p w14:paraId="5798E08B" w14:textId="77777777" w:rsidR="003B7CAC" w:rsidRPr="000757E5" w:rsidRDefault="003B7CAC" w:rsidP="00D81D30">
      <w:pPr>
        <w:pStyle w:val="Heading3"/>
      </w:pPr>
      <w:r>
        <w:t>Cold storage</w:t>
      </w:r>
    </w:p>
    <w:p w14:paraId="1EEB08F1" w14:textId="757A2011" w:rsidR="003B7CAC" w:rsidRPr="000C7D3C" w:rsidRDefault="00631BD6" w:rsidP="003B7CAC">
      <w:pPr>
        <w:rPr>
          <w:rFonts w:cstheme="minorBidi"/>
        </w:rPr>
      </w:pPr>
      <w:r>
        <w:t>The c</w:t>
      </w:r>
      <w:r w:rsidR="003B7CAC">
        <w:t xml:space="preserve">old storage sector </w:t>
      </w:r>
      <w:r>
        <w:t>was considered separately</w:t>
      </w:r>
      <w:r w:rsidR="003B7CAC">
        <w:t xml:space="preserve"> from cold storage rooms.  Cold storage rooms are used in food manufacture, </w:t>
      </w:r>
      <w:proofErr w:type="gramStart"/>
      <w:r w:rsidR="003B7CAC">
        <w:t>retail</w:t>
      </w:r>
      <w:proofErr w:type="gramEnd"/>
      <w:r w:rsidR="003B7CAC">
        <w:t xml:space="preserve"> and food service, however, the emissions from these usually relatively small rooms</w:t>
      </w:r>
      <w:r w:rsidR="00581100">
        <w:t xml:space="preserve"> </w:t>
      </w:r>
      <w:r w:rsidR="003B7CAC">
        <w:t xml:space="preserve">are considered in those specific sectors.  The cold storage sector </w:t>
      </w:r>
      <w:r w:rsidR="00581100">
        <w:t xml:space="preserve">was </w:t>
      </w:r>
      <w:r w:rsidR="003B7CAC">
        <w:t xml:space="preserve">considered as cold storage facilities not within these other </w:t>
      </w:r>
      <w:proofErr w:type="gramStart"/>
      <w:r w:rsidR="003B7CAC">
        <w:t>sectors,</w:t>
      </w:r>
      <w:proofErr w:type="gramEnd"/>
      <w:r w:rsidR="003B7CAC">
        <w:t xml:space="preserve"> however, some double accounting cannot be avoided.  Most of these systems are large industrial systems.  </w:t>
      </w:r>
      <w:r w:rsidR="003B7CAC" w:rsidRPr="0063319A">
        <w:t>The refrigeration system is only required to maintain the product at low temperature, although at some cold store sites there are associated blast freezer facilities.</w:t>
      </w:r>
      <w:r w:rsidR="003B7CAC">
        <w:t xml:space="preserve">  </w:t>
      </w:r>
    </w:p>
    <w:p w14:paraId="02548446" w14:textId="25B484AE" w:rsidR="003B7CAC" w:rsidRPr="000A64EC" w:rsidRDefault="003B7CAC" w:rsidP="003B7CAC">
      <w:pPr>
        <w:rPr>
          <w:rFonts w:cstheme="minorHAnsi"/>
        </w:rPr>
      </w:pPr>
      <w:r w:rsidRPr="000A64EC">
        <w:rPr>
          <w:rFonts w:cstheme="minorHAnsi"/>
        </w:rPr>
        <w:t xml:space="preserve">In 2018, the 425 cold stores registered under the Cold Chain Federation’s </w:t>
      </w:r>
      <w:r w:rsidR="00947265">
        <w:rPr>
          <w:rFonts w:cstheme="minorHAnsi"/>
        </w:rPr>
        <w:t xml:space="preserve">(CCFs) </w:t>
      </w:r>
      <w:r w:rsidR="00496AA9">
        <w:rPr>
          <w:rFonts w:cstheme="minorHAnsi"/>
        </w:rPr>
        <w:t>climate change agreement (</w:t>
      </w:r>
      <w:r>
        <w:rPr>
          <w:rFonts w:cstheme="minorHAnsi"/>
        </w:rPr>
        <w:t>CCA</w:t>
      </w:r>
      <w:r w:rsidR="00BA144A">
        <w:rPr>
          <w:rFonts w:cstheme="minorHAnsi"/>
        </w:rPr>
        <w:t>)</w:t>
      </w:r>
      <w:r>
        <w:rPr>
          <w:rFonts w:cstheme="minorHAnsi"/>
        </w:rPr>
        <w:t xml:space="preserve"> </w:t>
      </w:r>
      <w:r w:rsidRPr="000A64EC">
        <w:rPr>
          <w:rFonts w:cstheme="minorHAnsi"/>
        </w:rPr>
        <w:t xml:space="preserve">used </w:t>
      </w:r>
      <w:bookmarkStart w:id="4" w:name="_Hlk75181989"/>
      <w:r w:rsidRPr="000A64EC">
        <w:rPr>
          <w:rFonts w:cstheme="minorHAnsi"/>
        </w:rPr>
        <w:t xml:space="preserve">3.5 </w:t>
      </w:r>
      <w:proofErr w:type="spellStart"/>
      <w:r w:rsidRPr="000A64EC">
        <w:rPr>
          <w:rFonts w:cstheme="minorHAnsi"/>
        </w:rPr>
        <w:t>TWh</w:t>
      </w:r>
      <w:proofErr w:type="spellEnd"/>
      <w:r w:rsidRPr="000A64EC">
        <w:rPr>
          <w:rFonts w:cstheme="minorHAnsi"/>
        </w:rPr>
        <w:t xml:space="preserve"> of primary energy</w:t>
      </w:r>
      <w:bookmarkEnd w:id="4"/>
      <w:r>
        <w:rPr>
          <w:rFonts w:cstheme="minorHAnsi"/>
        </w:rPr>
        <w:t xml:space="preserve"> </w:t>
      </w:r>
      <w:r>
        <w:rPr>
          <w:rFonts w:cstheme="minorHAnsi"/>
        </w:rPr>
        <w:fldChar w:fldCharType="begin"/>
      </w:r>
      <w:r>
        <w:rPr>
          <w:rFonts w:cstheme="minorHAnsi"/>
        </w:rPr>
        <w:instrText>ADDIN RW.CITE{{doc:608807f58f08978e247394a0 CCF 2020}}</w:instrText>
      </w:r>
      <w:r>
        <w:rPr>
          <w:rFonts w:cstheme="minorHAnsi"/>
        </w:rPr>
        <w:fldChar w:fldCharType="separate"/>
      </w:r>
      <w:r w:rsidR="00530792" w:rsidRPr="00530792">
        <w:rPr>
          <w:rFonts w:ascii="Calibri" w:hAnsi="Calibri" w:cs="Calibri"/>
          <w:bCs/>
          <w:lang w:val="en-US"/>
        </w:rPr>
        <w:t>(CCF 2020)</w:t>
      </w:r>
      <w:r>
        <w:rPr>
          <w:rFonts w:cstheme="minorHAnsi"/>
        </w:rPr>
        <w:fldChar w:fldCharType="end"/>
      </w:r>
      <w:r w:rsidRPr="000A64EC">
        <w:rPr>
          <w:rFonts w:cstheme="minorHAnsi"/>
        </w:rPr>
        <w:t xml:space="preserve">.  The final electrical energy consumption </w:t>
      </w:r>
      <w:r>
        <w:rPr>
          <w:rFonts w:cstheme="minorHAnsi"/>
        </w:rPr>
        <w:t>was therefore</w:t>
      </w:r>
      <w:r w:rsidRPr="000A64EC">
        <w:rPr>
          <w:rFonts w:cstheme="minorHAnsi"/>
        </w:rPr>
        <w:t xml:space="preserve"> 1.35 </w:t>
      </w:r>
      <w:proofErr w:type="spellStart"/>
      <w:r w:rsidRPr="000A64EC">
        <w:rPr>
          <w:rFonts w:cstheme="minorHAnsi"/>
        </w:rPr>
        <w:t>TWh</w:t>
      </w:r>
      <w:proofErr w:type="spellEnd"/>
      <w:r w:rsidR="00947265">
        <w:rPr>
          <w:rFonts w:cstheme="minorHAnsi"/>
        </w:rPr>
        <w:t>, using the conversion factor used by CCF</w:t>
      </w:r>
      <w:r w:rsidRPr="000A64EC">
        <w:rPr>
          <w:rFonts w:cstheme="minorHAnsi"/>
        </w:rPr>
        <w:t>.</w:t>
      </w:r>
      <w:r w:rsidRPr="00F4580C">
        <w:rPr>
          <w:rFonts w:cstheme="minorHAnsi"/>
        </w:rPr>
        <w:t xml:space="preserve"> </w:t>
      </w:r>
      <w:r>
        <w:rPr>
          <w:rFonts w:cstheme="minorHAnsi"/>
        </w:rPr>
        <w:t xml:space="preserve"> </w:t>
      </w:r>
    </w:p>
    <w:p w14:paraId="7F6324AD" w14:textId="29A48EF9" w:rsidR="003B7CAC" w:rsidRPr="000A64EC" w:rsidRDefault="003B7CAC" w:rsidP="003B7CAC">
      <w:pPr>
        <w:rPr>
          <w:rFonts w:cstheme="minorHAnsi"/>
        </w:rPr>
      </w:pPr>
      <w:r w:rsidRPr="000A64EC">
        <w:rPr>
          <w:rFonts w:cstheme="minorHAnsi"/>
        </w:rPr>
        <w:t xml:space="preserve">Based on </w:t>
      </w:r>
      <w:r>
        <w:rPr>
          <w:rFonts w:cstheme="minorHAnsi"/>
        </w:rPr>
        <w:t>CCAs</w:t>
      </w:r>
      <w:r w:rsidRPr="000A64EC">
        <w:rPr>
          <w:rFonts w:cstheme="minorHAnsi"/>
        </w:rPr>
        <w:t xml:space="preserve"> in 2017 and 2018 </w:t>
      </w:r>
      <w:r>
        <w:rPr>
          <w:rFonts w:cstheme="minorHAnsi"/>
        </w:rPr>
        <w:fldChar w:fldCharType="begin"/>
      </w:r>
      <w:r>
        <w:rPr>
          <w:rFonts w:cstheme="minorHAnsi"/>
        </w:rPr>
        <w:instrText>ADDIN RW.CITE{{doc:60dd8b3e8f086bafebc0b644 EnvironmentAgency 2019}}</w:instrText>
      </w:r>
      <w:r>
        <w:rPr>
          <w:rFonts w:cstheme="minorHAnsi"/>
        </w:rPr>
        <w:fldChar w:fldCharType="separate"/>
      </w:r>
      <w:r w:rsidR="007425E3" w:rsidRPr="007425E3">
        <w:rPr>
          <w:rFonts w:ascii="Calibri" w:hAnsi="Calibri" w:cs="Calibri"/>
          <w:bCs/>
          <w:lang w:val="en-US"/>
        </w:rPr>
        <w:t>(Environment Agency</w:t>
      </w:r>
      <w:r w:rsidR="00456616">
        <w:rPr>
          <w:rFonts w:ascii="Calibri" w:hAnsi="Calibri" w:cs="Calibri"/>
          <w:bCs/>
          <w:lang w:val="en-US"/>
        </w:rPr>
        <w:t>,</w:t>
      </w:r>
      <w:r w:rsidR="007425E3" w:rsidRPr="007425E3">
        <w:rPr>
          <w:rFonts w:ascii="Calibri" w:hAnsi="Calibri" w:cs="Calibri"/>
          <w:bCs/>
          <w:lang w:val="en-US"/>
        </w:rPr>
        <w:t xml:space="preserve"> 2019)</w:t>
      </w:r>
      <w:r>
        <w:rPr>
          <w:rFonts w:cstheme="minorHAnsi"/>
        </w:rPr>
        <w:fldChar w:fldCharType="end"/>
      </w:r>
      <w:r w:rsidRPr="000A64EC">
        <w:rPr>
          <w:rFonts w:cstheme="minorHAnsi"/>
        </w:rPr>
        <w:t xml:space="preserve">, the 238 cold storage organisations </w:t>
      </w:r>
      <w:r w:rsidR="00C2617F">
        <w:rPr>
          <w:rFonts w:cstheme="minorHAnsi"/>
        </w:rPr>
        <w:t xml:space="preserve">(some organisations have more than 1 store) </w:t>
      </w:r>
      <w:r>
        <w:rPr>
          <w:rFonts w:cstheme="minorHAnsi"/>
        </w:rPr>
        <w:t xml:space="preserve">who submitted a CCA, </w:t>
      </w:r>
      <w:r w:rsidRPr="000A64EC">
        <w:rPr>
          <w:rFonts w:cstheme="minorHAnsi"/>
        </w:rPr>
        <w:t>had total emissions of 1.37 MtCO</w:t>
      </w:r>
      <w:r w:rsidRPr="000A64EC">
        <w:rPr>
          <w:rFonts w:cstheme="minorHAnsi"/>
          <w:vertAlign w:val="subscript"/>
        </w:rPr>
        <w:t>2e</w:t>
      </w:r>
      <w:r w:rsidRPr="000A64EC">
        <w:rPr>
          <w:rFonts w:cstheme="minorHAnsi"/>
        </w:rPr>
        <w:t xml:space="preserve"> over the 2 years, or an average of 0.685 MtCO</w:t>
      </w:r>
      <w:r w:rsidRPr="000A64EC">
        <w:rPr>
          <w:rFonts w:cstheme="minorHAnsi"/>
          <w:vertAlign w:val="subscript"/>
        </w:rPr>
        <w:t>2e</w:t>
      </w:r>
      <w:r w:rsidRPr="000A64EC">
        <w:rPr>
          <w:rFonts w:cstheme="minorHAnsi"/>
        </w:rPr>
        <w:t xml:space="preserve"> per year.  This does not include direct emissions from refrigerant </w:t>
      </w:r>
      <w:r w:rsidRPr="000A64EC">
        <w:rPr>
          <w:rFonts w:cstheme="minorHAnsi"/>
        </w:rPr>
        <w:lastRenderedPageBreak/>
        <w:t xml:space="preserve">leakage and is derived from a specific calculation from electrical consumption that does not </w:t>
      </w:r>
      <w:proofErr w:type="gramStart"/>
      <w:r w:rsidRPr="000A64EC">
        <w:rPr>
          <w:rFonts w:cstheme="minorHAnsi"/>
        </w:rPr>
        <w:t>take into account</w:t>
      </w:r>
      <w:proofErr w:type="gramEnd"/>
      <w:r w:rsidRPr="000A64EC">
        <w:rPr>
          <w:rFonts w:cstheme="minorHAnsi"/>
        </w:rPr>
        <w:t xml:space="preserve"> renewables in the grid. </w:t>
      </w:r>
      <w:r>
        <w:rPr>
          <w:rFonts w:cstheme="minorHAnsi"/>
        </w:rPr>
        <w:t xml:space="preserve"> An energy consumption of </w:t>
      </w:r>
      <w:r w:rsidRPr="000A64EC">
        <w:rPr>
          <w:rFonts w:cstheme="minorHAnsi"/>
        </w:rPr>
        <w:t xml:space="preserve">1.32 </w:t>
      </w:r>
      <w:proofErr w:type="spellStart"/>
      <w:r w:rsidRPr="000A64EC">
        <w:rPr>
          <w:rFonts w:cstheme="minorHAnsi"/>
        </w:rPr>
        <w:t>TWh</w:t>
      </w:r>
      <w:proofErr w:type="spellEnd"/>
      <w:r>
        <w:rPr>
          <w:rFonts w:cstheme="minorHAnsi"/>
        </w:rPr>
        <w:t xml:space="preserve"> was calculated </w:t>
      </w:r>
      <w:r w:rsidRPr="000A64EC">
        <w:rPr>
          <w:rFonts w:cstheme="minorHAnsi"/>
        </w:rPr>
        <w:t>using CCA equations</w:t>
      </w:r>
      <w:r>
        <w:rPr>
          <w:rFonts w:cstheme="minorHAnsi"/>
        </w:rPr>
        <w:t xml:space="preserve"> and current electrical carbon intensity of the grid</w:t>
      </w:r>
      <w:r w:rsidRPr="000A64EC">
        <w:rPr>
          <w:rFonts w:cstheme="minorHAnsi"/>
        </w:rPr>
        <w:t xml:space="preserve">.  This is </w:t>
      </w:r>
      <w:r>
        <w:rPr>
          <w:rFonts w:cstheme="minorHAnsi"/>
        </w:rPr>
        <w:t>2%</w:t>
      </w:r>
      <w:r w:rsidRPr="000A64EC">
        <w:rPr>
          <w:rFonts w:cstheme="minorHAnsi"/>
        </w:rPr>
        <w:t xml:space="preserve"> less than th</w:t>
      </w:r>
      <w:r>
        <w:rPr>
          <w:rFonts w:cstheme="minorHAnsi"/>
        </w:rPr>
        <w:t>at</w:t>
      </w:r>
      <w:r w:rsidRPr="000A64EC">
        <w:rPr>
          <w:rFonts w:cstheme="minorHAnsi"/>
        </w:rPr>
        <w:t xml:space="preserve"> reported </w:t>
      </w:r>
      <w:r>
        <w:rPr>
          <w:rFonts w:cstheme="minorHAnsi"/>
        </w:rPr>
        <w:t xml:space="preserve">by </w:t>
      </w:r>
      <w:r>
        <w:rPr>
          <w:rFonts w:cstheme="minorHAnsi"/>
        </w:rPr>
        <w:fldChar w:fldCharType="begin"/>
      </w:r>
      <w:r>
        <w:rPr>
          <w:rFonts w:cstheme="minorHAnsi"/>
        </w:rPr>
        <w:instrText>ADDIN RW.CITE{{doc:608807f58f08978e247394a0 CCF 2020}}</w:instrText>
      </w:r>
      <w:r>
        <w:rPr>
          <w:rFonts w:cstheme="minorHAnsi"/>
        </w:rPr>
        <w:fldChar w:fldCharType="separate"/>
      </w:r>
      <w:r w:rsidR="00530792" w:rsidRPr="00530792">
        <w:rPr>
          <w:rFonts w:ascii="Calibri" w:hAnsi="Calibri" w:cs="Calibri"/>
          <w:bCs/>
          <w:lang w:val="en-US"/>
        </w:rPr>
        <w:t>(CCF 2020, 1-17)</w:t>
      </w:r>
      <w:r>
        <w:rPr>
          <w:rFonts w:cstheme="minorHAnsi"/>
        </w:rPr>
        <w:fldChar w:fldCharType="end"/>
      </w:r>
      <w:r w:rsidRPr="000A64EC">
        <w:rPr>
          <w:rFonts w:cstheme="minorHAnsi"/>
        </w:rPr>
        <w:t xml:space="preserve">.  </w:t>
      </w:r>
    </w:p>
    <w:p w14:paraId="1B18AA33" w14:textId="5A52E30E" w:rsidR="008A3D8F" w:rsidRDefault="003B7CAC" w:rsidP="003B7CAC">
      <w:pPr>
        <w:rPr>
          <w:rFonts w:cstheme="minorHAnsi"/>
        </w:rPr>
      </w:pPr>
      <w:r w:rsidRPr="00973F75">
        <w:rPr>
          <w:rFonts w:cstheme="minorHAnsi"/>
          <w:color w:val="000000" w:themeColor="text1"/>
        </w:rPr>
        <w:t xml:space="preserve">As not all cold storage organisations will </w:t>
      </w:r>
      <w:r w:rsidR="00CA6C7A">
        <w:rPr>
          <w:rFonts w:cstheme="minorHAnsi"/>
          <w:color w:val="000000" w:themeColor="text1"/>
        </w:rPr>
        <w:t>be part of</w:t>
      </w:r>
      <w:r w:rsidR="00CA6C7A" w:rsidRPr="00973F75">
        <w:rPr>
          <w:rFonts w:cstheme="minorHAnsi"/>
          <w:color w:val="000000" w:themeColor="text1"/>
        </w:rPr>
        <w:t xml:space="preserve"> </w:t>
      </w:r>
      <w:r w:rsidRPr="00973F75">
        <w:rPr>
          <w:rFonts w:cstheme="minorHAnsi"/>
          <w:color w:val="000000" w:themeColor="text1"/>
        </w:rPr>
        <w:t>a CCA, there may be more emissions from these organisations</w:t>
      </w:r>
      <w:r w:rsidR="00CA6C7A">
        <w:rPr>
          <w:rFonts w:cstheme="minorHAnsi"/>
          <w:color w:val="000000" w:themeColor="text1"/>
        </w:rPr>
        <w:t xml:space="preserve"> </w:t>
      </w:r>
      <w:r w:rsidR="00581100">
        <w:rPr>
          <w:rFonts w:cstheme="minorHAnsi"/>
          <w:color w:val="000000" w:themeColor="text1"/>
        </w:rPr>
        <w:t xml:space="preserve">than </w:t>
      </w:r>
      <w:r w:rsidR="00CA6C7A">
        <w:rPr>
          <w:rFonts w:cstheme="minorHAnsi"/>
          <w:color w:val="000000" w:themeColor="text1"/>
        </w:rPr>
        <w:t>reported via the CCL</w:t>
      </w:r>
      <w:r w:rsidRPr="00973F75">
        <w:rPr>
          <w:rFonts w:cstheme="minorHAnsi"/>
          <w:color w:val="000000" w:themeColor="text1"/>
        </w:rPr>
        <w:t xml:space="preserve">.  </w:t>
      </w:r>
      <w:r w:rsidRPr="00973F75">
        <w:rPr>
          <w:rFonts w:cstheme="minorHAnsi"/>
          <w:color w:val="000000" w:themeColor="text1"/>
        </w:rPr>
        <w:fldChar w:fldCharType="begin"/>
      </w:r>
      <w:r w:rsidRPr="00973F75">
        <w:rPr>
          <w:rFonts w:cstheme="minorHAnsi"/>
          <w:color w:val="000000" w:themeColor="text1"/>
        </w:rPr>
        <w:instrText>ADDIN RW.CITE{{doc:609548658f086d9819830b78 FIKIIN,K 2017}}</w:instrText>
      </w:r>
      <w:r w:rsidRPr="00973F75">
        <w:rPr>
          <w:rFonts w:cstheme="minorHAnsi"/>
          <w:color w:val="000000" w:themeColor="text1"/>
        </w:rPr>
        <w:fldChar w:fldCharType="separate"/>
      </w:r>
      <w:r w:rsidR="00530792" w:rsidRPr="00530792">
        <w:rPr>
          <w:rFonts w:ascii="Calibri" w:hAnsi="Calibri" w:cs="Calibri"/>
          <w:bCs/>
          <w:color w:val="000000" w:themeColor="text1"/>
          <w:lang w:val="en-US"/>
        </w:rPr>
        <w:t xml:space="preserve">Fikiin et al. </w:t>
      </w:r>
      <w:r w:rsidR="0063319A">
        <w:rPr>
          <w:rFonts w:ascii="Calibri" w:hAnsi="Calibri" w:cs="Calibri"/>
          <w:bCs/>
          <w:color w:val="000000" w:themeColor="text1"/>
          <w:lang w:val="en-US"/>
        </w:rPr>
        <w:t>(</w:t>
      </w:r>
      <w:r w:rsidR="00530792" w:rsidRPr="00530792">
        <w:rPr>
          <w:rFonts w:ascii="Calibri" w:hAnsi="Calibri" w:cs="Calibri"/>
          <w:bCs/>
          <w:color w:val="000000" w:themeColor="text1"/>
          <w:lang w:val="en-US"/>
        </w:rPr>
        <w:t>2017)</w:t>
      </w:r>
      <w:r w:rsidRPr="00973F75">
        <w:rPr>
          <w:rFonts w:cstheme="minorHAnsi"/>
          <w:color w:val="000000" w:themeColor="text1"/>
        </w:rPr>
        <w:fldChar w:fldCharType="end"/>
      </w:r>
      <w:r w:rsidRPr="00973F75">
        <w:rPr>
          <w:rFonts w:cstheme="minorHAnsi"/>
          <w:color w:val="000000" w:themeColor="text1"/>
        </w:rPr>
        <w:t xml:space="preserve"> used databases and Google maps </w:t>
      </w:r>
      <w:r>
        <w:rPr>
          <w:rFonts w:cstheme="minorHAnsi"/>
          <w:color w:val="000000" w:themeColor="text1"/>
        </w:rPr>
        <w:t xml:space="preserve">and </w:t>
      </w:r>
      <w:r w:rsidRPr="00973F75">
        <w:rPr>
          <w:rFonts w:cstheme="minorHAnsi"/>
          <w:color w:val="000000" w:themeColor="text1"/>
        </w:rPr>
        <w:t>f</w:t>
      </w:r>
      <w:r>
        <w:rPr>
          <w:rFonts w:cstheme="minorHAnsi"/>
          <w:color w:val="000000" w:themeColor="text1"/>
        </w:rPr>
        <w:t>ound</w:t>
      </w:r>
      <w:r w:rsidRPr="00973F75">
        <w:rPr>
          <w:rFonts w:cstheme="minorHAnsi"/>
          <w:color w:val="000000" w:themeColor="text1"/>
        </w:rPr>
        <w:t xml:space="preserve"> facilities with a total of 39.4 million m</w:t>
      </w:r>
      <w:r w:rsidRPr="00973F75">
        <w:rPr>
          <w:rFonts w:cstheme="minorHAnsi"/>
          <w:color w:val="000000" w:themeColor="text1"/>
          <w:vertAlign w:val="superscript"/>
        </w:rPr>
        <w:t>3</w:t>
      </w:r>
      <w:r>
        <w:rPr>
          <w:rFonts w:cstheme="minorHAnsi"/>
          <w:color w:val="000000" w:themeColor="text1"/>
          <w:vertAlign w:val="superscript"/>
        </w:rPr>
        <w:t xml:space="preserve"> </w:t>
      </w:r>
      <w:r w:rsidRPr="00973F75">
        <w:rPr>
          <w:rFonts w:cstheme="minorHAnsi"/>
          <w:color w:val="000000" w:themeColor="text1"/>
        </w:rPr>
        <w:t xml:space="preserve">cold storage space in </w:t>
      </w:r>
      <w:r w:rsidR="00BB7C4B">
        <w:rPr>
          <w:rFonts w:cstheme="minorHAnsi"/>
          <w:color w:val="000000" w:themeColor="text1"/>
        </w:rPr>
        <w:t>the UK</w:t>
      </w:r>
      <w:r>
        <w:rPr>
          <w:rFonts w:cstheme="minorHAnsi"/>
          <w:color w:val="000000" w:themeColor="text1"/>
        </w:rPr>
        <w:t>. This was calculated</w:t>
      </w:r>
      <w:r w:rsidRPr="00973F75">
        <w:rPr>
          <w:rFonts w:cstheme="minorHAnsi"/>
          <w:color w:val="000000" w:themeColor="text1"/>
        </w:rPr>
        <w:t xml:space="preserve"> </w:t>
      </w:r>
      <w:r>
        <w:rPr>
          <w:rFonts w:cstheme="minorHAnsi"/>
          <w:color w:val="000000" w:themeColor="text1"/>
        </w:rPr>
        <w:t>from 253 cold store facilities with a floor area of 3.65 million m</w:t>
      </w:r>
      <w:r w:rsidRPr="00666316">
        <w:rPr>
          <w:rFonts w:cstheme="minorHAnsi"/>
          <w:color w:val="000000" w:themeColor="text1"/>
          <w:vertAlign w:val="superscript"/>
        </w:rPr>
        <w:t>2</w:t>
      </w:r>
      <w:r w:rsidRPr="00973F75">
        <w:rPr>
          <w:rFonts w:cstheme="minorHAnsi"/>
          <w:color w:val="000000" w:themeColor="text1"/>
        </w:rPr>
        <w:t xml:space="preserve">. </w:t>
      </w:r>
      <w:r>
        <w:rPr>
          <w:rFonts w:cstheme="minorHAnsi"/>
          <w:color w:val="000000" w:themeColor="text1"/>
        </w:rPr>
        <w:t xml:space="preserve">As the number and total size of stores is lower than those reported by </w:t>
      </w:r>
      <w:r>
        <w:rPr>
          <w:rFonts w:cstheme="minorHAnsi"/>
        </w:rPr>
        <w:fldChar w:fldCharType="begin"/>
      </w:r>
      <w:r>
        <w:rPr>
          <w:rFonts w:cstheme="minorHAnsi"/>
        </w:rPr>
        <w:instrText>ADDIN RW.CITE{{doc:608807f58f08978e247394a0 CCF 2020}}</w:instrText>
      </w:r>
      <w:r>
        <w:rPr>
          <w:rFonts w:cstheme="minorHAnsi"/>
        </w:rPr>
        <w:fldChar w:fldCharType="separate"/>
      </w:r>
      <w:r w:rsidR="00530792" w:rsidRPr="00530792">
        <w:rPr>
          <w:rFonts w:ascii="Calibri" w:hAnsi="Calibri" w:cs="Calibri"/>
          <w:bCs/>
          <w:lang w:val="en-US"/>
        </w:rPr>
        <w:t>(CCF</w:t>
      </w:r>
      <w:r w:rsidR="00660246">
        <w:rPr>
          <w:rFonts w:ascii="Calibri" w:hAnsi="Calibri" w:cs="Calibri"/>
          <w:bCs/>
          <w:lang w:val="en-US"/>
        </w:rPr>
        <w:t>,</w:t>
      </w:r>
      <w:r w:rsidR="00530792" w:rsidRPr="00530792">
        <w:rPr>
          <w:rFonts w:ascii="Calibri" w:hAnsi="Calibri" w:cs="Calibri"/>
          <w:bCs/>
          <w:lang w:val="en-US"/>
        </w:rPr>
        <w:t xml:space="preserve"> 2020)</w:t>
      </w:r>
      <w:r>
        <w:rPr>
          <w:rFonts w:cstheme="minorHAnsi"/>
        </w:rPr>
        <w:fldChar w:fldCharType="end"/>
      </w:r>
      <w:r>
        <w:rPr>
          <w:rFonts w:cstheme="minorHAnsi"/>
        </w:rPr>
        <w:t xml:space="preserve"> and </w:t>
      </w:r>
      <w:r>
        <w:rPr>
          <w:rFonts w:cstheme="minorHAnsi"/>
        </w:rPr>
        <w:fldChar w:fldCharType="begin"/>
      </w:r>
      <w:r>
        <w:rPr>
          <w:rFonts w:cstheme="minorHAnsi"/>
        </w:rPr>
        <w:instrText>ADDIN RW.CITE{{doc:60953cb08f0886798313beb8 CCFandSCR 2020}}</w:instrText>
      </w:r>
      <w:r>
        <w:rPr>
          <w:rFonts w:cstheme="minorHAnsi"/>
        </w:rPr>
        <w:fldChar w:fldCharType="separate"/>
      </w:r>
      <w:r w:rsidR="00530792" w:rsidRPr="00530792">
        <w:rPr>
          <w:rFonts w:ascii="Calibri" w:hAnsi="Calibri" w:cs="Calibri"/>
          <w:bCs/>
          <w:lang w:val="en-US"/>
        </w:rPr>
        <w:t>(CCF</w:t>
      </w:r>
      <w:r w:rsidR="00660246">
        <w:rPr>
          <w:rFonts w:ascii="Calibri" w:hAnsi="Calibri" w:cs="Calibri"/>
          <w:bCs/>
          <w:lang w:val="en-US"/>
        </w:rPr>
        <w:t xml:space="preserve">, </w:t>
      </w:r>
      <w:r w:rsidR="00530792" w:rsidRPr="00530792">
        <w:rPr>
          <w:rFonts w:ascii="Calibri" w:hAnsi="Calibri" w:cs="Calibri"/>
          <w:bCs/>
          <w:lang w:val="en-US"/>
        </w:rPr>
        <w:t>SCR 2020)</w:t>
      </w:r>
      <w:r>
        <w:rPr>
          <w:rFonts w:cstheme="minorHAnsi"/>
        </w:rPr>
        <w:fldChar w:fldCharType="end"/>
      </w:r>
      <w:r>
        <w:rPr>
          <w:rFonts w:cstheme="minorHAnsi"/>
        </w:rPr>
        <w:t xml:space="preserve"> </w:t>
      </w:r>
      <w:r w:rsidR="00CA6C7A">
        <w:rPr>
          <w:rFonts w:cstheme="minorHAnsi"/>
        </w:rPr>
        <w:t>it seem</w:t>
      </w:r>
      <w:r w:rsidR="00E648B7">
        <w:rPr>
          <w:rFonts w:cstheme="minorHAnsi"/>
        </w:rPr>
        <w:t>s</w:t>
      </w:r>
      <w:r w:rsidR="00CA6C7A">
        <w:rPr>
          <w:rFonts w:cstheme="minorHAnsi"/>
        </w:rPr>
        <w:t xml:space="preserve"> reasonable to</w:t>
      </w:r>
      <w:r>
        <w:rPr>
          <w:rFonts w:cstheme="minorHAnsi"/>
        </w:rPr>
        <w:t xml:space="preserve"> assume that the CCAs cover the vast majority of store energy consumption</w:t>
      </w:r>
      <w:r w:rsidR="008A3D8F">
        <w:rPr>
          <w:rFonts w:cstheme="minorHAnsi"/>
        </w:rPr>
        <w:t xml:space="preserve">.  </w:t>
      </w:r>
    </w:p>
    <w:p w14:paraId="14BD1C68" w14:textId="08E6A3F3" w:rsidR="008A3D8F" w:rsidRDefault="008A3D8F" w:rsidP="003B7CAC">
      <w:pPr>
        <w:rPr>
          <w:rFonts w:cstheme="minorHAnsi"/>
        </w:rPr>
      </w:pPr>
      <w:r w:rsidRPr="00E0104A">
        <w:rPr>
          <w:rFonts w:cstheme="minorHAnsi"/>
        </w:rPr>
        <w:fldChar w:fldCharType="begin"/>
      </w:r>
      <w:r w:rsidRPr="00E0104A">
        <w:rPr>
          <w:rFonts w:cstheme="minorHAnsi"/>
        </w:rPr>
        <w:instrText>ADDIN RW.CITE{{doc:60e30c3f8f083a58087ca086 SKMEnviros 2011}}</w:instrText>
      </w:r>
      <w:r w:rsidRPr="00E0104A">
        <w:rPr>
          <w:rFonts w:cstheme="minorHAnsi"/>
        </w:rPr>
        <w:fldChar w:fldCharType="separate"/>
      </w:r>
      <w:r w:rsidRPr="007425E3">
        <w:rPr>
          <w:rFonts w:ascii="Calibri" w:hAnsi="Calibri" w:cs="Calibri"/>
          <w:bCs/>
          <w:lang w:val="en-US"/>
        </w:rPr>
        <w:t xml:space="preserve">SKM Enviros </w:t>
      </w:r>
      <w:r w:rsidR="00660246">
        <w:rPr>
          <w:rFonts w:ascii="Calibri" w:hAnsi="Calibri" w:cs="Calibri"/>
          <w:bCs/>
          <w:lang w:val="en-US"/>
        </w:rPr>
        <w:t>(</w:t>
      </w:r>
      <w:r w:rsidRPr="007425E3">
        <w:rPr>
          <w:rFonts w:ascii="Calibri" w:hAnsi="Calibri" w:cs="Calibri"/>
          <w:bCs/>
          <w:lang w:val="en-US"/>
        </w:rPr>
        <w:t>2011)</w:t>
      </w:r>
      <w:r w:rsidRPr="00E0104A">
        <w:rPr>
          <w:rFonts w:cstheme="minorHAnsi"/>
        </w:rPr>
        <w:fldChar w:fldCharType="end"/>
      </w:r>
      <w:r w:rsidRPr="00E0104A">
        <w:rPr>
          <w:rFonts w:cstheme="minorHAnsi"/>
        </w:rPr>
        <w:t xml:space="preserve"> estimated 0.9 </w:t>
      </w:r>
      <w:proofErr w:type="spellStart"/>
      <w:r w:rsidRPr="00E0104A">
        <w:rPr>
          <w:rFonts w:cstheme="minorHAnsi"/>
        </w:rPr>
        <w:t>TWh</w:t>
      </w:r>
      <w:proofErr w:type="spellEnd"/>
      <w:r w:rsidRPr="00E0104A">
        <w:rPr>
          <w:rFonts w:cstheme="minorHAnsi"/>
        </w:rPr>
        <w:t xml:space="preserve"> of electrical consumption for cold storage and 80% of this (0.68 </w:t>
      </w:r>
      <w:proofErr w:type="spellStart"/>
      <w:r w:rsidRPr="00E0104A">
        <w:rPr>
          <w:rFonts w:cstheme="minorHAnsi"/>
        </w:rPr>
        <w:t>TWh</w:t>
      </w:r>
      <w:proofErr w:type="spellEnd"/>
      <w:r w:rsidRPr="00E0104A">
        <w:rPr>
          <w:rFonts w:cstheme="minorHAnsi"/>
        </w:rPr>
        <w:t>) was directly for refrigeration.</w:t>
      </w:r>
      <w:r>
        <w:rPr>
          <w:rFonts w:cstheme="minorHAnsi"/>
        </w:rPr>
        <w:t xml:space="preserve">  </w:t>
      </w:r>
      <w:r w:rsidR="000F2216">
        <w:rPr>
          <w:rFonts w:cstheme="minorHAnsi"/>
        </w:rPr>
        <w:t xml:space="preserve">As this data was based on 200 questionnaires and was 10 years old, it was not given the confidence of the previous data.  </w:t>
      </w:r>
    </w:p>
    <w:p w14:paraId="0776D039" w14:textId="13F9311C" w:rsidR="00B32581" w:rsidRPr="00B32581" w:rsidRDefault="007B2494" w:rsidP="003B7CAC">
      <w:pPr>
        <w:rPr>
          <w:rFonts w:cstheme="minorHAnsi"/>
          <w:color w:val="000000" w:themeColor="text1"/>
        </w:rPr>
      </w:pPr>
      <w:r>
        <w:rPr>
          <w:rFonts w:cstheme="minorHAnsi"/>
        </w:rPr>
        <w:t>A</w:t>
      </w:r>
      <w:r w:rsidR="00B32581">
        <w:rPr>
          <w:rFonts w:cstheme="minorHAnsi"/>
        </w:rPr>
        <w:t>n</w:t>
      </w:r>
      <w:r w:rsidR="003B7CAC">
        <w:rPr>
          <w:rFonts w:cstheme="minorHAnsi"/>
        </w:rPr>
        <w:t xml:space="preserve"> energy consumption </w:t>
      </w:r>
      <w:r w:rsidR="00B32581">
        <w:rPr>
          <w:rFonts w:cstheme="minorHAnsi"/>
        </w:rPr>
        <w:t>of</w:t>
      </w:r>
      <w:r w:rsidR="003B7CAC">
        <w:rPr>
          <w:rFonts w:cstheme="minorHAnsi"/>
        </w:rPr>
        <w:t xml:space="preserve"> 1.32 </w:t>
      </w:r>
      <w:proofErr w:type="spellStart"/>
      <w:r w:rsidR="003B7CAC">
        <w:rPr>
          <w:rFonts w:cstheme="minorHAnsi"/>
        </w:rPr>
        <w:t>TWh</w:t>
      </w:r>
      <w:proofErr w:type="spellEnd"/>
      <w:r w:rsidR="00B32581">
        <w:rPr>
          <w:rFonts w:cstheme="minorHAnsi"/>
        </w:rPr>
        <w:t xml:space="preserve"> </w:t>
      </w:r>
      <w:r w:rsidR="000F2216">
        <w:rPr>
          <w:rFonts w:cstheme="minorHAnsi"/>
        </w:rPr>
        <w:t>was chosen and considered</w:t>
      </w:r>
      <w:r w:rsidR="00B32581">
        <w:rPr>
          <w:rFonts w:cstheme="minorHAnsi"/>
        </w:rPr>
        <w:t xml:space="preserve"> of high confidence</w:t>
      </w:r>
      <w:r w:rsidR="003B7CAC">
        <w:rPr>
          <w:rFonts w:cstheme="minorHAnsi"/>
        </w:rPr>
        <w:t>.</w:t>
      </w:r>
    </w:p>
    <w:p w14:paraId="2899D678" w14:textId="66D72420" w:rsidR="00D81D30" w:rsidRDefault="00D81D30" w:rsidP="00D81D30">
      <w:pPr>
        <w:pStyle w:val="Heading3"/>
      </w:pPr>
      <w:r w:rsidRPr="00A12C48">
        <w:t xml:space="preserve">Retail </w:t>
      </w:r>
    </w:p>
    <w:p w14:paraId="3CB5ECC3" w14:textId="2B296450" w:rsidR="00184891" w:rsidRDefault="00D81D30" w:rsidP="00D81D30">
      <w:r w:rsidRPr="00F61466">
        <w:rPr>
          <w:rFonts w:cstheme="minorHAnsi"/>
        </w:rPr>
        <w:t>During 2011</w:t>
      </w:r>
      <w:r>
        <w:rPr>
          <w:rFonts w:cstheme="minorHAnsi"/>
        </w:rPr>
        <w:t xml:space="preserve"> </w:t>
      </w:r>
      <w:r w:rsidR="003751C3">
        <w:rPr>
          <w:rFonts w:cstheme="minorHAnsi"/>
        </w:rPr>
        <w:t xml:space="preserve">it was </w:t>
      </w:r>
      <w:r>
        <w:rPr>
          <w:rFonts w:cstheme="minorHAnsi"/>
        </w:rPr>
        <w:t>estimated that</w:t>
      </w:r>
      <w:r w:rsidRPr="00F61466">
        <w:rPr>
          <w:rFonts w:cstheme="minorHAnsi"/>
        </w:rPr>
        <w:t xml:space="preserve"> food retail accounted for 4.9 Mtoe of primary energy (56.7 </w:t>
      </w:r>
      <w:proofErr w:type="spellStart"/>
      <w:r w:rsidRPr="00F61466">
        <w:rPr>
          <w:rFonts w:cstheme="minorHAnsi"/>
        </w:rPr>
        <w:t>TWh</w:t>
      </w:r>
      <w:proofErr w:type="spellEnd"/>
      <w:r w:rsidRPr="00F61466">
        <w:rPr>
          <w:rFonts w:cstheme="minorHAnsi"/>
        </w:rPr>
        <w:t>)</w:t>
      </w:r>
      <w:r>
        <w:rPr>
          <w:rFonts w:cstheme="minorHAnsi"/>
        </w:rPr>
        <w:t>, t</w:t>
      </w:r>
      <w:r w:rsidRPr="00F61466">
        <w:rPr>
          <w:rFonts w:cstheme="minorHAnsi"/>
        </w:rPr>
        <w:t xml:space="preserve">herefore </w:t>
      </w:r>
      <w:r w:rsidR="00E332A1">
        <w:rPr>
          <w:rFonts w:cstheme="minorHAnsi"/>
        </w:rPr>
        <w:t>19.4</w:t>
      </w:r>
      <w:r w:rsidRPr="00F61466">
        <w:rPr>
          <w:rFonts w:cstheme="minorHAnsi"/>
        </w:rPr>
        <w:t xml:space="preserve"> </w:t>
      </w:r>
      <w:proofErr w:type="spellStart"/>
      <w:r w:rsidRPr="00F61466">
        <w:rPr>
          <w:rFonts w:cstheme="minorHAnsi"/>
        </w:rPr>
        <w:t>TWh</w:t>
      </w:r>
      <w:proofErr w:type="spellEnd"/>
      <w:r w:rsidRPr="00F61466">
        <w:rPr>
          <w:rFonts w:cstheme="minorHAnsi"/>
        </w:rPr>
        <w:t xml:space="preserve"> of </w:t>
      </w:r>
      <w:r>
        <w:rPr>
          <w:rFonts w:cstheme="minorHAnsi"/>
        </w:rPr>
        <w:t>final</w:t>
      </w:r>
      <w:r w:rsidRPr="00F61466">
        <w:rPr>
          <w:rFonts w:cstheme="minorHAnsi"/>
        </w:rPr>
        <w:t xml:space="preserve"> energy</w:t>
      </w:r>
      <w:r>
        <w:rPr>
          <w:rFonts w:cstheme="minorHAnsi"/>
        </w:rPr>
        <w:t xml:space="preserve"> consumption</w:t>
      </w:r>
      <w:r w:rsidR="00E332A1">
        <w:rPr>
          <w:rFonts w:cstheme="minorHAnsi"/>
        </w:rPr>
        <w:t xml:space="preserve"> (based on primary/final energy ratio in 2011 of 2.93</w:t>
      </w:r>
      <w:r w:rsidR="00184891">
        <w:rPr>
          <w:rFonts w:cstheme="minorHAnsi"/>
        </w:rPr>
        <w:t xml:space="preserve"> (</w:t>
      </w:r>
      <w:r w:rsidR="00184891" w:rsidRPr="002C66B7">
        <w:t>D</w:t>
      </w:r>
      <w:r w:rsidR="002470D1">
        <w:t>EFRA</w:t>
      </w:r>
      <w:r w:rsidR="00184891">
        <w:t xml:space="preserve">, </w:t>
      </w:r>
      <w:r w:rsidR="00184891" w:rsidRPr="002C66B7">
        <w:t>201</w:t>
      </w:r>
      <w:r w:rsidR="007B2494">
        <w:t>4</w:t>
      </w:r>
      <w:r w:rsidR="00184891" w:rsidRPr="002C66B7">
        <w:t>)</w:t>
      </w:r>
      <w:r w:rsidRPr="00F61466">
        <w:rPr>
          <w:rFonts w:cstheme="minorHAnsi"/>
        </w:rPr>
        <w:t xml:space="preserve">.  </w:t>
      </w:r>
      <w:r>
        <w:t xml:space="preserve">In this sector refrigeration in supermarkets is typically from large distributed systems serving many retail display cases. In small shops there is widespread use of integral systems and small split systems (with a remote condensing unit serving one or more display cases). </w:t>
      </w:r>
    </w:p>
    <w:p w14:paraId="4D126E3F" w14:textId="0CFC08E9" w:rsidR="00D81D30" w:rsidRPr="00AE4C4E" w:rsidRDefault="00D81D30" w:rsidP="00D81D30">
      <w:r w:rsidRPr="0063319A">
        <w:t xml:space="preserve">The cooling demands in retail are a “holding load” – </w:t>
      </w:r>
      <w:r w:rsidR="003751C3" w:rsidRPr="0063319A">
        <w:t xml:space="preserve">the aim is that </w:t>
      </w:r>
      <w:r w:rsidRPr="0063319A">
        <w:t>product is received at the correct temperature and must be kept at that temperature in bulk storage or in retail display cabinets.</w:t>
      </w:r>
      <w:r w:rsidR="003751C3">
        <w:t xml:space="preserve"> </w:t>
      </w:r>
      <w:r w:rsidRPr="00AE4C4E">
        <w:t xml:space="preserve"> </w:t>
      </w:r>
      <w:r w:rsidRPr="00AE4C4E">
        <w:rPr>
          <w:rFonts w:cstheme="minorHAnsi"/>
        </w:rPr>
        <w:fldChar w:fldCharType="begin"/>
      </w:r>
      <w:r w:rsidRPr="00AE4C4E">
        <w:rPr>
          <w:rFonts w:cstheme="minorHAnsi"/>
        </w:rPr>
        <w:instrText>ADDIN RW.CITE{{doc:60e30c3f8f083a58087ca086 SKMEnviros 2011}}</w:instrText>
      </w:r>
      <w:r w:rsidRPr="00AE4C4E">
        <w:rPr>
          <w:rFonts w:cstheme="minorHAnsi"/>
        </w:rPr>
        <w:fldChar w:fldCharType="separate"/>
      </w:r>
      <w:r w:rsidR="00052D1B" w:rsidRPr="00052D1B">
        <w:rPr>
          <w:rFonts w:ascii="Calibri" w:hAnsi="Calibri" w:cs="Calibri"/>
          <w:bCs/>
          <w:lang w:val="en-US"/>
        </w:rPr>
        <w:t>SKM Enviros</w:t>
      </w:r>
      <w:r w:rsidR="007B2494">
        <w:rPr>
          <w:rFonts w:ascii="Calibri" w:hAnsi="Calibri" w:cs="Calibri"/>
          <w:bCs/>
          <w:lang w:val="en-US"/>
        </w:rPr>
        <w:t xml:space="preserve"> (</w:t>
      </w:r>
      <w:r w:rsidR="00052D1B" w:rsidRPr="00052D1B">
        <w:rPr>
          <w:rFonts w:ascii="Calibri" w:hAnsi="Calibri" w:cs="Calibri"/>
          <w:bCs/>
          <w:lang w:val="en-US"/>
        </w:rPr>
        <w:t>2011)</w:t>
      </w:r>
      <w:r w:rsidRPr="00AE4C4E">
        <w:rPr>
          <w:rFonts w:cstheme="minorHAnsi"/>
        </w:rPr>
        <w:fldChar w:fldCharType="end"/>
      </w:r>
      <w:r w:rsidRPr="00AE4C4E">
        <w:rPr>
          <w:rFonts w:cstheme="minorHAnsi"/>
        </w:rPr>
        <w:t xml:space="preserve"> estimated that during 2010</w:t>
      </w:r>
      <w:r w:rsidR="003751C3">
        <w:rPr>
          <w:rFonts w:cstheme="minorHAnsi"/>
        </w:rPr>
        <w:t xml:space="preserve"> retail stores consumed</w:t>
      </w:r>
      <w:r w:rsidRPr="00AE4C4E">
        <w:rPr>
          <w:rFonts w:cstheme="minorHAnsi"/>
        </w:rPr>
        <w:t xml:space="preserve"> 27.3 </w:t>
      </w:r>
      <w:proofErr w:type="spellStart"/>
      <w:r w:rsidRPr="00AE4C4E">
        <w:rPr>
          <w:rFonts w:cstheme="minorHAnsi"/>
        </w:rPr>
        <w:t>TWh</w:t>
      </w:r>
      <w:proofErr w:type="spellEnd"/>
      <w:r w:rsidRPr="00AE4C4E">
        <w:rPr>
          <w:rFonts w:cstheme="minorHAnsi"/>
        </w:rPr>
        <w:t xml:space="preserve"> of </w:t>
      </w:r>
      <w:r w:rsidR="003751C3" w:rsidRPr="00AE4C4E">
        <w:rPr>
          <w:rFonts w:cstheme="minorHAnsi"/>
        </w:rPr>
        <w:t>electric</w:t>
      </w:r>
      <w:r w:rsidR="003751C3">
        <w:rPr>
          <w:rFonts w:cstheme="minorHAnsi"/>
        </w:rPr>
        <w:t>ity</w:t>
      </w:r>
      <w:r w:rsidR="003751C3" w:rsidRPr="00AE4C4E">
        <w:rPr>
          <w:rFonts w:cstheme="minorHAnsi"/>
        </w:rPr>
        <w:t xml:space="preserve"> </w:t>
      </w:r>
      <w:r w:rsidRPr="00AE4C4E">
        <w:rPr>
          <w:rFonts w:cstheme="minorHAnsi"/>
        </w:rPr>
        <w:t xml:space="preserve">of which 27% (7.36 </w:t>
      </w:r>
      <w:proofErr w:type="spellStart"/>
      <w:r w:rsidRPr="00AE4C4E">
        <w:rPr>
          <w:rFonts w:cstheme="minorHAnsi"/>
        </w:rPr>
        <w:t>TWh</w:t>
      </w:r>
      <w:proofErr w:type="spellEnd"/>
      <w:r w:rsidRPr="00AE4C4E">
        <w:rPr>
          <w:rFonts w:cstheme="minorHAnsi"/>
        </w:rPr>
        <w:t xml:space="preserve">) was used in refrigeration. The total electrical consumption </w:t>
      </w:r>
      <w:r w:rsidR="003751C3">
        <w:rPr>
          <w:rFonts w:cstheme="minorHAnsi"/>
        </w:rPr>
        <w:t>wa</w:t>
      </w:r>
      <w:r w:rsidR="003751C3" w:rsidRPr="00AE4C4E">
        <w:rPr>
          <w:rFonts w:cstheme="minorHAnsi"/>
        </w:rPr>
        <w:t xml:space="preserve">s </w:t>
      </w:r>
      <w:r w:rsidRPr="00AE4C4E">
        <w:rPr>
          <w:rFonts w:cstheme="minorHAnsi"/>
        </w:rPr>
        <w:t xml:space="preserve">25% higher than the final energy consumption from </w:t>
      </w:r>
      <w:r w:rsidRPr="00AE4C4E">
        <w:rPr>
          <w:rFonts w:cstheme="minorHAnsi"/>
        </w:rPr>
        <w:fldChar w:fldCharType="begin"/>
      </w:r>
      <w:r w:rsidRPr="00AE4C4E">
        <w:rPr>
          <w:rFonts w:cstheme="minorHAnsi"/>
        </w:rPr>
        <w:instrText>ADDIN RW.CITE{{doc:60cb31b38f08b95fc26f8e9c DECC 2013}}</w:instrText>
      </w:r>
      <w:r w:rsidRPr="00AE4C4E">
        <w:rPr>
          <w:rFonts w:cstheme="minorHAnsi"/>
        </w:rPr>
        <w:fldChar w:fldCharType="separate"/>
      </w:r>
      <w:r w:rsidR="00530792" w:rsidRPr="00530792">
        <w:rPr>
          <w:rFonts w:ascii="Calibri" w:hAnsi="Calibri" w:cs="Calibri"/>
          <w:bCs/>
          <w:lang w:val="en-US"/>
        </w:rPr>
        <w:t>DE</w:t>
      </w:r>
      <w:r w:rsidR="001B2590">
        <w:rPr>
          <w:rFonts w:ascii="Calibri" w:hAnsi="Calibri" w:cs="Calibri"/>
          <w:bCs/>
          <w:lang w:val="en-US"/>
        </w:rPr>
        <w:t>FRA</w:t>
      </w:r>
      <w:r w:rsidR="00530792" w:rsidRPr="00530792">
        <w:rPr>
          <w:rFonts w:ascii="Calibri" w:hAnsi="Calibri" w:cs="Calibri"/>
          <w:bCs/>
          <w:lang w:val="en-US"/>
        </w:rPr>
        <w:t xml:space="preserve"> </w:t>
      </w:r>
      <w:r w:rsidR="001B2590">
        <w:rPr>
          <w:rFonts w:ascii="Calibri" w:hAnsi="Calibri" w:cs="Calibri"/>
          <w:bCs/>
          <w:lang w:val="en-US"/>
        </w:rPr>
        <w:t>(</w:t>
      </w:r>
      <w:r w:rsidR="00530792" w:rsidRPr="00530792">
        <w:rPr>
          <w:rFonts w:ascii="Calibri" w:hAnsi="Calibri" w:cs="Calibri"/>
          <w:bCs/>
          <w:lang w:val="en-US"/>
        </w:rPr>
        <w:t>201</w:t>
      </w:r>
      <w:r w:rsidR="001B2590">
        <w:rPr>
          <w:rFonts w:ascii="Calibri" w:hAnsi="Calibri" w:cs="Calibri"/>
          <w:bCs/>
          <w:lang w:val="en-US"/>
        </w:rPr>
        <w:t>4</w:t>
      </w:r>
      <w:r w:rsidR="00530792" w:rsidRPr="00530792">
        <w:rPr>
          <w:rFonts w:ascii="Calibri" w:hAnsi="Calibri" w:cs="Calibri"/>
          <w:bCs/>
          <w:lang w:val="en-US"/>
        </w:rPr>
        <w:t>)</w:t>
      </w:r>
      <w:r w:rsidRPr="00AE4C4E">
        <w:rPr>
          <w:rFonts w:cstheme="minorHAnsi"/>
        </w:rPr>
        <w:fldChar w:fldCharType="end"/>
      </w:r>
      <w:r w:rsidRPr="00AE4C4E">
        <w:rPr>
          <w:rFonts w:cstheme="minorHAnsi"/>
        </w:rPr>
        <w:t xml:space="preserve"> which would have also included gas</w:t>
      </w:r>
      <w:r>
        <w:rPr>
          <w:rFonts w:cstheme="minorHAnsi"/>
        </w:rPr>
        <w:t>, used mainly for heating</w:t>
      </w:r>
      <w:r w:rsidR="009B5243">
        <w:rPr>
          <w:rFonts w:cstheme="minorHAnsi"/>
        </w:rPr>
        <w:t xml:space="preserve">, meaning the SKM Enviros energy consumption was more than 25% </w:t>
      </w:r>
      <w:r w:rsidR="0012454B">
        <w:rPr>
          <w:rFonts w:cstheme="minorHAnsi"/>
        </w:rPr>
        <w:t xml:space="preserve">higher </w:t>
      </w:r>
      <w:r w:rsidR="009B5243">
        <w:rPr>
          <w:rFonts w:cstheme="minorHAnsi"/>
        </w:rPr>
        <w:t>than that from DEFRA.</w:t>
      </w:r>
    </w:p>
    <w:p w14:paraId="571C345D" w14:textId="4DAF0C8F" w:rsidR="00D81D30" w:rsidRDefault="00F550FE" w:rsidP="00D81D30">
      <w:pPr>
        <w:rPr>
          <w:rFonts w:cstheme="minorHAnsi"/>
        </w:rPr>
      </w:pPr>
      <w:r w:rsidRPr="00F550FE">
        <w:rPr>
          <w:rFonts w:cstheme="minorHAnsi"/>
        </w:rPr>
        <w:fldChar w:fldCharType="begin"/>
      </w:r>
      <w:r w:rsidRPr="00F550FE">
        <w:rPr>
          <w:rFonts w:cstheme="minorHAnsi"/>
        </w:rPr>
        <w:instrText>ADDIN RW.CITE{{doc:60cb483b8f0854cb0bbc8704 BEIS 2016}}</w:instrText>
      </w:r>
      <w:r w:rsidRPr="00F550FE">
        <w:rPr>
          <w:rFonts w:cstheme="minorHAnsi"/>
        </w:rPr>
        <w:fldChar w:fldCharType="separate"/>
      </w:r>
      <w:r w:rsidR="00530792" w:rsidRPr="00530792">
        <w:rPr>
          <w:rFonts w:cstheme="minorHAnsi"/>
          <w:bCs/>
          <w:lang w:val="en-US"/>
        </w:rPr>
        <w:t xml:space="preserve">BEIS </w:t>
      </w:r>
      <w:r w:rsidR="001B2590">
        <w:rPr>
          <w:rFonts w:cstheme="minorHAnsi"/>
          <w:bCs/>
          <w:lang w:val="en-US"/>
        </w:rPr>
        <w:t>(</w:t>
      </w:r>
      <w:r w:rsidR="00530792" w:rsidRPr="00530792">
        <w:rPr>
          <w:rFonts w:cstheme="minorHAnsi"/>
          <w:bCs/>
          <w:lang w:val="en-US"/>
        </w:rPr>
        <w:t>2016)</w:t>
      </w:r>
      <w:r w:rsidRPr="00F550FE">
        <w:rPr>
          <w:rFonts w:cstheme="minorHAnsi"/>
        </w:rPr>
        <w:fldChar w:fldCharType="end"/>
      </w:r>
      <w:r w:rsidRPr="00F550FE">
        <w:rPr>
          <w:rFonts w:cstheme="minorHAnsi"/>
        </w:rPr>
        <w:t xml:space="preserve"> </w:t>
      </w:r>
      <w:r>
        <w:rPr>
          <w:rFonts w:cstheme="minorHAnsi"/>
        </w:rPr>
        <w:t>m</w:t>
      </w:r>
      <w:r w:rsidR="00D81D30" w:rsidRPr="00F550FE">
        <w:rPr>
          <w:rFonts w:cstheme="minorHAnsi"/>
        </w:rPr>
        <w:t xml:space="preserve">odelled data based on telephone survey responses for the period 2014/15 </w:t>
      </w:r>
      <w:r>
        <w:rPr>
          <w:rFonts w:cstheme="minorHAnsi"/>
        </w:rPr>
        <w:t xml:space="preserve">and </w:t>
      </w:r>
      <w:r w:rsidR="00D81D30" w:rsidRPr="00F550FE">
        <w:rPr>
          <w:rFonts w:cstheme="minorHAnsi"/>
        </w:rPr>
        <w:t xml:space="preserve">showed that the retail sector consumed 21.7 </w:t>
      </w:r>
      <w:proofErr w:type="spellStart"/>
      <w:r w:rsidR="00D81D30" w:rsidRPr="00F550FE">
        <w:rPr>
          <w:rFonts w:cstheme="minorHAnsi"/>
        </w:rPr>
        <w:t>TWh</w:t>
      </w:r>
      <w:proofErr w:type="spellEnd"/>
      <w:r w:rsidR="00D81D30" w:rsidRPr="00F550FE">
        <w:rPr>
          <w:rFonts w:cstheme="minorHAnsi"/>
        </w:rPr>
        <w:t xml:space="preserve"> of electrical energy.  For large retails chains (100+ outlets) the proportion of refrigeration to electrical energy consumption was 42.3%. Cooled storage in the retail sector was shown to be 6.96 </w:t>
      </w:r>
      <w:proofErr w:type="spellStart"/>
      <w:r w:rsidR="00D81D30" w:rsidRPr="00F550FE">
        <w:rPr>
          <w:rFonts w:cstheme="minorHAnsi"/>
        </w:rPr>
        <w:t>TWh</w:t>
      </w:r>
      <w:proofErr w:type="spellEnd"/>
      <w:r w:rsidR="00D81D30" w:rsidRPr="00F550FE">
        <w:rPr>
          <w:rFonts w:cstheme="minorHAnsi"/>
        </w:rPr>
        <w:t xml:space="preserve">, </w:t>
      </w:r>
      <w:r w:rsidR="00857688" w:rsidRPr="00F550FE">
        <w:rPr>
          <w:rFonts w:cstheme="minorHAnsi"/>
        </w:rPr>
        <w:t>includ</w:t>
      </w:r>
      <w:r w:rsidR="00857688">
        <w:rPr>
          <w:rFonts w:cstheme="minorHAnsi"/>
        </w:rPr>
        <w:t>ing</w:t>
      </w:r>
      <w:r w:rsidR="00857688" w:rsidRPr="00F550FE">
        <w:rPr>
          <w:rFonts w:cstheme="minorHAnsi"/>
        </w:rPr>
        <w:t xml:space="preserve"> </w:t>
      </w:r>
      <w:r w:rsidR="00D81D30" w:rsidRPr="00F550FE">
        <w:rPr>
          <w:rFonts w:cstheme="minorHAnsi"/>
        </w:rPr>
        <w:t xml:space="preserve">cooling in large food shops </w:t>
      </w:r>
      <w:r w:rsidR="00925600">
        <w:rPr>
          <w:rFonts w:cstheme="minorHAnsi"/>
        </w:rPr>
        <w:t>with</w:t>
      </w:r>
      <w:r w:rsidR="00E332A1">
        <w:rPr>
          <w:rFonts w:cstheme="minorHAnsi"/>
        </w:rPr>
        <w:t xml:space="preserve"> </w:t>
      </w:r>
      <w:r w:rsidR="00D81D30" w:rsidRPr="00F550FE">
        <w:rPr>
          <w:rFonts w:cstheme="minorHAnsi"/>
        </w:rPr>
        <w:t>floor area exceeding 750 m</w:t>
      </w:r>
      <w:r w:rsidR="00D81D30" w:rsidRPr="00F550FE">
        <w:rPr>
          <w:rFonts w:cstheme="minorHAnsi"/>
          <w:vertAlign w:val="superscript"/>
        </w:rPr>
        <w:t>2</w:t>
      </w:r>
      <w:r w:rsidR="00925600">
        <w:rPr>
          <w:rFonts w:cstheme="minorHAnsi"/>
          <w:vertAlign w:val="superscript"/>
        </w:rPr>
        <w:t xml:space="preserve"> </w:t>
      </w:r>
      <w:r w:rsidR="00925600" w:rsidRPr="00F550FE">
        <w:rPr>
          <w:rFonts w:cstheme="minorHAnsi"/>
        </w:rPr>
        <w:t xml:space="preserve">(3.27 </w:t>
      </w:r>
      <w:proofErr w:type="spellStart"/>
      <w:r w:rsidR="00925600" w:rsidRPr="00F550FE">
        <w:rPr>
          <w:rFonts w:cstheme="minorHAnsi"/>
        </w:rPr>
        <w:t>TWh</w:t>
      </w:r>
      <w:proofErr w:type="spellEnd"/>
      <w:r w:rsidR="00D81D30" w:rsidRPr="00F550FE">
        <w:rPr>
          <w:rFonts w:cstheme="minorHAnsi"/>
        </w:rPr>
        <w:t xml:space="preserve">) and small shops </w:t>
      </w:r>
      <w:r w:rsidR="00925600">
        <w:rPr>
          <w:rFonts w:cstheme="minorHAnsi"/>
        </w:rPr>
        <w:t>(</w:t>
      </w:r>
      <w:r w:rsidR="00925600" w:rsidRPr="00F550FE">
        <w:rPr>
          <w:rFonts w:cstheme="minorHAnsi"/>
        </w:rPr>
        <w:t xml:space="preserve">3.63 </w:t>
      </w:r>
      <w:proofErr w:type="spellStart"/>
      <w:r w:rsidR="00925600" w:rsidRPr="00F550FE">
        <w:rPr>
          <w:rFonts w:cstheme="minorHAnsi"/>
        </w:rPr>
        <w:t>TWh</w:t>
      </w:r>
      <w:proofErr w:type="spellEnd"/>
      <w:r w:rsidR="00925600">
        <w:rPr>
          <w:rFonts w:cstheme="minorHAnsi"/>
        </w:rPr>
        <w:t>),</w:t>
      </w:r>
      <w:r w:rsidR="00925600" w:rsidRPr="00F550FE" w:rsidDel="00925600">
        <w:rPr>
          <w:rFonts w:cstheme="minorHAnsi"/>
        </w:rPr>
        <w:t xml:space="preserve"> </w:t>
      </w:r>
      <w:r w:rsidR="00D81D30">
        <w:rPr>
          <w:rFonts w:cstheme="minorHAnsi"/>
        </w:rPr>
        <w:t xml:space="preserve"> </w:t>
      </w:r>
    </w:p>
    <w:p w14:paraId="761FB437" w14:textId="1F448904" w:rsidR="00690408" w:rsidRPr="000E3037" w:rsidRDefault="00925600" w:rsidP="000E3037">
      <w:pPr>
        <w:rPr>
          <w:rFonts w:cstheme="minorHAnsi"/>
        </w:rPr>
      </w:pPr>
      <w:r>
        <w:rPr>
          <w:rFonts w:cstheme="minorHAnsi"/>
        </w:rPr>
        <w:t>These t</w:t>
      </w:r>
      <w:r w:rsidRPr="00F550FE">
        <w:rPr>
          <w:rFonts w:cstheme="minorHAnsi"/>
        </w:rPr>
        <w:t xml:space="preserve">wo </w:t>
      </w:r>
      <w:r>
        <w:rPr>
          <w:rFonts w:cstheme="minorHAnsi"/>
        </w:rPr>
        <w:t>reported figures</w:t>
      </w:r>
      <w:r w:rsidRPr="00F550FE">
        <w:rPr>
          <w:rFonts w:cstheme="minorHAnsi"/>
        </w:rPr>
        <w:t xml:space="preserve"> </w:t>
      </w:r>
      <w:r w:rsidR="00716D18" w:rsidRPr="00F550FE">
        <w:rPr>
          <w:rFonts w:cstheme="minorHAnsi"/>
        </w:rPr>
        <w:t xml:space="preserve">from </w:t>
      </w:r>
      <w:r w:rsidR="00690408" w:rsidRPr="00F550FE">
        <w:rPr>
          <w:rFonts w:cstheme="minorHAnsi"/>
        </w:rPr>
        <w:t xml:space="preserve">2011 and 2014/15 </w:t>
      </w:r>
      <w:r>
        <w:rPr>
          <w:rFonts w:cstheme="minorHAnsi"/>
        </w:rPr>
        <w:t>were reasonably close at</w:t>
      </w:r>
      <w:r w:rsidR="00690408" w:rsidRPr="00F550FE">
        <w:rPr>
          <w:rFonts w:cstheme="minorHAnsi"/>
        </w:rPr>
        <w:t xml:space="preserve"> 6.96 and 7.36 </w:t>
      </w:r>
      <w:proofErr w:type="spellStart"/>
      <w:r w:rsidR="00690408" w:rsidRPr="00F550FE">
        <w:rPr>
          <w:rFonts w:cstheme="minorHAnsi"/>
        </w:rPr>
        <w:t>TWh</w:t>
      </w:r>
      <w:proofErr w:type="spellEnd"/>
      <w:r w:rsidR="00690408" w:rsidRPr="00F550FE">
        <w:rPr>
          <w:rFonts w:cstheme="minorHAnsi"/>
        </w:rPr>
        <w:t xml:space="preserve">.  No more recent </w:t>
      </w:r>
      <w:r w:rsidR="00857688">
        <w:rPr>
          <w:rFonts w:cstheme="minorHAnsi"/>
        </w:rPr>
        <w:t xml:space="preserve">published </w:t>
      </w:r>
      <w:r w:rsidR="00690408" w:rsidRPr="00F550FE">
        <w:rPr>
          <w:rFonts w:cstheme="minorHAnsi"/>
        </w:rPr>
        <w:t xml:space="preserve">data </w:t>
      </w:r>
      <w:r w:rsidR="00857688" w:rsidRPr="00F550FE">
        <w:rPr>
          <w:rFonts w:cstheme="minorHAnsi"/>
        </w:rPr>
        <w:t>c</w:t>
      </w:r>
      <w:r w:rsidR="00857688">
        <w:rPr>
          <w:rFonts w:cstheme="minorHAnsi"/>
        </w:rPr>
        <w:t>ould</w:t>
      </w:r>
      <w:r w:rsidR="00857688" w:rsidRPr="00F550FE">
        <w:rPr>
          <w:rFonts w:cstheme="minorHAnsi"/>
        </w:rPr>
        <w:t xml:space="preserve"> </w:t>
      </w:r>
      <w:r w:rsidR="00690408" w:rsidRPr="00F550FE">
        <w:rPr>
          <w:rFonts w:cstheme="minorHAnsi"/>
        </w:rPr>
        <w:t>be found</w:t>
      </w:r>
      <w:r w:rsidR="000E3037" w:rsidRPr="00F550FE">
        <w:rPr>
          <w:rFonts w:cstheme="minorHAnsi"/>
        </w:rPr>
        <w:t xml:space="preserve"> </w:t>
      </w:r>
      <w:r w:rsidR="002B6374">
        <w:rPr>
          <w:rFonts w:cstheme="minorHAnsi"/>
        </w:rPr>
        <w:t>so this was</w:t>
      </w:r>
      <w:r w:rsidR="000E3037" w:rsidRPr="00F550FE">
        <w:rPr>
          <w:rFonts w:cstheme="minorHAnsi"/>
        </w:rPr>
        <w:t xml:space="preserve"> considered as medium confidence</w:t>
      </w:r>
      <w:r w:rsidR="00690408" w:rsidRPr="00F550FE">
        <w:rPr>
          <w:rFonts w:cstheme="minorHAnsi"/>
        </w:rPr>
        <w:t>.</w:t>
      </w:r>
    </w:p>
    <w:p w14:paraId="4E848319" w14:textId="5372CC98" w:rsidR="00D81D30" w:rsidRPr="00BD57BC" w:rsidRDefault="00D81D30" w:rsidP="00D81D30">
      <w:pPr>
        <w:pStyle w:val="Heading3"/>
      </w:pPr>
      <w:r w:rsidRPr="00BD57BC">
        <w:t xml:space="preserve">Food service </w:t>
      </w:r>
    </w:p>
    <w:p w14:paraId="4CA63FF5" w14:textId="497F1E0F" w:rsidR="00D81D30" w:rsidRPr="005F6B80" w:rsidRDefault="00D81D30" w:rsidP="00D81D30">
      <w:r w:rsidRPr="005F6B80">
        <w:t>The food service sector</w:t>
      </w:r>
      <w:r>
        <w:t xml:space="preserve"> is </w:t>
      </w:r>
      <w:r w:rsidR="006763A6">
        <w:t>made up of</w:t>
      </w:r>
      <w:r>
        <w:t xml:space="preserve"> many </w:t>
      </w:r>
      <w:r w:rsidR="00C5334E">
        <w:t xml:space="preserve">sub </w:t>
      </w:r>
      <w:r>
        <w:t xml:space="preserve">sectors, </w:t>
      </w:r>
      <w:proofErr w:type="gramStart"/>
      <w:r>
        <w:t>e.g.</w:t>
      </w:r>
      <w:proofErr w:type="gramEnd"/>
      <w:r>
        <w:t xml:space="preserve"> restaurants (eat in and take-away), pubs and clubs, cafés, hotels, leisure, staff canteens, health care and education.  Food and drink </w:t>
      </w:r>
      <w:proofErr w:type="gramStart"/>
      <w:r>
        <w:t>is</w:t>
      </w:r>
      <w:proofErr w:type="gramEnd"/>
      <w:r>
        <w:t xml:space="preserve"> </w:t>
      </w:r>
      <w:r w:rsidRPr="005F6B80">
        <w:t xml:space="preserve">mainly </w:t>
      </w:r>
      <w:r>
        <w:t>refrigerated in</w:t>
      </w:r>
      <w:r w:rsidRPr="005F6B80">
        <w:t xml:space="preserve"> small systems including </w:t>
      </w:r>
      <w:r w:rsidR="00AC2D30" w:rsidRPr="005F6B80">
        <w:t>integral</w:t>
      </w:r>
      <w:r w:rsidR="00AC2D30">
        <w:t xml:space="preserve"> systems</w:t>
      </w:r>
      <w:r w:rsidR="00AC2D30" w:rsidRPr="005F6B80">
        <w:t xml:space="preserve"> </w:t>
      </w:r>
      <w:r w:rsidRPr="005F6B80">
        <w:t xml:space="preserve">(e.g. drinks coolers, food display cases) and small split systems (e.g. cellar cooling in pubs and small walk-in cold stores). </w:t>
      </w:r>
      <w:r>
        <w:t xml:space="preserve"> </w:t>
      </w:r>
    </w:p>
    <w:p w14:paraId="20F066BC" w14:textId="08DAE371" w:rsidR="00D81D30" w:rsidRPr="005F6B80" w:rsidRDefault="00D81D30" w:rsidP="00D81D30">
      <w:pPr>
        <w:rPr>
          <w:rFonts w:cstheme="minorHAnsi"/>
        </w:rPr>
      </w:pPr>
      <w:r>
        <w:rPr>
          <w:rFonts w:cstheme="minorHAnsi"/>
        </w:rPr>
        <w:fldChar w:fldCharType="begin"/>
      </w:r>
      <w:r>
        <w:rPr>
          <w:rFonts w:cstheme="minorHAnsi"/>
        </w:rPr>
        <w:instrText>ADDIN RW.CITE{{doc:60e30c3f8f083a58087ca086 SKMEnviros 2011}}</w:instrText>
      </w:r>
      <w:r>
        <w:rPr>
          <w:rFonts w:cstheme="minorHAnsi"/>
        </w:rPr>
        <w:fldChar w:fldCharType="separate"/>
      </w:r>
      <w:r w:rsidR="00530792" w:rsidRPr="00530792">
        <w:rPr>
          <w:rFonts w:ascii="Calibri" w:hAnsi="Calibri" w:cs="Calibri"/>
          <w:bCs/>
          <w:lang w:val="en-US"/>
        </w:rPr>
        <w:t xml:space="preserve">(SKM Enviros </w:t>
      </w:r>
      <w:r w:rsidR="001B2590">
        <w:rPr>
          <w:rFonts w:ascii="Calibri" w:hAnsi="Calibri" w:cs="Calibri"/>
          <w:bCs/>
          <w:lang w:val="en-US"/>
        </w:rPr>
        <w:t>(</w:t>
      </w:r>
      <w:r w:rsidR="00530792" w:rsidRPr="00530792">
        <w:rPr>
          <w:rFonts w:ascii="Calibri" w:hAnsi="Calibri" w:cs="Calibri"/>
          <w:bCs/>
          <w:lang w:val="en-US"/>
        </w:rPr>
        <w:t>2011)</w:t>
      </w:r>
      <w:r>
        <w:rPr>
          <w:rFonts w:cstheme="minorHAnsi"/>
        </w:rPr>
        <w:fldChar w:fldCharType="end"/>
      </w:r>
      <w:r>
        <w:rPr>
          <w:rFonts w:cstheme="minorHAnsi"/>
        </w:rPr>
        <w:t xml:space="preserve"> </w:t>
      </w:r>
      <w:r w:rsidRPr="005F6B80">
        <w:rPr>
          <w:rFonts w:cstheme="minorHAnsi"/>
        </w:rPr>
        <w:t>estimated for 2010</w:t>
      </w:r>
      <w:r w:rsidR="00AC2D30">
        <w:rPr>
          <w:rFonts w:cstheme="minorHAnsi"/>
        </w:rPr>
        <w:t xml:space="preserve"> that</w:t>
      </w:r>
      <w:r w:rsidR="00AC2D30" w:rsidRPr="005F6B80">
        <w:rPr>
          <w:rFonts w:cstheme="minorHAnsi"/>
        </w:rPr>
        <w:t xml:space="preserve"> </w:t>
      </w:r>
      <w:r w:rsidRPr="005F6B80">
        <w:rPr>
          <w:rFonts w:cstheme="minorHAnsi"/>
        </w:rPr>
        <w:t xml:space="preserve">14.8 </w:t>
      </w:r>
      <w:proofErr w:type="spellStart"/>
      <w:r w:rsidRPr="005F6B80">
        <w:rPr>
          <w:rFonts w:cstheme="minorHAnsi"/>
        </w:rPr>
        <w:t>TWh</w:t>
      </w:r>
      <w:proofErr w:type="spellEnd"/>
      <w:r w:rsidRPr="005F6B80">
        <w:rPr>
          <w:rFonts w:cstheme="minorHAnsi"/>
        </w:rPr>
        <w:t xml:space="preserve"> of electrical consumption </w:t>
      </w:r>
      <w:r w:rsidR="00AC2D30">
        <w:rPr>
          <w:rFonts w:cstheme="minorHAnsi"/>
        </w:rPr>
        <w:t>was used in</w:t>
      </w:r>
      <w:r w:rsidR="00AC2D30" w:rsidRPr="005F6B80">
        <w:rPr>
          <w:rFonts w:cstheme="minorHAnsi"/>
        </w:rPr>
        <w:t xml:space="preserve"> </w:t>
      </w:r>
      <w:r w:rsidRPr="005F6B80">
        <w:rPr>
          <w:rFonts w:cstheme="minorHAnsi"/>
        </w:rPr>
        <w:t xml:space="preserve">food service, of which 4.16 </w:t>
      </w:r>
      <w:proofErr w:type="spellStart"/>
      <w:r w:rsidRPr="005F6B80">
        <w:rPr>
          <w:rFonts w:cstheme="minorHAnsi"/>
        </w:rPr>
        <w:t>TWh</w:t>
      </w:r>
      <w:proofErr w:type="spellEnd"/>
      <w:r w:rsidRPr="005F6B80">
        <w:rPr>
          <w:rFonts w:cstheme="minorHAnsi"/>
        </w:rPr>
        <w:t xml:space="preserve"> was </w:t>
      </w:r>
      <w:r w:rsidR="00AC2D30">
        <w:rPr>
          <w:rFonts w:cstheme="minorHAnsi"/>
        </w:rPr>
        <w:t>for</w:t>
      </w:r>
      <w:r w:rsidR="00AC2D30" w:rsidRPr="005F6B80">
        <w:rPr>
          <w:rFonts w:cstheme="minorHAnsi"/>
        </w:rPr>
        <w:t xml:space="preserve"> </w:t>
      </w:r>
      <w:r w:rsidRPr="005F6B80">
        <w:rPr>
          <w:rFonts w:cstheme="minorHAnsi"/>
        </w:rPr>
        <w:t xml:space="preserve">refrigeration (28%). </w:t>
      </w:r>
    </w:p>
    <w:p w14:paraId="41A1EDC6" w14:textId="5111BE2F" w:rsidR="00D81D30" w:rsidRPr="005F6B80" w:rsidRDefault="00D81D30" w:rsidP="00D81D30">
      <w:pPr>
        <w:rPr>
          <w:rFonts w:cstheme="minorHAnsi"/>
        </w:rPr>
      </w:pPr>
      <w:r w:rsidRPr="005F6B80">
        <w:t>Electricity consumption data collected by</w:t>
      </w:r>
      <w:r w:rsidR="00AC2D30" w:rsidRPr="00AC2D30">
        <w:rPr>
          <w:rFonts w:ascii="Calibri" w:hAnsi="Calibri" w:cs="Calibri"/>
          <w:bCs/>
          <w:lang w:val="en-US"/>
        </w:rPr>
        <w:t xml:space="preserve"> </w:t>
      </w:r>
      <w:r w:rsidRPr="005F6B80">
        <w:fldChar w:fldCharType="begin"/>
      </w:r>
      <w:r w:rsidRPr="005F6B80">
        <w:instrText>ADDIN RW.CITE{{doc:611cb4dd8f0802f11eaf4422 Mudie,Samantha 2016}}</w:instrText>
      </w:r>
      <w:r w:rsidRPr="005F6B80">
        <w:fldChar w:fldCharType="separate"/>
      </w:r>
      <w:r w:rsidR="00530792" w:rsidRPr="00530792">
        <w:rPr>
          <w:rFonts w:ascii="Calibri" w:hAnsi="Calibri" w:cs="Calibri"/>
          <w:bCs/>
          <w:lang w:val="en-US"/>
        </w:rPr>
        <w:t xml:space="preserve">Mudie et al. </w:t>
      </w:r>
      <w:r w:rsidR="001B2590">
        <w:rPr>
          <w:rFonts w:ascii="Calibri" w:hAnsi="Calibri" w:cs="Calibri"/>
          <w:bCs/>
          <w:lang w:val="en-US"/>
        </w:rPr>
        <w:t>(</w:t>
      </w:r>
      <w:r w:rsidR="00530792" w:rsidRPr="00530792">
        <w:rPr>
          <w:rFonts w:ascii="Calibri" w:hAnsi="Calibri" w:cs="Calibri"/>
          <w:bCs/>
          <w:lang w:val="en-US"/>
        </w:rPr>
        <w:t>2016)</w:t>
      </w:r>
      <w:r w:rsidRPr="005F6B80">
        <w:fldChar w:fldCharType="end"/>
      </w:r>
      <w:r w:rsidRPr="005F6B80">
        <w:t xml:space="preserve"> in a sample of fourteen UK public house-restaurants</w:t>
      </w:r>
      <w:r w:rsidR="008B522E">
        <w:t xml:space="preserve"> (gastro pubs)</w:t>
      </w:r>
      <w:r w:rsidRPr="005F6B80">
        <w:t xml:space="preserve"> showed that refrigeration represented the largest consumption in each of the study kitchens, using 41% of the electricity (13% walk in freezer, 5% walk in fridge and 23% other refrigeration).  This was 28% of the total energy (including gas)</w:t>
      </w:r>
      <w:r w:rsidR="00896D2C">
        <w:t xml:space="preserve"> of the kitchen</w:t>
      </w:r>
      <w:r w:rsidR="00195044">
        <w:t>, with the kitchen using 63</w:t>
      </w:r>
      <w:proofErr w:type="gramStart"/>
      <w:r w:rsidR="00195044">
        <w:t>%  of</w:t>
      </w:r>
      <w:proofErr w:type="gramEnd"/>
      <w:r w:rsidR="00195044">
        <w:t xml:space="preserve"> the whole business area</w:t>
      </w:r>
      <w:r w:rsidRPr="005F6B80">
        <w:t xml:space="preserve">.  </w:t>
      </w:r>
    </w:p>
    <w:p w14:paraId="7C2B9699" w14:textId="05761DF8" w:rsidR="00D81D30" w:rsidRPr="005F6B80" w:rsidRDefault="00D81D30" w:rsidP="00D81D30">
      <w:pPr>
        <w:rPr>
          <w:rFonts w:cstheme="minorHAnsi"/>
        </w:rPr>
      </w:pPr>
      <w:r w:rsidRPr="005F6B80">
        <w:rPr>
          <w:rFonts w:cstheme="minorHAnsi"/>
        </w:rPr>
        <w:fldChar w:fldCharType="begin"/>
      </w:r>
      <w:r w:rsidRPr="005F6B80">
        <w:rPr>
          <w:rFonts w:cstheme="minorHAnsi"/>
        </w:rPr>
        <w:instrText>ADDIN RW.CITE{{doc:60d481b78f08277b972e6f68 RenéKemna 2021}}</w:instrText>
      </w:r>
      <w:r w:rsidRPr="005F6B80">
        <w:rPr>
          <w:rFonts w:cstheme="minorHAnsi"/>
        </w:rPr>
        <w:fldChar w:fldCharType="separate"/>
      </w:r>
      <w:r w:rsidR="00530792" w:rsidRPr="00530792">
        <w:rPr>
          <w:rFonts w:ascii="Calibri" w:hAnsi="Calibri" w:cs="Calibri"/>
          <w:bCs/>
          <w:lang w:val="en-US"/>
        </w:rPr>
        <w:t xml:space="preserve">Kemna et al. </w:t>
      </w:r>
      <w:r w:rsidR="00A90855">
        <w:rPr>
          <w:rFonts w:ascii="Calibri" w:hAnsi="Calibri" w:cs="Calibri"/>
          <w:bCs/>
          <w:lang w:val="en-US"/>
        </w:rPr>
        <w:t>(</w:t>
      </w:r>
      <w:r w:rsidR="00530792" w:rsidRPr="00530792">
        <w:rPr>
          <w:rFonts w:ascii="Calibri" w:hAnsi="Calibri" w:cs="Calibri"/>
          <w:bCs/>
          <w:lang w:val="en-US"/>
        </w:rPr>
        <w:t>2021)</w:t>
      </w:r>
      <w:r w:rsidRPr="005F6B80">
        <w:rPr>
          <w:rFonts w:cstheme="minorHAnsi"/>
        </w:rPr>
        <w:fldChar w:fldCharType="end"/>
      </w:r>
      <w:r w:rsidRPr="005F6B80">
        <w:rPr>
          <w:rFonts w:cstheme="minorHAnsi"/>
        </w:rPr>
        <w:t xml:space="preserve"> stated that there were 9.14 million professional refrigeration products (storage cabinets, process chillers and condensing units) in stock in the EU</w:t>
      </w:r>
      <w:r w:rsidR="00A90855">
        <w:rPr>
          <w:rFonts w:cstheme="minorHAnsi"/>
        </w:rPr>
        <w:t xml:space="preserve"> (assumed EU 28, including UK)</w:t>
      </w:r>
      <w:r w:rsidRPr="005F6B80">
        <w:rPr>
          <w:rFonts w:cstheme="minorHAnsi"/>
        </w:rPr>
        <w:t xml:space="preserve"> in 2020.  The energy consumption of equipment used in this sector for 2020 was </w:t>
      </w:r>
      <w:r w:rsidR="00AC2D30" w:rsidRPr="005F6B80">
        <w:rPr>
          <w:rFonts w:cstheme="minorHAnsi"/>
        </w:rPr>
        <w:t xml:space="preserve">9 </w:t>
      </w:r>
      <w:proofErr w:type="spellStart"/>
      <w:r w:rsidR="00AC2D30" w:rsidRPr="005F6B80">
        <w:rPr>
          <w:rFonts w:cstheme="minorHAnsi"/>
        </w:rPr>
        <w:t>TWh</w:t>
      </w:r>
      <w:proofErr w:type="spellEnd"/>
      <w:r w:rsidR="00AC2D30" w:rsidRPr="005F6B80">
        <w:rPr>
          <w:rFonts w:cstheme="minorHAnsi"/>
        </w:rPr>
        <w:t xml:space="preserve"> </w:t>
      </w:r>
      <w:r w:rsidR="00AC2D30">
        <w:rPr>
          <w:rFonts w:cstheme="minorHAnsi"/>
        </w:rPr>
        <w:t xml:space="preserve">for </w:t>
      </w:r>
      <w:r w:rsidRPr="005F6B80">
        <w:rPr>
          <w:rFonts w:cstheme="minorHAnsi"/>
        </w:rPr>
        <w:t xml:space="preserve">storage cabinets and </w:t>
      </w:r>
      <w:r w:rsidR="00AC2D30" w:rsidRPr="005F6B80">
        <w:rPr>
          <w:rFonts w:cstheme="minorHAnsi"/>
        </w:rPr>
        <w:t xml:space="preserve">28 </w:t>
      </w:r>
      <w:proofErr w:type="spellStart"/>
      <w:r w:rsidR="00AC2D30" w:rsidRPr="005F6B80">
        <w:rPr>
          <w:rFonts w:cstheme="minorHAnsi"/>
        </w:rPr>
        <w:lastRenderedPageBreak/>
        <w:t>TWh</w:t>
      </w:r>
      <w:proofErr w:type="spellEnd"/>
      <w:r w:rsidR="00AC2D30" w:rsidRPr="005F6B80">
        <w:rPr>
          <w:rFonts w:cstheme="minorHAnsi"/>
        </w:rPr>
        <w:t xml:space="preserve"> </w:t>
      </w:r>
      <w:r w:rsidR="00AC2D30">
        <w:rPr>
          <w:rFonts w:cstheme="minorHAnsi"/>
        </w:rPr>
        <w:t xml:space="preserve">for </w:t>
      </w:r>
      <w:r w:rsidRPr="005F6B80">
        <w:rPr>
          <w:rFonts w:cstheme="minorHAnsi"/>
        </w:rPr>
        <w:t xml:space="preserve">condensing units.  </w:t>
      </w:r>
      <w:r w:rsidR="006763A6">
        <w:rPr>
          <w:rFonts w:cstheme="minorHAnsi"/>
        </w:rPr>
        <w:t>However, c</w:t>
      </w:r>
      <w:r w:rsidRPr="005F6B80">
        <w:rPr>
          <w:rFonts w:cstheme="minorHAnsi"/>
        </w:rPr>
        <w:t>ondensing units are also likely to be used in other sectors such as retail.   The UK ha</w:t>
      </w:r>
      <w:r w:rsidR="00340340">
        <w:rPr>
          <w:rFonts w:cstheme="minorHAnsi"/>
        </w:rPr>
        <w:t>d</w:t>
      </w:r>
      <w:r w:rsidRPr="005F6B80">
        <w:rPr>
          <w:rFonts w:cstheme="minorHAnsi"/>
        </w:rPr>
        <w:t xml:space="preserve"> 14.2% of the population of the EU, therefore if we pro rata </w:t>
      </w:r>
      <w:r w:rsidR="00AC2D30">
        <w:rPr>
          <w:rFonts w:cstheme="minorHAnsi"/>
        </w:rPr>
        <w:t>based on population the</w:t>
      </w:r>
      <w:r w:rsidR="00AC2D30" w:rsidRPr="005F6B80">
        <w:rPr>
          <w:rFonts w:cstheme="minorHAnsi"/>
        </w:rPr>
        <w:t xml:space="preserve"> </w:t>
      </w:r>
      <w:r w:rsidRPr="005F6B80">
        <w:rPr>
          <w:rFonts w:cstheme="minorHAnsi"/>
        </w:rPr>
        <w:t xml:space="preserve">energy </w:t>
      </w:r>
      <w:r w:rsidR="00AC2D30">
        <w:rPr>
          <w:rFonts w:cstheme="minorHAnsi"/>
        </w:rPr>
        <w:t>consumption is</w:t>
      </w:r>
      <w:r w:rsidRPr="005F6B80">
        <w:rPr>
          <w:rFonts w:cstheme="minorHAnsi"/>
        </w:rPr>
        <w:t xml:space="preserve"> 1.28 </w:t>
      </w:r>
      <w:proofErr w:type="spellStart"/>
      <w:r w:rsidRPr="005F6B80">
        <w:rPr>
          <w:rFonts w:cstheme="minorHAnsi"/>
        </w:rPr>
        <w:t>TWh</w:t>
      </w:r>
      <w:proofErr w:type="spellEnd"/>
      <w:r w:rsidRPr="005F6B80">
        <w:rPr>
          <w:rFonts w:cstheme="minorHAnsi"/>
        </w:rPr>
        <w:t xml:space="preserve"> </w:t>
      </w:r>
      <w:r w:rsidR="00AC2D30">
        <w:rPr>
          <w:rFonts w:cstheme="minorHAnsi"/>
        </w:rPr>
        <w:t xml:space="preserve">per year </w:t>
      </w:r>
      <w:r w:rsidRPr="005F6B80">
        <w:rPr>
          <w:rFonts w:cstheme="minorHAnsi"/>
        </w:rPr>
        <w:t xml:space="preserve">for storage cabinets.  </w:t>
      </w:r>
    </w:p>
    <w:p w14:paraId="2F3D6B56" w14:textId="6CCD03CE" w:rsidR="00D81D30" w:rsidRPr="005777DA" w:rsidRDefault="00D81D30" w:rsidP="00D81D30">
      <w:pPr>
        <w:rPr>
          <w:rFonts w:cstheme="minorHAnsi"/>
        </w:rPr>
      </w:pPr>
      <w:r w:rsidRPr="005777DA">
        <w:rPr>
          <w:rFonts w:cstheme="minorHAnsi"/>
        </w:rPr>
        <w:t xml:space="preserve">According to modelled data based on telephone survey responses for the period 2014/15, the hospitality sector consumed 8.76 </w:t>
      </w:r>
      <w:proofErr w:type="spellStart"/>
      <w:r w:rsidRPr="005777DA">
        <w:rPr>
          <w:rFonts w:cstheme="minorHAnsi"/>
        </w:rPr>
        <w:t>TWh</w:t>
      </w:r>
      <w:proofErr w:type="spellEnd"/>
      <w:r w:rsidRPr="005777DA">
        <w:rPr>
          <w:rFonts w:cstheme="minorHAnsi"/>
        </w:rPr>
        <w:t xml:space="preserve"> of electrical energy (BEIS, 2016).  Hospitality </w:t>
      </w:r>
      <w:r w:rsidR="0075271C">
        <w:rPr>
          <w:rFonts w:cstheme="minorHAnsi"/>
        </w:rPr>
        <w:t>was defined as</w:t>
      </w:r>
      <w:r w:rsidR="0075271C" w:rsidRPr="005777DA">
        <w:rPr>
          <w:rFonts w:cstheme="minorHAnsi"/>
        </w:rPr>
        <w:t xml:space="preserve"> </w:t>
      </w:r>
      <w:r w:rsidRPr="005777DA">
        <w:rPr>
          <w:rFonts w:cstheme="minorHAnsi"/>
        </w:rPr>
        <w:t xml:space="preserve">cafes, hotels, pubs, </w:t>
      </w:r>
      <w:proofErr w:type="gramStart"/>
      <w:r w:rsidRPr="005777DA">
        <w:rPr>
          <w:rFonts w:cstheme="minorHAnsi"/>
        </w:rPr>
        <w:t>restaurants</w:t>
      </w:r>
      <w:proofErr w:type="gramEnd"/>
      <w:r w:rsidRPr="005777DA">
        <w:rPr>
          <w:rFonts w:cstheme="minorHAnsi"/>
        </w:rPr>
        <w:t xml:space="preserve"> and takeaways.  It did not include hospitality premises that were present in other building types and therefore underestimated the number of sites (97,100 as opposed to 257,000 according to </w:t>
      </w:r>
      <w:r w:rsidRPr="005777DA">
        <w:rPr>
          <w:rFonts w:cstheme="minorHAnsi"/>
        </w:rPr>
        <w:fldChar w:fldCharType="begin"/>
      </w:r>
      <w:r w:rsidRPr="005777DA">
        <w:rPr>
          <w:rFonts w:cstheme="minorHAnsi"/>
        </w:rPr>
        <w:instrText>ADDIN RW.CITE{{doc:610935608f0862d46be0428e SKMEnviros 2014}}</w:instrText>
      </w:r>
      <w:r w:rsidRPr="005777DA">
        <w:rPr>
          <w:rFonts w:cstheme="minorHAnsi"/>
        </w:rPr>
        <w:fldChar w:fldCharType="separate"/>
      </w:r>
      <w:r w:rsidR="00052D1B" w:rsidRPr="00052D1B">
        <w:rPr>
          <w:rFonts w:ascii="Calibri" w:hAnsi="Calibri" w:cs="Calibri"/>
          <w:bCs/>
          <w:lang w:val="en-US"/>
        </w:rPr>
        <w:t xml:space="preserve">SKM Enviros </w:t>
      </w:r>
      <w:r w:rsidR="00A86373">
        <w:rPr>
          <w:rFonts w:ascii="Calibri" w:hAnsi="Calibri" w:cs="Calibri"/>
          <w:bCs/>
          <w:lang w:val="en-US"/>
        </w:rPr>
        <w:t>(</w:t>
      </w:r>
      <w:r w:rsidR="00052D1B" w:rsidRPr="00052D1B">
        <w:rPr>
          <w:rFonts w:ascii="Calibri" w:hAnsi="Calibri" w:cs="Calibri"/>
          <w:bCs/>
          <w:lang w:val="en-US"/>
        </w:rPr>
        <w:t>2014)</w:t>
      </w:r>
      <w:r w:rsidRPr="005777DA">
        <w:rPr>
          <w:rFonts w:cstheme="minorHAnsi"/>
        </w:rPr>
        <w:fldChar w:fldCharType="end"/>
      </w:r>
      <w:r w:rsidRPr="005777DA">
        <w:rPr>
          <w:rFonts w:cstheme="minorHAnsi"/>
        </w:rPr>
        <w:t>.  The largest sub sector for cooled storage was pubs which accounted for 70%</w:t>
      </w:r>
      <w:r w:rsidR="00B72FC9">
        <w:rPr>
          <w:rFonts w:cstheme="minorHAnsi"/>
        </w:rPr>
        <w:t xml:space="preserve"> (</w:t>
      </w:r>
      <w:r w:rsidR="00B72FC9" w:rsidRPr="005777DA">
        <w:rPr>
          <w:rFonts w:cstheme="minorHAnsi"/>
        </w:rPr>
        <w:t>BEIS, 2016</w:t>
      </w:r>
      <w:r w:rsidR="00B72FC9">
        <w:rPr>
          <w:rFonts w:cstheme="minorHAnsi"/>
        </w:rPr>
        <w:t>)</w:t>
      </w:r>
      <w:r w:rsidRPr="005777DA">
        <w:rPr>
          <w:rFonts w:cstheme="minorHAnsi"/>
        </w:rPr>
        <w:t xml:space="preserve">.  Cooled storage accounted for 1.35 </w:t>
      </w:r>
      <w:proofErr w:type="spellStart"/>
      <w:r w:rsidRPr="005777DA">
        <w:rPr>
          <w:rFonts w:cstheme="minorHAnsi"/>
        </w:rPr>
        <w:t>TWh</w:t>
      </w:r>
      <w:proofErr w:type="spellEnd"/>
      <w:r w:rsidRPr="005777DA">
        <w:rPr>
          <w:rFonts w:cstheme="minorHAnsi"/>
        </w:rPr>
        <w:t xml:space="preserve"> of energy consumption (15%).  This value is 5% higher than storage cabinets </w:t>
      </w:r>
      <w:r w:rsidR="00BD57BC">
        <w:rPr>
          <w:rFonts w:cstheme="minorHAnsi"/>
        </w:rPr>
        <w:t>reported in</w:t>
      </w:r>
      <w:r w:rsidRPr="005777DA">
        <w:rPr>
          <w:rFonts w:cstheme="minorHAnsi"/>
        </w:rPr>
        <w:t xml:space="preserve"> </w:t>
      </w:r>
      <w:r w:rsidR="0075271C" w:rsidRPr="005777DA">
        <w:rPr>
          <w:rFonts w:ascii="Calibri" w:hAnsi="Calibri" w:cs="Calibri"/>
          <w:bCs/>
          <w:lang w:val="en-US"/>
        </w:rPr>
        <w:t>Kemna et al</w:t>
      </w:r>
      <w:r w:rsidR="0075271C" w:rsidRPr="005777DA">
        <w:rPr>
          <w:rFonts w:cstheme="minorHAnsi"/>
        </w:rPr>
        <w:t xml:space="preserve"> </w:t>
      </w:r>
      <w:r w:rsidRPr="005777DA">
        <w:rPr>
          <w:rFonts w:cstheme="minorHAnsi"/>
        </w:rPr>
        <w:fldChar w:fldCharType="begin"/>
      </w:r>
      <w:r w:rsidRPr="005777DA">
        <w:rPr>
          <w:rFonts w:cstheme="minorHAnsi"/>
        </w:rPr>
        <w:instrText>ADDIN RW.CITE{{doc:60d481b78f08277b972e6f68 Kemna,René 2021}}</w:instrText>
      </w:r>
      <w:r w:rsidRPr="005777DA">
        <w:rPr>
          <w:rFonts w:cstheme="minorHAnsi"/>
        </w:rPr>
        <w:fldChar w:fldCharType="separate"/>
      </w:r>
      <w:r w:rsidR="00530792" w:rsidRPr="00530792">
        <w:rPr>
          <w:rFonts w:ascii="Calibri" w:hAnsi="Calibri" w:cs="Calibri"/>
          <w:bCs/>
          <w:lang w:val="en-US"/>
        </w:rPr>
        <w:t>(Kemna et al.</w:t>
      </w:r>
      <w:r w:rsidR="00A86373">
        <w:rPr>
          <w:rFonts w:ascii="Calibri" w:hAnsi="Calibri" w:cs="Calibri"/>
          <w:bCs/>
          <w:lang w:val="en-US"/>
        </w:rPr>
        <w:t>,</w:t>
      </w:r>
      <w:r w:rsidR="00530792" w:rsidRPr="00530792">
        <w:rPr>
          <w:rFonts w:ascii="Calibri" w:hAnsi="Calibri" w:cs="Calibri"/>
          <w:bCs/>
          <w:lang w:val="en-US"/>
        </w:rPr>
        <w:t xml:space="preserve"> 2021)</w:t>
      </w:r>
      <w:r w:rsidRPr="005777DA">
        <w:rPr>
          <w:rFonts w:cstheme="minorHAnsi"/>
        </w:rPr>
        <w:fldChar w:fldCharType="end"/>
      </w:r>
      <w:r w:rsidRPr="005777DA">
        <w:rPr>
          <w:rFonts w:cstheme="minorHAnsi"/>
        </w:rPr>
        <w:t>.</w:t>
      </w:r>
    </w:p>
    <w:p w14:paraId="624B908A" w14:textId="1017EC73" w:rsidR="00D81D30" w:rsidRDefault="00D81D30" w:rsidP="00D81D30">
      <w:pPr>
        <w:rPr>
          <w:rFonts w:cstheme="minorHAnsi"/>
        </w:rPr>
      </w:pPr>
      <w:r w:rsidRPr="00D300B4">
        <w:rPr>
          <w:rFonts w:cstheme="minorHAnsi"/>
        </w:rPr>
        <w:t>According to a study by</w:t>
      </w:r>
      <w:r w:rsidR="005049CE">
        <w:rPr>
          <w:rFonts w:cstheme="minorHAnsi"/>
        </w:rPr>
        <w:t xml:space="preserve"> </w:t>
      </w:r>
      <w:r w:rsidRPr="00D300B4">
        <w:rPr>
          <w:rFonts w:cstheme="minorHAnsi"/>
        </w:rPr>
        <w:fldChar w:fldCharType="begin"/>
      </w:r>
      <w:r w:rsidRPr="00D300B4">
        <w:rPr>
          <w:rFonts w:cstheme="minorHAnsi"/>
        </w:rPr>
        <w:instrText>ADDIN RW.CITE{{doc:610935608f0862d46be0428e SKMEnviros 2014}}</w:instrText>
      </w:r>
      <w:r w:rsidRPr="00D300B4">
        <w:rPr>
          <w:rFonts w:cstheme="minorHAnsi"/>
        </w:rPr>
        <w:fldChar w:fldCharType="separate"/>
      </w:r>
      <w:r w:rsidR="00530792" w:rsidRPr="00530792">
        <w:rPr>
          <w:rFonts w:ascii="Calibri" w:hAnsi="Calibri" w:cs="Calibri"/>
          <w:bCs/>
          <w:lang w:val="en-US"/>
        </w:rPr>
        <w:t>(SKM Enviros</w:t>
      </w:r>
      <w:r w:rsidR="00A86373">
        <w:rPr>
          <w:rFonts w:ascii="Calibri" w:hAnsi="Calibri" w:cs="Calibri"/>
          <w:bCs/>
          <w:lang w:val="en-US"/>
        </w:rPr>
        <w:t>,</w:t>
      </w:r>
      <w:r w:rsidR="00530792" w:rsidRPr="00530792">
        <w:rPr>
          <w:rFonts w:ascii="Calibri" w:hAnsi="Calibri" w:cs="Calibri"/>
          <w:bCs/>
          <w:lang w:val="en-US"/>
        </w:rPr>
        <w:t xml:space="preserve"> 2014)</w:t>
      </w:r>
      <w:r w:rsidRPr="00D300B4">
        <w:rPr>
          <w:rFonts w:cstheme="minorHAnsi"/>
        </w:rPr>
        <w:fldChar w:fldCharType="end"/>
      </w:r>
      <w:r w:rsidRPr="00D300B4">
        <w:rPr>
          <w:rFonts w:cstheme="minorHAnsi"/>
        </w:rPr>
        <w:t xml:space="preserve"> there were 1 MtCO</w:t>
      </w:r>
      <w:r w:rsidRPr="00BD57BC">
        <w:rPr>
          <w:rFonts w:cstheme="minorHAnsi"/>
          <w:vertAlign w:val="subscript"/>
        </w:rPr>
        <w:t>2e</w:t>
      </w:r>
      <w:r w:rsidRPr="00D300B4">
        <w:rPr>
          <w:rFonts w:cstheme="minorHAnsi"/>
        </w:rPr>
        <w:t xml:space="preserve"> emissions from beverage refrigeration in food service.  Based on the electricity emission factor given this means that 1 </w:t>
      </w:r>
      <w:proofErr w:type="spellStart"/>
      <w:r w:rsidRPr="00D300B4">
        <w:rPr>
          <w:rFonts w:cstheme="minorHAnsi"/>
        </w:rPr>
        <w:t>TWh</w:t>
      </w:r>
      <w:proofErr w:type="spellEnd"/>
      <w:r w:rsidRPr="00D300B4">
        <w:rPr>
          <w:rFonts w:cstheme="minorHAnsi"/>
        </w:rPr>
        <w:t xml:space="preserve"> was consumed.  </w:t>
      </w:r>
      <w:r w:rsidR="00BD57BC">
        <w:rPr>
          <w:rFonts w:cstheme="minorHAnsi"/>
        </w:rPr>
        <w:t xml:space="preserve">It was reported that </w:t>
      </w:r>
      <w:r w:rsidRPr="00D300B4">
        <w:rPr>
          <w:rFonts w:cstheme="minorHAnsi"/>
        </w:rPr>
        <w:t>80% of the emissions in food service and retail are from bottle coolers.</w:t>
      </w:r>
    </w:p>
    <w:p w14:paraId="07F4F738" w14:textId="3F24DB68" w:rsidR="00D81D30" w:rsidRDefault="00D81D30" w:rsidP="00D81D30">
      <w:pPr>
        <w:rPr>
          <w:rFonts w:ascii="Calibri" w:hAnsi="Calibri" w:cs="Calibri"/>
          <w:bCs/>
          <w:lang w:val="en-US"/>
        </w:rPr>
      </w:pPr>
      <w:bookmarkStart w:id="5" w:name="_Hlk83121530"/>
      <w:r>
        <w:rPr>
          <w:rFonts w:cstheme="minorHAnsi"/>
        </w:rPr>
        <w:t xml:space="preserve">Data from a </w:t>
      </w:r>
      <w:r w:rsidR="00B72FC9">
        <w:rPr>
          <w:rFonts w:cstheme="minorHAnsi"/>
        </w:rPr>
        <w:t xml:space="preserve">database provided by the </w:t>
      </w:r>
      <w:r>
        <w:rPr>
          <w:rFonts w:cstheme="minorHAnsi"/>
        </w:rPr>
        <w:t xml:space="preserve">Food </w:t>
      </w:r>
      <w:r w:rsidR="00B72FC9">
        <w:rPr>
          <w:rFonts w:cstheme="minorHAnsi"/>
        </w:rPr>
        <w:t>E</w:t>
      </w:r>
      <w:r>
        <w:rPr>
          <w:rFonts w:cstheme="minorHAnsi"/>
        </w:rPr>
        <w:t xml:space="preserve">quipment </w:t>
      </w:r>
      <w:r w:rsidR="00B72FC9">
        <w:rPr>
          <w:rFonts w:cstheme="minorHAnsi"/>
        </w:rPr>
        <w:t xml:space="preserve">Association (FEA) </w:t>
      </w:r>
      <w:r w:rsidR="0075271C">
        <w:rPr>
          <w:rFonts w:cstheme="minorHAnsi"/>
        </w:rPr>
        <w:t xml:space="preserve">was used to estimate the energy consumed by all the refrigeration equipment in the UK’s food service industry.  This database contains </w:t>
      </w:r>
      <w:r>
        <w:rPr>
          <w:rFonts w:cstheme="minorHAnsi"/>
        </w:rPr>
        <w:t xml:space="preserve">up to date data on number of facilities and </w:t>
      </w:r>
      <w:r w:rsidR="0075271C">
        <w:rPr>
          <w:rFonts w:cstheme="minorHAnsi"/>
        </w:rPr>
        <w:t xml:space="preserve">estimates </w:t>
      </w:r>
      <w:r>
        <w:rPr>
          <w:rFonts w:cstheme="minorHAnsi"/>
        </w:rPr>
        <w:t xml:space="preserve">the number of </w:t>
      </w:r>
      <w:r w:rsidR="00214A67">
        <w:rPr>
          <w:rFonts w:cstheme="minorHAnsi"/>
        </w:rPr>
        <w:t xml:space="preserve">items of </w:t>
      </w:r>
      <w:r>
        <w:rPr>
          <w:rFonts w:cstheme="minorHAnsi"/>
        </w:rPr>
        <w:t>refrigerated equipment in each facility.</w:t>
      </w:r>
      <w:r w:rsidR="00A86373">
        <w:rPr>
          <w:rFonts w:cstheme="minorHAnsi"/>
        </w:rPr>
        <w:t xml:space="preserve">  </w:t>
      </w:r>
      <w:r>
        <w:rPr>
          <w:rFonts w:cstheme="minorHAnsi"/>
        </w:rPr>
        <w:t xml:space="preserve">The database showed an average of 19.2 refrigerated appliances per site. This was much larger than the 5.8 refrigerated appliances per site provided by </w:t>
      </w:r>
      <w:r w:rsidRPr="003A2E66">
        <w:rPr>
          <w:rFonts w:ascii="Calibri" w:hAnsi="Calibri" w:cs="Calibri"/>
          <w:bCs/>
          <w:lang w:val="en-US"/>
        </w:rPr>
        <w:t>(ICF, 2011</w:t>
      </w:r>
      <w:r>
        <w:rPr>
          <w:rFonts w:ascii="Calibri" w:hAnsi="Calibri" w:cs="Calibri"/>
          <w:bCs/>
          <w:lang w:val="en-US"/>
        </w:rPr>
        <w:t xml:space="preserve">).  Using European stock data for appliances from </w:t>
      </w:r>
      <w:r>
        <w:rPr>
          <w:rFonts w:ascii="Calibri" w:hAnsi="Calibri" w:cs="Calibri"/>
          <w:bCs/>
          <w:lang w:val="en-US"/>
        </w:rPr>
        <w:fldChar w:fldCharType="begin"/>
      </w:r>
      <w:r>
        <w:rPr>
          <w:rFonts w:ascii="Calibri" w:hAnsi="Calibri" w:cs="Calibri"/>
          <w:bCs/>
          <w:lang w:val="en-US"/>
        </w:rPr>
        <w:instrText>ADDIN RW.CITE{{doc:60d481b78f08277b972e6f68 Kemna,René 2021}}</w:instrText>
      </w:r>
      <w:r>
        <w:rPr>
          <w:rFonts w:ascii="Calibri" w:hAnsi="Calibri" w:cs="Calibri"/>
          <w:bCs/>
          <w:lang w:val="en-US"/>
        </w:rPr>
        <w:fldChar w:fldCharType="separate"/>
      </w:r>
      <w:r w:rsidR="007425E3" w:rsidRPr="007425E3">
        <w:rPr>
          <w:rFonts w:ascii="Calibri" w:hAnsi="Calibri" w:cs="Calibri"/>
          <w:lang w:val="en-US"/>
        </w:rPr>
        <w:t>(Kemna et al.</w:t>
      </w:r>
      <w:r w:rsidR="00A86373">
        <w:rPr>
          <w:rFonts w:ascii="Calibri" w:hAnsi="Calibri" w:cs="Calibri"/>
          <w:lang w:val="en-US"/>
        </w:rPr>
        <w:t>,</w:t>
      </w:r>
      <w:r w:rsidR="007425E3" w:rsidRPr="007425E3">
        <w:rPr>
          <w:rFonts w:ascii="Calibri" w:hAnsi="Calibri" w:cs="Calibri"/>
          <w:lang w:val="en-US"/>
        </w:rPr>
        <w:t xml:space="preserve"> 2021)</w:t>
      </w:r>
      <w:r>
        <w:rPr>
          <w:rFonts w:ascii="Calibri" w:hAnsi="Calibri" w:cs="Calibri"/>
          <w:bCs/>
          <w:lang w:val="en-US"/>
        </w:rPr>
        <w:fldChar w:fldCharType="end"/>
      </w:r>
      <w:r>
        <w:rPr>
          <w:rFonts w:ascii="Calibri" w:hAnsi="Calibri" w:cs="Calibri"/>
          <w:bCs/>
          <w:lang w:val="en-US"/>
        </w:rPr>
        <w:t xml:space="preserve"> and </w:t>
      </w:r>
      <w:r>
        <w:rPr>
          <w:rFonts w:ascii="Calibri" w:hAnsi="Calibri" w:cs="Calibri"/>
          <w:bCs/>
          <w:lang w:val="en-US"/>
        </w:rPr>
        <w:fldChar w:fldCharType="begin"/>
      </w:r>
      <w:r>
        <w:rPr>
          <w:rFonts w:ascii="Calibri" w:hAnsi="Calibri" w:cs="Calibri"/>
          <w:bCs/>
          <w:lang w:val="en-US"/>
        </w:rPr>
        <w:instrText>ADDIN RW.CITE{{doc:614098b08f08519b73f7d9bb EC 2015}}</w:instrText>
      </w:r>
      <w:r>
        <w:rPr>
          <w:rFonts w:ascii="Calibri" w:hAnsi="Calibri" w:cs="Calibri"/>
          <w:bCs/>
          <w:lang w:val="en-US"/>
        </w:rPr>
        <w:fldChar w:fldCharType="separate"/>
      </w:r>
      <w:r w:rsidR="00530792" w:rsidRPr="00530792">
        <w:rPr>
          <w:rFonts w:ascii="Calibri" w:hAnsi="Calibri" w:cs="Calibri"/>
          <w:lang w:val="en-US"/>
        </w:rPr>
        <w:t>(EC 2015)</w:t>
      </w:r>
      <w:r>
        <w:rPr>
          <w:rFonts w:ascii="Calibri" w:hAnsi="Calibri" w:cs="Calibri"/>
          <w:bCs/>
          <w:lang w:val="en-US"/>
        </w:rPr>
        <w:fldChar w:fldCharType="end"/>
      </w:r>
      <w:r>
        <w:rPr>
          <w:rFonts w:ascii="Calibri" w:hAnsi="Calibri" w:cs="Calibri"/>
          <w:bCs/>
          <w:lang w:val="en-US"/>
        </w:rPr>
        <w:t xml:space="preserve"> and correcting based on population and energy consumptions for appliance from a number of sources </w:t>
      </w:r>
      <w:r>
        <w:rPr>
          <w:rFonts w:ascii="Calibri" w:hAnsi="Calibri" w:cs="Calibri"/>
          <w:bCs/>
          <w:lang w:val="en-US"/>
        </w:rPr>
        <w:fldChar w:fldCharType="begin"/>
      </w:r>
      <w:r>
        <w:rPr>
          <w:rFonts w:ascii="Calibri" w:hAnsi="Calibri" w:cs="Calibri"/>
          <w:bCs/>
          <w:lang w:val="en-US"/>
        </w:rPr>
        <w:instrText>ADDIN RW.CITE{{doc:610935608f0862d46be0428e SKMEnviros 2014}}</w:instrText>
      </w:r>
      <w:r>
        <w:rPr>
          <w:rFonts w:ascii="Calibri" w:hAnsi="Calibri" w:cs="Calibri"/>
          <w:bCs/>
          <w:lang w:val="en-US"/>
        </w:rPr>
        <w:fldChar w:fldCharType="separate"/>
      </w:r>
      <w:r w:rsidR="00530792" w:rsidRPr="00530792">
        <w:rPr>
          <w:rFonts w:ascii="Calibri" w:hAnsi="Calibri" w:cs="Calibri"/>
          <w:lang w:val="en-US"/>
        </w:rPr>
        <w:t>(SKM Enviros</w:t>
      </w:r>
      <w:r w:rsidR="00A86373">
        <w:rPr>
          <w:rFonts w:ascii="Calibri" w:hAnsi="Calibri" w:cs="Calibri"/>
          <w:lang w:val="en-US"/>
        </w:rPr>
        <w:t>,</w:t>
      </w:r>
      <w:r w:rsidR="00530792" w:rsidRPr="00530792">
        <w:rPr>
          <w:rFonts w:ascii="Calibri" w:hAnsi="Calibri" w:cs="Calibri"/>
          <w:lang w:val="en-US"/>
        </w:rPr>
        <w:t xml:space="preserve"> 2014)</w:t>
      </w:r>
      <w:r>
        <w:rPr>
          <w:rFonts w:ascii="Calibri" w:hAnsi="Calibri" w:cs="Calibri"/>
          <w:bCs/>
          <w:lang w:val="en-US"/>
        </w:rPr>
        <w:fldChar w:fldCharType="end"/>
      </w:r>
      <w:r>
        <w:rPr>
          <w:rFonts w:ascii="Calibri" w:hAnsi="Calibri" w:cs="Calibri"/>
          <w:bCs/>
          <w:lang w:val="en-US"/>
        </w:rPr>
        <w:t xml:space="preserve">, </w:t>
      </w:r>
      <w:r>
        <w:rPr>
          <w:rFonts w:ascii="Calibri" w:hAnsi="Calibri" w:cs="Calibri"/>
          <w:bCs/>
          <w:lang w:val="en-US"/>
        </w:rPr>
        <w:fldChar w:fldCharType="begin"/>
      </w:r>
      <w:r>
        <w:rPr>
          <w:rFonts w:ascii="Calibri" w:hAnsi="Calibri" w:cs="Calibri"/>
          <w:bCs/>
          <w:lang w:val="en-US"/>
        </w:rPr>
        <w:instrText>ADDIN RW.CITE{{doc:611cb4dd8f0802f11eaf4422 Mudie,Samantha 2016}}</w:instrText>
      </w:r>
      <w:r>
        <w:rPr>
          <w:rFonts w:ascii="Calibri" w:hAnsi="Calibri" w:cs="Calibri"/>
          <w:bCs/>
          <w:lang w:val="en-US"/>
        </w:rPr>
        <w:fldChar w:fldCharType="separate"/>
      </w:r>
      <w:r w:rsidR="00530792" w:rsidRPr="00530792">
        <w:rPr>
          <w:rFonts w:ascii="Calibri" w:hAnsi="Calibri" w:cs="Calibri"/>
          <w:lang w:val="en-US"/>
        </w:rPr>
        <w:t>(Mudie et al.</w:t>
      </w:r>
      <w:r w:rsidR="00C82D66">
        <w:rPr>
          <w:rFonts w:ascii="Calibri" w:hAnsi="Calibri" w:cs="Calibri"/>
          <w:lang w:val="en-US"/>
        </w:rPr>
        <w:t>,</w:t>
      </w:r>
      <w:r w:rsidR="00530792" w:rsidRPr="00530792">
        <w:rPr>
          <w:rFonts w:ascii="Calibri" w:hAnsi="Calibri" w:cs="Calibri"/>
          <w:lang w:val="en-US"/>
        </w:rPr>
        <w:t xml:space="preserve"> 2016)</w:t>
      </w:r>
      <w:r>
        <w:rPr>
          <w:rFonts w:ascii="Calibri" w:hAnsi="Calibri" w:cs="Calibri"/>
          <w:bCs/>
          <w:lang w:val="en-US"/>
        </w:rPr>
        <w:fldChar w:fldCharType="end"/>
      </w:r>
      <w:r>
        <w:rPr>
          <w:rFonts w:ascii="Calibri" w:hAnsi="Calibri" w:cs="Calibri"/>
          <w:bCs/>
          <w:lang w:val="en-US"/>
        </w:rPr>
        <w:t xml:space="preserve">, </w:t>
      </w:r>
      <w:r>
        <w:rPr>
          <w:rFonts w:ascii="Calibri" w:hAnsi="Calibri" w:cs="Calibri"/>
          <w:bCs/>
          <w:lang w:val="en-US"/>
        </w:rPr>
        <w:fldChar w:fldCharType="begin"/>
      </w:r>
      <w:r>
        <w:rPr>
          <w:rFonts w:ascii="Calibri" w:hAnsi="Calibri" w:cs="Calibri"/>
          <w:bCs/>
          <w:lang w:val="en-US"/>
        </w:rPr>
        <w:instrText>ADDIN RW.CITE{{doc:6141e8208f0841ef45596221 Fisher,D 2012}}</w:instrText>
      </w:r>
      <w:r>
        <w:rPr>
          <w:rFonts w:ascii="Calibri" w:hAnsi="Calibri" w:cs="Calibri"/>
          <w:bCs/>
          <w:lang w:val="en-US"/>
        </w:rPr>
        <w:fldChar w:fldCharType="separate"/>
      </w:r>
      <w:r w:rsidR="00530792" w:rsidRPr="00530792">
        <w:rPr>
          <w:rFonts w:ascii="Calibri" w:hAnsi="Calibri" w:cs="Calibri"/>
          <w:lang w:val="en-US"/>
        </w:rPr>
        <w:t>(Fisher et al.</w:t>
      </w:r>
      <w:r w:rsidR="00013818">
        <w:rPr>
          <w:rFonts w:ascii="Calibri" w:hAnsi="Calibri" w:cs="Calibri"/>
          <w:lang w:val="en-US"/>
        </w:rPr>
        <w:t>,</w:t>
      </w:r>
      <w:r w:rsidR="00530792" w:rsidRPr="00530792">
        <w:rPr>
          <w:rFonts w:ascii="Calibri" w:hAnsi="Calibri" w:cs="Calibri"/>
          <w:lang w:val="en-US"/>
        </w:rPr>
        <w:t xml:space="preserve"> 2012)</w:t>
      </w:r>
      <w:r>
        <w:rPr>
          <w:rFonts w:ascii="Calibri" w:hAnsi="Calibri" w:cs="Calibri"/>
          <w:bCs/>
          <w:lang w:val="en-US"/>
        </w:rPr>
        <w:fldChar w:fldCharType="end"/>
      </w:r>
      <w:r>
        <w:rPr>
          <w:rFonts w:ascii="Calibri" w:hAnsi="Calibri" w:cs="Calibri"/>
          <w:bCs/>
          <w:lang w:val="en-US"/>
        </w:rPr>
        <w:t xml:space="preserve">, </w:t>
      </w:r>
      <w:r>
        <w:rPr>
          <w:rFonts w:ascii="Calibri" w:hAnsi="Calibri" w:cs="Calibri"/>
          <w:bCs/>
          <w:lang w:val="en-US"/>
        </w:rPr>
        <w:fldChar w:fldCharType="begin"/>
      </w:r>
      <w:r>
        <w:rPr>
          <w:rFonts w:ascii="Calibri" w:hAnsi="Calibri" w:cs="Calibri"/>
          <w:bCs/>
          <w:lang w:val="en-US"/>
        </w:rPr>
        <w:instrText>ADDIN RW.CITE{{doc:6141e8cc8f0805f76676f68d Pentland 2021}}</w:instrText>
      </w:r>
      <w:r>
        <w:rPr>
          <w:rFonts w:ascii="Calibri" w:hAnsi="Calibri" w:cs="Calibri"/>
          <w:bCs/>
          <w:lang w:val="en-US"/>
        </w:rPr>
        <w:fldChar w:fldCharType="separate"/>
      </w:r>
      <w:r w:rsidR="00530792" w:rsidRPr="00530792">
        <w:rPr>
          <w:rFonts w:ascii="Calibri" w:hAnsi="Calibri" w:cs="Calibri"/>
          <w:lang w:val="en-US"/>
        </w:rPr>
        <w:t>(Pentland 2021)</w:t>
      </w:r>
      <w:r>
        <w:rPr>
          <w:rFonts w:ascii="Calibri" w:hAnsi="Calibri" w:cs="Calibri"/>
          <w:bCs/>
          <w:lang w:val="en-US"/>
        </w:rPr>
        <w:fldChar w:fldCharType="end"/>
      </w:r>
      <w:r w:rsidR="00BD57BC">
        <w:rPr>
          <w:rFonts w:ascii="Calibri" w:hAnsi="Calibri" w:cs="Calibri"/>
          <w:bCs/>
          <w:lang w:val="en-US"/>
        </w:rPr>
        <w:t xml:space="preserve"> emissions </w:t>
      </w:r>
      <w:r>
        <w:rPr>
          <w:rFonts w:ascii="Calibri" w:hAnsi="Calibri" w:cs="Calibri"/>
          <w:bCs/>
          <w:lang w:val="en-US"/>
        </w:rPr>
        <w:t xml:space="preserve">of 7.89 </w:t>
      </w:r>
      <w:proofErr w:type="spellStart"/>
      <w:r>
        <w:rPr>
          <w:rFonts w:ascii="Calibri" w:hAnsi="Calibri" w:cs="Calibri"/>
          <w:bCs/>
          <w:lang w:val="en-US"/>
        </w:rPr>
        <w:t>TWh</w:t>
      </w:r>
      <w:proofErr w:type="spellEnd"/>
      <w:r>
        <w:rPr>
          <w:rFonts w:ascii="Calibri" w:hAnsi="Calibri" w:cs="Calibri"/>
          <w:bCs/>
          <w:lang w:val="en-US"/>
        </w:rPr>
        <w:t xml:space="preserve"> </w:t>
      </w:r>
      <w:r w:rsidR="0012454B">
        <w:rPr>
          <w:rFonts w:ascii="Calibri" w:hAnsi="Calibri" w:cs="Calibri"/>
          <w:bCs/>
          <w:lang w:val="en-US"/>
        </w:rPr>
        <w:t xml:space="preserve">were </w:t>
      </w:r>
      <w:r>
        <w:rPr>
          <w:rFonts w:ascii="Calibri" w:hAnsi="Calibri" w:cs="Calibri"/>
          <w:bCs/>
          <w:lang w:val="en-US"/>
        </w:rPr>
        <w:t>calculated.</w:t>
      </w:r>
      <w:r w:rsidR="00C82D66">
        <w:rPr>
          <w:rFonts w:ascii="Calibri" w:hAnsi="Calibri" w:cs="Calibri"/>
          <w:bCs/>
          <w:lang w:val="en-US"/>
        </w:rPr>
        <w:t xml:space="preserve">  Conversations are still ongoing with the FEA to try and establish a more accurate estimation.</w:t>
      </w:r>
    </w:p>
    <w:p w14:paraId="5A30E2B2" w14:textId="112FF28E" w:rsidR="00BD57BC" w:rsidRPr="00921DBF" w:rsidRDefault="00BD57BC" w:rsidP="00BB3490">
      <w:pPr>
        <w:rPr>
          <w:rFonts w:ascii="Calibri" w:hAnsi="Calibri" w:cs="Calibri"/>
          <w:bCs/>
          <w:lang w:val="en-US"/>
        </w:rPr>
      </w:pPr>
      <w:r>
        <w:rPr>
          <w:rFonts w:ascii="Calibri" w:hAnsi="Calibri" w:cs="Calibri"/>
          <w:bCs/>
          <w:lang w:val="en-US"/>
        </w:rPr>
        <w:t>There is a wide range of emissions values reported</w:t>
      </w:r>
      <w:r w:rsidR="00370B25">
        <w:rPr>
          <w:rFonts w:ascii="Calibri" w:hAnsi="Calibri" w:cs="Calibri"/>
          <w:bCs/>
          <w:lang w:val="en-US"/>
        </w:rPr>
        <w:t xml:space="preserve"> which </w:t>
      </w:r>
      <w:r>
        <w:rPr>
          <w:rFonts w:ascii="Calibri" w:hAnsi="Calibri" w:cs="Calibri"/>
          <w:bCs/>
          <w:lang w:val="en-US"/>
        </w:rPr>
        <w:t xml:space="preserve">reflects the </w:t>
      </w:r>
      <w:r w:rsidR="00370B25">
        <w:rPr>
          <w:rFonts w:ascii="Calibri" w:hAnsi="Calibri" w:cs="Calibri"/>
          <w:bCs/>
          <w:lang w:val="en-US"/>
        </w:rPr>
        <w:t xml:space="preserve">disparate </w:t>
      </w:r>
      <w:r w:rsidR="0012454B">
        <w:rPr>
          <w:rFonts w:ascii="Calibri" w:hAnsi="Calibri" w:cs="Calibri"/>
          <w:bCs/>
          <w:lang w:val="en-US"/>
        </w:rPr>
        <w:t xml:space="preserve">nature </w:t>
      </w:r>
      <w:r w:rsidR="00370B25">
        <w:rPr>
          <w:rFonts w:ascii="Calibri" w:hAnsi="Calibri" w:cs="Calibri"/>
          <w:bCs/>
          <w:lang w:val="en-US"/>
        </w:rPr>
        <w:t xml:space="preserve">of food service.  The emissions </w:t>
      </w:r>
      <w:proofErr w:type="gramStart"/>
      <w:r w:rsidR="00370B25">
        <w:rPr>
          <w:rFonts w:ascii="Calibri" w:hAnsi="Calibri" w:cs="Calibri"/>
          <w:bCs/>
          <w:lang w:val="en-US"/>
        </w:rPr>
        <w:t>were considered to be</w:t>
      </w:r>
      <w:proofErr w:type="gramEnd"/>
      <w:r w:rsidR="00370B25">
        <w:rPr>
          <w:rFonts w:ascii="Calibri" w:hAnsi="Calibri" w:cs="Calibri"/>
          <w:bCs/>
          <w:lang w:val="en-US"/>
        </w:rPr>
        <w:t xml:space="preserve"> between 4.16 and 7.89 </w:t>
      </w:r>
      <w:proofErr w:type="spellStart"/>
      <w:r w:rsidR="00370B25">
        <w:rPr>
          <w:rFonts w:ascii="Calibri" w:hAnsi="Calibri" w:cs="Calibri"/>
          <w:bCs/>
          <w:lang w:val="en-US"/>
        </w:rPr>
        <w:t>TWh</w:t>
      </w:r>
      <w:proofErr w:type="spellEnd"/>
      <w:r w:rsidR="00370B25">
        <w:rPr>
          <w:rFonts w:ascii="Calibri" w:hAnsi="Calibri" w:cs="Calibri"/>
          <w:bCs/>
          <w:lang w:val="en-US"/>
        </w:rPr>
        <w:t xml:space="preserve">.  </w:t>
      </w:r>
      <w:r w:rsidR="00BB3490">
        <w:rPr>
          <w:rFonts w:ascii="Calibri" w:hAnsi="Calibri" w:cs="Calibri"/>
          <w:bCs/>
          <w:lang w:val="en-US"/>
        </w:rPr>
        <w:t xml:space="preserve">  A medium confidence that the emissions fall within these values was </w:t>
      </w:r>
      <w:r w:rsidR="00D355A6">
        <w:rPr>
          <w:rFonts w:ascii="Calibri" w:hAnsi="Calibri" w:cs="Calibri"/>
          <w:bCs/>
          <w:lang w:val="en-US"/>
        </w:rPr>
        <w:t>used</w:t>
      </w:r>
      <w:r w:rsidR="00BB3490">
        <w:rPr>
          <w:rFonts w:ascii="Calibri" w:hAnsi="Calibri" w:cs="Calibri"/>
          <w:bCs/>
          <w:lang w:val="en-US"/>
        </w:rPr>
        <w:t>.</w:t>
      </w:r>
    </w:p>
    <w:bookmarkEnd w:id="5"/>
    <w:p w14:paraId="11A42793" w14:textId="77777777" w:rsidR="00D81D30" w:rsidRDefault="00D81D30" w:rsidP="00D81D30">
      <w:pPr>
        <w:pStyle w:val="Heading3"/>
      </w:pPr>
      <w:r>
        <w:t>Transport refrigeration</w:t>
      </w:r>
    </w:p>
    <w:p w14:paraId="618EE713" w14:textId="77777777" w:rsidR="00D81D30" w:rsidRPr="006D15F2" w:rsidRDefault="00D81D30" w:rsidP="00D81D30">
      <w:r>
        <w:t>This sector is split into land and marine refrigeration.  It only considers domestic transport and therefore does not include transport outside of the UK border.</w:t>
      </w:r>
    </w:p>
    <w:p w14:paraId="4243B857" w14:textId="2F64E33F" w:rsidR="00D81D30" w:rsidRPr="006D15F2" w:rsidRDefault="00D81D30" w:rsidP="00D81D30">
      <w:pPr>
        <w:pStyle w:val="Heading3"/>
        <w:numPr>
          <w:ilvl w:val="0"/>
          <w:numId w:val="0"/>
        </w:numPr>
        <w:ind w:left="720" w:hanging="720"/>
      </w:pPr>
      <w:r>
        <w:t>Road transport</w:t>
      </w:r>
    </w:p>
    <w:p w14:paraId="3B03C5C9" w14:textId="170BE9D2" w:rsidR="00D81D30" w:rsidRDefault="00D81D30" w:rsidP="00D81D30">
      <w:pPr>
        <w:rPr>
          <w:rFonts w:ascii="Calibri" w:hAnsi="Calibri" w:cs="Calibri"/>
          <w:bCs/>
          <w:lang w:val="en-US"/>
        </w:rPr>
      </w:pPr>
      <w:r w:rsidRPr="002678D2">
        <w:t>In this sector the refrigeration systems can be powered directly from the vehicle</w:t>
      </w:r>
      <w:r w:rsidR="001315EA">
        <w:t>’</w:t>
      </w:r>
      <w:r w:rsidRPr="002678D2">
        <w:t xml:space="preserve">s main engine, or from a separate </w:t>
      </w:r>
      <w:r w:rsidR="001315EA" w:rsidRPr="002678D2">
        <w:t>diesel</w:t>
      </w:r>
      <w:r w:rsidR="001315EA">
        <w:t>-</w:t>
      </w:r>
      <w:r w:rsidRPr="002678D2">
        <w:t xml:space="preserve">powered auxiliary TRU.  TRUs are categorised in policy as Non-Road Mobile Machinery (NRMM), which means they have not been subject to the same regulation, or research into emissions and are also not included in emission estimates for the transport sector </w:t>
      </w:r>
      <w:r w:rsidRPr="002678D2">
        <w:rPr>
          <w:rFonts w:ascii="Calibri" w:hAnsi="Calibri" w:cs="Calibri"/>
          <w:bCs/>
          <w:lang w:val="en-US"/>
        </w:rPr>
        <w:t xml:space="preserve">(CCF, 2021).  </w:t>
      </w:r>
    </w:p>
    <w:p w14:paraId="1AC7843E" w14:textId="098FCA84" w:rsidR="00D81D30" w:rsidRPr="002678D2" w:rsidRDefault="00D81D30" w:rsidP="00D81D30">
      <w:pPr>
        <w:rPr>
          <w:rFonts w:ascii="Calibri" w:hAnsi="Calibri" w:cs="Calibri"/>
          <w:bCs/>
          <w:lang w:val="en-US"/>
        </w:rPr>
      </w:pPr>
      <w:r w:rsidRPr="002678D2">
        <w:rPr>
          <w:rFonts w:ascii="Calibri" w:hAnsi="Calibri" w:cs="Calibri"/>
          <w:bCs/>
          <w:lang w:val="en-US"/>
        </w:rPr>
        <w:t xml:space="preserve">According to </w:t>
      </w:r>
      <w:r w:rsidR="00D277A9">
        <w:rPr>
          <w:rFonts w:ascii="Calibri" w:hAnsi="Calibri" w:cs="Calibri"/>
          <w:bCs/>
          <w:lang w:val="en-US"/>
        </w:rPr>
        <w:t xml:space="preserve">CCF </w:t>
      </w:r>
      <w:r w:rsidRPr="002678D2">
        <w:rPr>
          <w:rFonts w:ascii="Calibri" w:hAnsi="Calibri" w:cs="Calibri"/>
          <w:bCs/>
          <w:lang w:val="en-US"/>
        </w:rPr>
        <w:t>(202</w:t>
      </w:r>
      <w:r w:rsidR="00013818">
        <w:rPr>
          <w:rFonts w:ascii="Calibri" w:hAnsi="Calibri" w:cs="Calibri"/>
          <w:bCs/>
          <w:lang w:val="en-US"/>
        </w:rPr>
        <w:t>1</w:t>
      </w:r>
      <w:r w:rsidRPr="002678D2">
        <w:rPr>
          <w:rFonts w:ascii="Calibri" w:hAnsi="Calibri" w:cs="Calibri"/>
          <w:bCs/>
          <w:lang w:val="en-US"/>
        </w:rPr>
        <w:t xml:space="preserve">) there is a lack of data, </w:t>
      </w:r>
      <w:proofErr w:type="gramStart"/>
      <w:r w:rsidRPr="002678D2">
        <w:rPr>
          <w:rFonts w:ascii="Calibri" w:hAnsi="Calibri" w:cs="Calibri"/>
          <w:bCs/>
          <w:lang w:val="en-US"/>
        </w:rPr>
        <w:t>e.g.</w:t>
      </w:r>
      <w:proofErr w:type="gramEnd"/>
      <w:r w:rsidRPr="002678D2">
        <w:rPr>
          <w:rFonts w:ascii="Calibri" w:hAnsi="Calibri" w:cs="Calibri"/>
          <w:bCs/>
          <w:lang w:val="en-US"/>
        </w:rPr>
        <w:t xml:space="preserve"> number of temperature controlled vehicles on the road and the emissions from these vehicles.  Although these vehicles are registered, there is no specific classification for </w:t>
      </w:r>
      <w:r w:rsidR="00013818" w:rsidRPr="002678D2">
        <w:rPr>
          <w:rFonts w:ascii="Calibri" w:hAnsi="Calibri" w:cs="Calibri"/>
          <w:bCs/>
          <w:lang w:val="en-US"/>
        </w:rPr>
        <w:t>temperature-controlled</w:t>
      </w:r>
      <w:r w:rsidRPr="002678D2">
        <w:rPr>
          <w:rFonts w:ascii="Calibri" w:hAnsi="Calibri" w:cs="Calibri"/>
          <w:bCs/>
          <w:lang w:val="en-US"/>
        </w:rPr>
        <w:t xml:space="preserve"> vehicles and a significant number on UK roads are not registered or operated by UK companies.</w:t>
      </w:r>
    </w:p>
    <w:p w14:paraId="05CA30D0" w14:textId="17B17BE1" w:rsidR="00D81D30" w:rsidRPr="002678D2" w:rsidRDefault="00D81D30" w:rsidP="00D81D30">
      <w:pPr>
        <w:rPr>
          <w:rFonts w:cstheme="minorHAnsi"/>
        </w:rPr>
      </w:pPr>
      <w:r w:rsidRPr="002678D2">
        <w:rPr>
          <w:rFonts w:cstheme="minorHAnsi"/>
        </w:rPr>
        <w:t xml:space="preserve">According to </w:t>
      </w:r>
      <w:r w:rsidRPr="002678D2">
        <w:rPr>
          <w:rFonts w:cstheme="minorHAnsi"/>
        </w:rPr>
        <w:fldChar w:fldCharType="begin"/>
      </w:r>
      <w:r w:rsidRPr="002678D2">
        <w:rPr>
          <w:rFonts w:cstheme="minorHAnsi"/>
        </w:rPr>
        <w:instrText>ADDIN RW.CITE{{doc:615c6c258f0880b79cdd6010 McGinlay,Jim 2004}}</w:instrText>
      </w:r>
      <w:r w:rsidRPr="002678D2">
        <w:rPr>
          <w:rFonts w:cstheme="minorHAnsi"/>
        </w:rPr>
        <w:fldChar w:fldCharType="separate"/>
      </w:r>
      <w:r w:rsidR="00530792" w:rsidRPr="00530792">
        <w:rPr>
          <w:rFonts w:ascii="Calibri" w:hAnsi="Calibri" w:cs="Calibri"/>
          <w:bCs/>
          <w:lang w:val="en-US"/>
        </w:rPr>
        <w:t>(McGinlay 2004)</w:t>
      </w:r>
      <w:r w:rsidRPr="002678D2">
        <w:rPr>
          <w:rFonts w:cstheme="minorHAnsi"/>
        </w:rPr>
        <w:fldChar w:fldCharType="end"/>
      </w:r>
      <w:r w:rsidRPr="002678D2">
        <w:rPr>
          <w:rFonts w:cstheme="minorHAnsi"/>
        </w:rPr>
        <w:t xml:space="preserve"> </w:t>
      </w:r>
      <w:r>
        <w:rPr>
          <w:rFonts w:cstheme="minorHAnsi"/>
        </w:rPr>
        <w:t xml:space="preserve">there </w:t>
      </w:r>
      <w:r w:rsidRPr="002678D2">
        <w:rPr>
          <w:rFonts w:cstheme="minorHAnsi"/>
        </w:rPr>
        <w:t xml:space="preserve">were 47,500 refrigeration units on HGVs with an average power rating of 11.5 kW and an annual usage of 2500 hours per year. </w:t>
      </w:r>
      <w:r w:rsidR="007504F0">
        <w:rPr>
          <w:rFonts w:cstheme="minorHAnsi"/>
        </w:rPr>
        <w:t>F</w:t>
      </w:r>
      <w:r w:rsidRPr="002678D2">
        <w:rPr>
          <w:rFonts w:cstheme="minorHAnsi"/>
        </w:rPr>
        <w:t xml:space="preserve">uel consumption is </w:t>
      </w:r>
      <w:r w:rsidR="00D277A9">
        <w:rPr>
          <w:rFonts w:cstheme="minorHAnsi"/>
        </w:rPr>
        <w:t xml:space="preserve">typically </w:t>
      </w:r>
      <w:r w:rsidRPr="002678D2">
        <w:rPr>
          <w:rFonts w:cstheme="minorHAnsi"/>
        </w:rPr>
        <w:t xml:space="preserve">3 l/hour when the unit is </w:t>
      </w:r>
      <w:r w:rsidR="007504F0">
        <w:rPr>
          <w:rFonts w:cstheme="minorHAnsi"/>
        </w:rPr>
        <w:t xml:space="preserve">at full capacity (100% compressor run time).  </w:t>
      </w:r>
      <w:r w:rsidRPr="002678D2">
        <w:rPr>
          <w:rFonts w:cstheme="minorHAnsi"/>
        </w:rPr>
        <w:t xml:space="preserve">  Based on carbon intensity of diesel fuel of 2.63 kg of CO</w:t>
      </w:r>
      <w:r w:rsidRPr="002678D2">
        <w:rPr>
          <w:rFonts w:cstheme="minorHAnsi"/>
          <w:vertAlign w:val="subscript"/>
        </w:rPr>
        <w:t>2</w:t>
      </w:r>
      <w:r w:rsidR="00AD1308">
        <w:rPr>
          <w:rFonts w:cstheme="minorHAnsi"/>
          <w:vertAlign w:val="subscript"/>
        </w:rPr>
        <w:t>e</w:t>
      </w:r>
      <w:r w:rsidRPr="002678D2">
        <w:rPr>
          <w:rFonts w:cstheme="minorHAnsi"/>
        </w:rPr>
        <w:t xml:space="preserve"> per litre this gives 0.7 MtCO</w:t>
      </w:r>
      <w:r w:rsidRPr="00CD4344">
        <w:rPr>
          <w:rFonts w:cstheme="minorHAnsi"/>
          <w:vertAlign w:val="subscript"/>
        </w:rPr>
        <w:t>2e</w:t>
      </w:r>
      <w:r w:rsidRPr="002678D2">
        <w:rPr>
          <w:rFonts w:cstheme="minorHAnsi"/>
        </w:rPr>
        <w:t xml:space="preserve"> for HGVs</w:t>
      </w:r>
      <w:r w:rsidR="00732652">
        <w:rPr>
          <w:rFonts w:cstheme="minorHAnsi"/>
        </w:rPr>
        <w:t xml:space="preserve"> (based on </w:t>
      </w:r>
      <w:r w:rsidR="000061FF">
        <w:rPr>
          <w:rFonts w:cstheme="minorHAnsi"/>
        </w:rPr>
        <w:t xml:space="preserve">estimated </w:t>
      </w:r>
      <w:r w:rsidR="00732652">
        <w:rPr>
          <w:rFonts w:cstheme="minorHAnsi"/>
        </w:rPr>
        <w:t>75% compressor run time)</w:t>
      </w:r>
      <w:r w:rsidRPr="002678D2">
        <w:rPr>
          <w:rFonts w:cstheme="minorHAnsi"/>
        </w:rPr>
        <w:t>.  This covers articulated and non-articulated goods vehicles</w:t>
      </w:r>
      <w:r w:rsidR="00D277A9">
        <w:rPr>
          <w:rFonts w:cstheme="minorHAnsi"/>
        </w:rPr>
        <w:t xml:space="preserve"> but</w:t>
      </w:r>
      <w:r w:rsidRPr="002678D2">
        <w:rPr>
          <w:rFonts w:cstheme="minorHAnsi"/>
        </w:rPr>
        <w:t xml:space="preserve"> does not include vans where the refrigeration system is likely driven </w:t>
      </w:r>
      <w:r>
        <w:rPr>
          <w:rFonts w:cstheme="minorHAnsi"/>
        </w:rPr>
        <w:t xml:space="preserve">by </w:t>
      </w:r>
      <w:r w:rsidRPr="002678D2">
        <w:rPr>
          <w:rFonts w:cstheme="minorHAnsi"/>
        </w:rPr>
        <w:t>the vehicle engine.</w:t>
      </w:r>
    </w:p>
    <w:p w14:paraId="67735F79" w14:textId="456B8D22" w:rsidR="00D81D30" w:rsidRDefault="00D277A9" w:rsidP="00D81D30">
      <w:pPr>
        <w:rPr>
          <w:rFonts w:cstheme="minorHAnsi"/>
          <w:color w:val="000000" w:themeColor="text1"/>
        </w:rPr>
      </w:pPr>
      <w:r>
        <w:rPr>
          <w:rFonts w:ascii="Calibri" w:hAnsi="Calibri" w:cs="Calibri"/>
          <w:bCs/>
          <w:lang w:val="en-US"/>
        </w:rPr>
        <w:t xml:space="preserve">CCF </w:t>
      </w:r>
      <w:r w:rsidR="00D81D30" w:rsidRPr="002678D2">
        <w:rPr>
          <w:rFonts w:ascii="Calibri" w:hAnsi="Calibri" w:cs="Calibri"/>
          <w:bCs/>
          <w:lang w:val="en-US"/>
        </w:rPr>
        <w:t>(2021) estimate that there are 30,000 refrigerated trailers</w:t>
      </w:r>
      <w:r w:rsidR="004B16CA">
        <w:rPr>
          <w:rFonts w:ascii="Calibri" w:hAnsi="Calibri" w:cs="Calibri"/>
          <w:bCs/>
          <w:lang w:val="en-US"/>
        </w:rPr>
        <w:t>/semi-trailers</w:t>
      </w:r>
      <w:r w:rsidR="00D81D30" w:rsidRPr="002678D2">
        <w:rPr>
          <w:rFonts w:ascii="Calibri" w:hAnsi="Calibri" w:cs="Calibri"/>
          <w:bCs/>
          <w:lang w:val="en-US"/>
        </w:rPr>
        <w:t xml:space="preserve"> (articulated HGVs) operated by UK based transport businesses</w:t>
      </w:r>
      <w:r w:rsidR="009F7DA7">
        <w:rPr>
          <w:rFonts w:ascii="Calibri" w:hAnsi="Calibri" w:cs="Calibri"/>
          <w:bCs/>
          <w:lang w:val="en-US"/>
        </w:rPr>
        <w:t xml:space="preserve"> and</w:t>
      </w:r>
      <w:r w:rsidR="00D81D30" w:rsidRPr="002678D2">
        <w:rPr>
          <w:rFonts w:ascii="Calibri" w:hAnsi="Calibri" w:cs="Calibri"/>
          <w:bCs/>
          <w:lang w:val="en-US"/>
        </w:rPr>
        <w:t xml:space="preserve"> a further 15,000 rigid (non-articulated) HGVs and 25,000 vans (LGVs).  If </w:t>
      </w:r>
      <w:r>
        <w:rPr>
          <w:rFonts w:ascii="Calibri" w:hAnsi="Calibri" w:cs="Calibri"/>
          <w:bCs/>
          <w:lang w:val="en-US"/>
        </w:rPr>
        <w:t xml:space="preserve">we </w:t>
      </w:r>
      <w:r w:rsidR="0014219D">
        <w:rPr>
          <w:rFonts w:ascii="Calibri" w:hAnsi="Calibri" w:cs="Calibri"/>
          <w:bCs/>
          <w:lang w:val="en-US"/>
        </w:rPr>
        <w:t xml:space="preserve">assume there are a total of </w:t>
      </w:r>
      <w:r w:rsidR="005E0202" w:rsidRPr="002678D2">
        <w:rPr>
          <w:rFonts w:ascii="Calibri" w:hAnsi="Calibri" w:cs="Calibri"/>
          <w:bCs/>
          <w:lang w:val="en-US"/>
        </w:rPr>
        <w:t>70,000</w:t>
      </w:r>
      <w:r w:rsidR="005E0202">
        <w:rPr>
          <w:rFonts w:ascii="Calibri" w:hAnsi="Calibri" w:cs="Calibri"/>
          <w:bCs/>
          <w:lang w:val="en-US"/>
        </w:rPr>
        <w:t xml:space="preserve"> TRUs and each TRU produces the same emissions as that calculated </w:t>
      </w:r>
      <w:r>
        <w:rPr>
          <w:rFonts w:ascii="Calibri" w:hAnsi="Calibri" w:cs="Calibri"/>
          <w:bCs/>
          <w:lang w:val="en-US"/>
        </w:rPr>
        <w:t>previously</w:t>
      </w:r>
      <w:r w:rsidR="00D81D30" w:rsidRPr="002678D2">
        <w:rPr>
          <w:rFonts w:ascii="Calibri" w:hAnsi="Calibri" w:cs="Calibri"/>
          <w:bCs/>
          <w:lang w:val="en-US"/>
        </w:rPr>
        <w:t xml:space="preserve">, this gives emissions of 1.02 </w:t>
      </w:r>
      <w:r w:rsidR="00D81D30" w:rsidRPr="002678D2">
        <w:rPr>
          <w:rFonts w:cstheme="minorHAnsi"/>
        </w:rPr>
        <w:t>MtCO</w:t>
      </w:r>
      <w:r w:rsidR="00D81D30" w:rsidRPr="00E75A6B">
        <w:rPr>
          <w:rFonts w:cstheme="minorHAnsi"/>
          <w:vertAlign w:val="subscript"/>
        </w:rPr>
        <w:t>2e</w:t>
      </w:r>
      <w:r w:rsidR="00D81D30" w:rsidRPr="002678D2">
        <w:rPr>
          <w:rFonts w:cstheme="minorHAnsi"/>
        </w:rPr>
        <w:t>.</w:t>
      </w:r>
      <w:r>
        <w:rPr>
          <w:rFonts w:ascii="Calibri" w:hAnsi="Calibri" w:cs="Calibri"/>
          <w:bCs/>
          <w:lang w:val="en-US"/>
        </w:rPr>
        <w:t xml:space="preserve">  This aligns relatively well with data from </w:t>
      </w:r>
      <w:r w:rsidR="00D81D30">
        <w:rPr>
          <w:rFonts w:cstheme="minorHAnsi"/>
        </w:rPr>
        <w:fldChar w:fldCharType="begin"/>
      </w:r>
      <w:r w:rsidR="00D81D30">
        <w:rPr>
          <w:rFonts w:cstheme="minorHAnsi"/>
        </w:rPr>
        <w:instrText>ADDIN RW.CITE{{doc:60e30c3f8f083a58087ca086 SKMEnviros 2011}}</w:instrText>
      </w:r>
      <w:r w:rsidR="00D81D30">
        <w:rPr>
          <w:rFonts w:cstheme="minorHAnsi"/>
        </w:rPr>
        <w:fldChar w:fldCharType="separate"/>
      </w:r>
      <w:r w:rsidR="00530792" w:rsidRPr="00530792">
        <w:rPr>
          <w:rFonts w:ascii="Calibri" w:hAnsi="Calibri" w:cs="Calibri"/>
          <w:bCs/>
          <w:lang w:val="en-US"/>
        </w:rPr>
        <w:t xml:space="preserve">SKM Enviros </w:t>
      </w:r>
      <w:r w:rsidR="00013818">
        <w:rPr>
          <w:rFonts w:ascii="Calibri" w:hAnsi="Calibri" w:cs="Calibri"/>
          <w:bCs/>
          <w:lang w:val="en-US"/>
        </w:rPr>
        <w:t>(</w:t>
      </w:r>
      <w:r w:rsidR="00530792" w:rsidRPr="00530792">
        <w:rPr>
          <w:rFonts w:ascii="Calibri" w:hAnsi="Calibri" w:cs="Calibri"/>
          <w:bCs/>
          <w:lang w:val="en-US"/>
        </w:rPr>
        <w:t>2011)</w:t>
      </w:r>
      <w:r w:rsidR="00D81D30">
        <w:rPr>
          <w:rFonts w:cstheme="minorHAnsi"/>
        </w:rPr>
        <w:fldChar w:fldCharType="end"/>
      </w:r>
      <w:r w:rsidR="00D81D30">
        <w:rPr>
          <w:rFonts w:cstheme="minorHAnsi"/>
        </w:rPr>
        <w:t xml:space="preserve"> </w:t>
      </w:r>
      <w:r>
        <w:rPr>
          <w:rFonts w:cstheme="minorHAnsi"/>
        </w:rPr>
        <w:t xml:space="preserve">who </w:t>
      </w:r>
      <w:r w:rsidR="00D81D30">
        <w:rPr>
          <w:rFonts w:cstheme="minorHAnsi"/>
        </w:rPr>
        <w:t xml:space="preserve">estimated 1.2 </w:t>
      </w:r>
      <w:r w:rsidR="00D81D30" w:rsidRPr="007E2423">
        <w:rPr>
          <w:rFonts w:cstheme="minorHAnsi"/>
        </w:rPr>
        <w:t>MtCO</w:t>
      </w:r>
      <w:r w:rsidR="00D81D30" w:rsidRPr="007E2423">
        <w:rPr>
          <w:rFonts w:cstheme="minorHAnsi"/>
          <w:vertAlign w:val="subscript"/>
        </w:rPr>
        <w:t>2</w:t>
      </w:r>
      <w:r w:rsidR="00D81D30">
        <w:rPr>
          <w:rFonts w:cstheme="minorHAnsi"/>
          <w:vertAlign w:val="subscript"/>
        </w:rPr>
        <w:t>e</w:t>
      </w:r>
      <w:r w:rsidR="00D81D30">
        <w:rPr>
          <w:rFonts w:cstheme="minorHAnsi"/>
        </w:rPr>
        <w:t xml:space="preserve"> of indirect emissions from refrigeration used in food </w:t>
      </w:r>
      <w:r w:rsidR="00D81D30" w:rsidRPr="001B6433">
        <w:rPr>
          <w:rFonts w:cstheme="minorHAnsi"/>
          <w:color w:val="000000" w:themeColor="text1"/>
        </w:rPr>
        <w:t>transport in 2010</w:t>
      </w:r>
      <w:r w:rsidR="00D81D30">
        <w:rPr>
          <w:rFonts w:cstheme="minorHAnsi"/>
          <w:color w:val="000000" w:themeColor="text1"/>
        </w:rPr>
        <w:t>.</w:t>
      </w:r>
    </w:p>
    <w:p w14:paraId="3CF7DA57" w14:textId="4A122CEA" w:rsidR="00CD4344" w:rsidRDefault="00CD4344" w:rsidP="00CD4344">
      <w:pPr>
        <w:rPr>
          <w:rFonts w:cstheme="minorHAnsi"/>
        </w:rPr>
      </w:pPr>
      <w:r>
        <w:rPr>
          <w:rFonts w:cstheme="minorHAnsi"/>
          <w:color w:val="000000" w:themeColor="text1"/>
        </w:rPr>
        <w:lastRenderedPageBreak/>
        <w:t xml:space="preserve">The emissions </w:t>
      </w:r>
      <w:proofErr w:type="gramStart"/>
      <w:r>
        <w:rPr>
          <w:rFonts w:cstheme="minorHAnsi"/>
          <w:color w:val="000000" w:themeColor="text1"/>
        </w:rPr>
        <w:t>were considered to be</w:t>
      </w:r>
      <w:proofErr w:type="gramEnd"/>
      <w:r>
        <w:rPr>
          <w:rFonts w:cstheme="minorHAnsi"/>
          <w:color w:val="000000" w:themeColor="text1"/>
        </w:rPr>
        <w:t xml:space="preserve"> between the 1.02 </w:t>
      </w:r>
      <w:r w:rsidRPr="007E2423">
        <w:rPr>
          <w:rFonts w:cstheme="minorHAnsi"/>
        </w:rPr>
        <w:t>MtCO</w:t>
      </w:r>
      <w:r w:rsidRPr="007E2423">
        <w:rPr>
          <w:rFonts w:cstheme="minorHAnsi"/>
          <w:vertAlign w:val="subscript"/>
        </w:rPr>
        <w:t>2</w:t>
      </w:r>
      <w:r>
        <w:rPr>
          <w:rFonts w:cstheme="minorHAnsi"/>
          <w:vertAlign w:val="subscript"/>
        </w:rPr>
        <w:t>e</w:t>
      </w:r>
      <w:r>
        <w:rPr>
          <w:rFonts w:cstheme="minorHAnsi"/>
        </w:rPr>
        <w:t xml:space="preserve"> </w:t>
      </w:r>
      <w:r>
        <w:rPr>
          <w:rFonts w:cstheme="minorHAnsi"/>
          <w:color w:val="000000" w:themeColor="text1"/>
        </w:rPr>
        <w:t xml:space="preserve">calculated using a number of different sources and 1.2 </w:t>
      </w:r>
      <w:r w:rsidRPr="007E2423">
        <w:rPr>
          <w:rFonts w:cstheme="minorHAnsi"/>
        </w:rPr>
        <w:t>MtCO</w:t>
      </w:r>
      <w:r w:rsidRPr="007E2423">
        <w:rPr>
          <w:rFonts w:cstheme="minorHAnsi"/>
          <w:vertAlign w:val="subscript"/>
        </w:rPr>
        <w:t>2</w:t>
      </w:r>
      <w:r>
        <w:rPr>
          <w:rFonts w:cstheme="minorHAnsi"/>
          <w:vertAlign w:val="subscript"/>
        </w:rPr>
        <w:t>e</w:t>
      </w:r>
      <w:r>
        <w:rPr>
          <w:rFonts w:cstheme="minorHAnsi"/>
        </w:rPr>
        <w:t xml:space="preserve"> estimated by </w:t>
      </w:r>
      <w:r>
        <w:rPr>
          <w:rFonts w:cstheme="minorHAnsi"/>
        </w:rPr>
        <w:fldChar w:fldCharType="begin"/>
      </w:r>
      <w:r>
        <w:rPr>
          <w:rFonts w:cstheme="minorHAnsi"/>
        </w:rPr>
        <w:instrText>ADDIN RW.CITE{{doc:60e30c3f8f083a58087ca086 SKMEnviros 2011}}</w:instrText>
      </w:r>
      <w:r>
        <w:rPr>
          <w:rFonts w:cstheme="minorHAnsi"/>
        </w:rPr>
        <w:fldChar w:fldCharType="separate"/>
      </w:r>
      <w:r w:rsidR="00530792" w:rsidRPr="00530792">
        <w:rPr>
          <w:rFonts w:ascii="Calibri" w:hAnsi="Calibri" w:cs="Calibri"/>
          <w:bCs/>
          <w:lang w:val="en-US"/>
        </w:rPr>
        <w:t>(SKM Enviros</w:t>
      </w:r>
      <w:r w:rsidR="00013818">
        <w:rPr>
          <w:rFonts w:ascii="Calibri" w:hAnsi="Calibri" w:cs="Calibri"/>
          <w:bCs/>
          <w:lang w:val="en-US"/>
        </w:rPr>
        <w:t>,</w:t>
      </w:r>
      <w:r w:rsidR="00530792" w:rsidRPr="00530792">
        <w:rPr>
          <w:rFonts w:ascii="Calibri" w:hAnsi="Calibri" w:cs="Calibri"/>
          <w:bCs/>
          <w:lang w:val="en-US"/>
        </w:rPr>
        <w:t xml:space="preserve"> 2011)</w:t>
      </w:r>
      <w:r>
        <w:rPr>
          <w:rFonts w:cstheme="minorHAnsi"/>
        </w:rPr>
        <w:fldChar w:fldCharType="end"/>
      </w:r>
      <w:r>
        <w:rPr>
          <w:rFonts w:cstheme="minorHAnsi"/>
        </w:rPr>
        <w:t xml:space="preserve">. A medium confidence was attributed </w:t>
      </w:r>
      <w:r w:rsidR="004F556C">
        <w:rPr>
          <w:rFonts w:cstheme="minorHAnsi"/>
        </w:rPr>
        <w:t>to</w:t>
      </w:r>
      <w:r>
        <w:rPr>
          <w:rFonts w:cstheme="minorHAnsi"/>
        </w:rPr>
        <w:t xml:space="preserve"> this data.</w:t>
      </w:r>
    </w:p>
    <w:p w14:paraId="5022938D" w14:textId="2AFCBD53" w:rsidR="00D81D30" w:rsidRDefault="00D81D30" w:rsidP="00CD4344">
      <w:r>
        <w:t>Marine refrigeration (fishing)</w:t>
      </w:r>
    </w:p>
    <w:p w14:paraId="598365F5" w14:textId="0CDF8889" w:rsidR="00D81D30" w:rsidRDefault="00D81D30" w:rsidP="00D81D30">
      <w:r>
        <w:t xml:space="preserve">According to </w:t>
      </w:r>
      <w:r>
        <w:fldChar w:fldCharType="begin"/>
      </w:r>
      <w:r>
        <w:instrText>ADDIN RW.CITE{{doc:6135fbb88f083f21e7362ebd Gabrielii,CeciliaH 2020}}</w:instrText>
      </w:r>
      <w:r>
        <w:fldChar w:fldCharType="separate"/>
      </w:r>
      <w:r w:rsidR="00530792" w:rsidRPr="00530792">
        <w:rPr>
          <w:rFonts w:ascii="Calibri" w:hAnsi="Calibri" w:cs="Calibri"/>
          <w:bCs/>
          <w:lang w:val="en-US"/>
        </w:rPr>
        <w:t xml:space="preserve">Gabrielii and Jafarzadeh </w:t>
      </w:r>
      <w:r w:rsidR="00013818">
        <w:rPr>
          <w:rFonts w:ascii="Calibri" w:hAnsi="Calibri" w:cs="Calibri"/>
          <w:bCs/>
          <w:lang w:val="en-US"/>
        </w:rPr>
        <w:t>(</w:t>
      </w:r>
      <w:r w:rsidR="00530792" w:rsidRPr="00530792">
        <w:rPr>
          <w:rFonts w:ascii="Calibri" w:hAnsi="Calibri" w:cs="Calibri"/>
          <w:bCs/>
          <w:lang w:val="en-US"/>
        </w:rPr>
        <w:t>2020)</w:t>
      </w:r>
      <w:r>
        <w:fldChar w:fldCharType="end"/>
      </w:r>
      <w:r>
        <w:t xml:space="preserve"> refrigeration is a small proportion of the GHG emissions of UK fisheries.  Primary production was in most cases the largest contributor with transport the largest contributor in some cases.   </w:t>
      </w:r>
    </w:p>
    <w:p w14:paraId="28DDD721" w14:textId="140D02D1" w:rsidR="004F556C" w:rsidRDefault="00D81D30" w:rsidP="00D81D30">
      <w:pPr>
        <w:rPr>
          <w:rFonts w:cstheme="minorHAnsi"/>
        </w:rPr>
      </w:pPr>
      <w:r>
        <w:t xml:space="preserve">According to </w:t>
      </w:r>
      <w:r w:rsidR="0094225E">
        <w:t>the National Atmospheric Emissions Inventory (</w:t>
      </w:r>
      <w:r>
        <w:t>NAEI</w:t>
      </w:r>
      <w:r w:rsidR="0094225E">
        <w:t>)</w:t>
      </w:r>
      <w:r>
        <w:t xml:space="preserve"> fishing vessels emitted 0.78 </w:t>
      </w:r>
      <w:r w:rsidRPr="007E2423">
        <w:rPr>
          <w:rFonts w:cstheme="minorHAnsi"/>
        </w:rPr>
        <w:t>MtCO</w:t>
      </w:r>
      <w:r w:rsidRPr="007E2423">
        <w:rPr>
          <w:rFonts w:cstheme="minorHAnsi"/>
          <w:vertAlign w:val="subscript"/>
        </w:rPr>
        <w:t>2</w:t>
      </w:r>
      <w:r>
        <w:rPr>
          <w:rFonts w:cstheme="minorHAnsi"/>
          <w:vertAlign w:val="subscript"/>
        </w:rPr>
        <w:t>e</w:t>
      </w:r>
      <w:r>
        <w:rPr>
          <w:rFonts w:cstheme="minorHAnsi"/>
        </w:rPr>
        <w:t xml:space="preserve"> in 2019 due to their fuel use.  It is unknown what proportion of this is used for refrigeration. </w:t>
      </w:r>
      <w:r w:rsidR="00A035C9">
        <w:t>How</w:t>
      </w:r>
      <w:r w:rsidR="000061FF">
        <w:t>e</w:t>
      </w:r>
      <w:r w:rsidR="00A035C9">
        <w:t>ver, in</w:t>
      </w:r>
      <w:r w:rsidR="00A035C9" w:rsidRPr="006D15F2">
        <w:t xml:space="preserve"> a study on Norwegian seafood products</w:t>
      </w:r>
      <w:r w:rsidR="00A035C9">
        <w:t xml:space="preserve"> </w:t>
      </w:r>
      <w:r w:rsidR="00A035C9" w:rsidRPr="006D15F2">
        <w:fldChar w:fldCharType="begin"/>
      </w:r>
      <w:r w:rsidR="00A035C9" w:rsidRPr="006D15F2">
        <w:instrText>ADDIN RW.CITE{{doc:611674188f086916d9b05f9b Ziegler,Friederike 2013}}</w:instrText>
      </w:r>
      <w:r w:rsidR="00A035C9" w:rsidRPr="006D15F2">
        <w:fldChar w:fldCharType="separate"/>
      </w:r>
      <w:r w:rsidR="00A035C9" w:rsidRPr="00530792">
        <w:rPr>
          <w:rFonts w:ascii="Calibri" w:hAnsi="Calibri" w:cs="Calibri"/>
          <w:bCs/>
          <w:lang w:val="en-US"/>
        </w:rPr>
        <w:t>(Ziegler et al.</w:t>
      </w:r>
      <w:r w:rsidR="000061FF">
        <w:rPr>
          <w:rFonts w:ascii="Calibri" w:hAnsi="Calibri" w:cs="Calibri"/>
          <w:bCs/>
          <w:lang w:val="en-US"/>
        </w:rPr>
        <w:t>,</w:t>
      </w:r>
      <w:r w:rsidR="00A035C9" w:rsidRPr="00530792">
        <w:rPr>
          <w:rFonts w:ascii="Calibri" w:hAnsi="Calibri" w:cs="Calibri"/>
          <w:bCs/>
          <w:lang w:val="en-US"/>
        </w:rPr>
        <w:t xml:space="preserve"> 2013)</w:t>
      </w:r>
      <w:r w:rsidR="00A035C9" w:rsidRPr="006D15F2">
        <w:fldChar w:fldCharType="end"/>
      </w:r>
      <w:r w:rsidR="00A035C9" w:rsidRPr="006D15F2">
        <w:t xml:space="preserve">., fuel use </w:t>
      </w:r>
      <w:r w:rsidR="00A035C9">
        <w:t>accounted for</w:t>
      </w:r>
      <w:r w:rsidR="00A035C9" w:rsidRPr="006D15F2">
        <w:t xml:space="preserve"> 63% to 87% and refrigerant leakage 13% to 37% of total GHG emissions</w:t>
      </w:r>
      <w:r w:rsidR="000061FF">
        <w:rPr>
          <w:rFonts w:ascii="Calibri" w:hAnsi="Calibri" w:cs="Calibri"/>
          <w:bCs/>
          <w:lang w:val="en-US"/>
        </w:rPr>
        <w:t>.</w:t>
      </w:r>
      <w:r w:rsidR="00A035C9" w:rsidRPr="006D15F2">
        <w:t xml:space="preserve">  </w:t>
      </w:r>
    </w:p>
    <w:p w14:paraId="7D9FDDBF" w14:textId="731303DC" w:rsidR="00D81D30" w:rsidRPr="00D44210" w:rsidRDefault="004F556C" w:rsidP="00D81D30">
      <w:r>
        <w:rPr>
          <w:rFonts w:cstheme="minorHAnsi"/>
        </w:rPr>
        <w:t>It has not been possible to determine a value for the emissions of refrigeration from fishing vessels, however, it appears that this is small compared to that from road transport and therefore in this analysis has been ignored.</w:t>
      </w:r>
      <w:r w:rsidR="00D81D30">
        <w:rPr>
          <w:rFonts w:cstheme="minorHAnsi"/>
        </w:rPr>
        <w:t xml:space="preserve"> </w:t>
      </w:r>
    </w:p>
    <w:p w14:paraId="61E30C0B" w14:textId="77777777" w:rsidR="00D81D30" w:rsidRPr="000757E5" w:rsidRDefault="00D81D30" w:rsidP="00D81D30">
      <w:pPr>
        <w:pStyle w:val="Heading3"/>
      </w:pPr>
      <w:r>
        <w:t>Domestic (in the home)</w:t>
      </w:r>
    </w:p>
    <w:p w14:paraId="3667547A" w14:textId="1E4937B7" w:rsidR="00D81D30" w:rsidRDefault="00D81D30" w:rsidP="00594FC6">
      <w:pPr>
        <w:rPr>
          <w:rFonts w:cstheme="minorHAnsi"/>
        </w:rPr>
      </w:pPr>
      <w:r>
        <w:rPr>
          <w:rFonts w:cstheme="minorHAnsi"/>
        </w:rPr>
        <w:t>DUKES show</w:t>
      </w:r>
      <w:r w:rsidR="00B30923">
        <w:rPr>
          <w:rFonts w:cstheme="minorHAnsi"/>
        </w:rPr>
        <w:t>s</w:t>
      </w:r>
      <w:r>
        <w:rPr>
          <w:rFonts w:cstheme="minorHAnsi"/>
        </w:rPr>
        <w:t xml:space="preserve"> energy consumption from 4 types of domestic cold appliance</w:t>
      </w:r>
      <w:r w:rsidR="00B30923">
        <w:rPr>
          <w:rFonts w:cstheme="minorHAnsi"/>
        </w:rPr>
        <w:t>s</w:t>
      </w:r>
      <w:r>
        <w:rPr>
          <w:rFonts w:cstheme="minorHAnsi"/>
        </w:rPr>
        <w:t xml:space="preserve">.  These </w:t>
      </w:r>
      <w:r w:rsidR="0082084C">
        <w:rPr>
          <w:rFonts w:cstheme="minorHAnsi"/>
        </w:rPr>
        <w:t xml:space="preserve">were </w:t>
      </w:r>
      <w:r>
        <w:rPr>
          <w:rFonts w:cstheme="minorHAnsi"/>
        </w:rPr>
        <w:t>chest freezer</w:t>
      </w:r>
      <w:r w:rsidR="0082084C">
        <w:rPr>
          <w:rFonts w:cstheme="minorHAnsi"/>
        </w:rPr>
        <w:t>s</w:t>
      </w:r>
      <w:r>
        <w:rPr>
          <w:rFonts w:cstheme="minorHAnsi"/>
        </w:rPr>
        <w:t>, fridge-freezer</w:t>
      </w:r>
      <w:r w:rsidR="0082084C">
        <w:rPr>
          <w:rFonts w:cstheme="minorHAnsi"/>
        </w:rPr>
        <w:t>s</w:t>
      </w:r>
      <w:r>
        <w:rPr>
          <w:rFonts w:cstheme="minorHAnsi"/>
        </w:rPr>
        <w:t xml:space="preserve">, </w:t>
      </w:r>
      <w:proofErr w:type="gramStart"/>
      <w:r>
        <w:rPr>
          <w:rFonts w:cstheme="minorHAnsi"/>
        </w:rPr>
        <w:t>refrigerator</w:t>
      </w:r>
      <w:r w:rsidR="0082084C">
        <w:rPr>
          <w:rFonts w:cstheme="minorHAnsi"/>
        </w:rPr>
        <w:t>s</w:t>
      </w:r>
      <w:proofErr w:type="gramEnd"/>
      <w:r>
        <w:rPr>
          <w:rFonts w:cstheme="minorHAnsi"/>
        </w:rPr>
        <w:t xml:space="preserve"> and upright freezer</w:t>
      </w:r>
      <w:r w:rsidR="00A035C9">
        <w:rPr>
          <w:rFonts w:cstheme="minorHAnsi"/>
        </w:rPr>
        <w:t>s</w:t>
      </w:r>
      <w:r>
        <w:rPr>
          <w:rFonts w:cstheme="minorHAnsi"/>
        </w:rPr>
        <w:t xml:space="preserve"> </w:t>
      </w:r>
      <w:r>
        <w:rPr>
          <w:rFonts w:cstheme="minorHAnsi"/>
        </w:rPr>
        <w:fldChar w:fldCharType="begin"/>
      </w:r>
      <w:r>
        <w:rPr>
          <w:rFonts w:cstheme="minorHAnsi"/>
        </w:rPr>
        <w:instrText>ADDIN RW.CITE{{doc:60c763698f08355070f57f93 BEIS 2020}}</w:instrText>
      </w:r>
      <w:r>
        <w:rPr>
          <w:rFonts w:cstheme="minorHAnsi"/>
        </w:rPr>
        <w:fldChar w:fldCharType="separate"/>
      </w:r>
      <w:r w:rsidR="00530792" w:rsidRPr="00530792">
        <w:rPr>
          <w:rFonts w:ascii="Calibri" w:hAnsi="Calibri" w:cs="Calibri"/>
          <w:bCs/>
          <w:lang w:val="en-US"/>
        </w:rPr>
        <w:t>(BEIS 2020)</w:t>
      </w:r>
      <w:r>
        <w:rPr>
          <w:rFonts w:cstheme="minorHAnsi"/>
        </w:rPr>
        <w:fldChar w:fldCharType="end"/>
      </w:r>
      <w:r w:rsidRPr="00385B40">
        <w:rPr>
          <w:rFonts w:cstheme="minorHAnsi"/>
        </w:rPr>
        <w:t>.</w:t>
      </w:r>
      <w:r>
        <w:rPr>
          <w:rFonts w:cstheme="minorHAnsi"/>
        </w:rPr>
        <w:t xml:space="preserve">  The total energy consumption </w:t>
      </w:r>
      <w:r w:rsidR="00B30923">
        <w:rPr>
          <w:rFonts w:cstheme="minorHAnsi"/>
        </w:rPr>
        <w:t xml:space="preserve">for </w:t>
      </w:r>
      <w:r>
        <w:rPr>
          <w:rFonts w:cstheme="minorHAnsi"/>
        </w:rPr>
        <w:t xml:space="preserve">these appliances in 2019 was </w:t>
      </w:r>
      <w:r w:rsidRPr="00385B40">
        <w:rPr>
          <w:rFonts w:cstheme="minorHAnsi"/>
        </w:rPr>
        <w:t xml:space="preserve">10.75 </w:t>
      </w:r>
      <w:proofErr w:type="spellStart"/>
      <w:r w:rsidRPr="00385B40">
        <w:rPr>
          <w:rFonts w:cstheme="minorHAnsi"/>
        </w:rPr>
        <w:t>TWh</w:t>
      </w:r>
      <w:proofErr w:type="spellEnd"/>
      <w:r>
        <w:rPr>
          <w:rFonts w:cstheme="minorHAnsi"/>
        </w:rPr>
        <w:t>.</w:t>
      </w:r>
      <w:r w:rsidR="004F6268">
        <w:rPr>
          <w:rFonts w:cstheme="minorHAnsi"/>
        </w:rPr>
        <w:t xml:space="preserve">  As this data is direct and from Government statistics with no further analysis required, this value is given high confidence.</w:t>
      </w:r>
    </w:p>
    <w:p w14:paraId="0697D51D" w14:textId="2D63DB46" w:rsidR="00594FC6" w:rsidRPr="00DB1227" w:rsidRDefault="00D81D30" w:rsidP="00594FC6">
      <w:pPr>
        <w:rPr>
          <w:rFonts w:cstheme="minorHAnsi"/>
        </w:rPr>
      </w:pPr>
      <w:r w:rsidRPr="00DB1227">
        <w:rPr>
          <w:lang w:eastAsia="en-US"/>
        </w:rPr>
        <w:fldChar w:fldCharType="begin"/>
      </w:r>
      <w:r w:rsidRPr="00DB1227">
        <w:rPr>
          <w:lang w:eastAsia="en-US"/>
        </w:rPr>
        <w:instrText xml:space="preserve"> REF _Ref89417036 \h </w:instrText>
      </w:r>
      <w:r w:rsidRPr="00DB1227">
        <w:rPr>
          <w:lang w:eastAsia="en-US"/>
        </w:rPr>
      </w:r>
      <w:r w:rsidRPr="00DB1227">
        <w:rPr>
          <w:lang w:eastAsia="en-US"/>
        </w:rPr>
        <w:fldChar w:fldCharType="separate"/>
      </w:r>
      <w:r w:rsidR="004750BB" w:rsidRPr="003E0B18">
        <w:rPr>
          <w:b/>
          <w:sz w:val="20"/>
        </w:rPr>
        <w:t xml:space="preserve">Table </w:t>
      </w:r>
      <w:r w:rsidR="004750BB">
        <w:rPr>
          <w:b/>
          <w:noProof/>
          <w:sz w:val="20"/>
        </w:rPr>
        <w:t>1</w:t>
      </w:r>
      <w:r w:rsidRPr="00DB1227">
        <w:rPr>
          <w:lang w:eastAsia="en-US"/>
        </w:rPr>
        <w:fldChar w:fldCharType="end"/>
      </w:r>
      <w:r w:rsidR="00594FC6" w:rsidRPr="00DB1227">
        <w:rPr>
          <w:lang w:eastAsia="en-US"/>
        </w:rPr>
        <w:t xml:space="preserve"> shows the </w:t>
      </w:r>
      <w:r w:rsidRPr="00DB1227">
        <w:rPr>
          <w:lang w:eastAsia="en-US"/>
        </w:rPr>
        <w:t>refrigeration energy consumption in the cold chain sectors and the emissions based on 20</w:t>
      </w:r>
      <w:r w:rsidR="00433B63">
        <w:rPr>
          <w:lang w:eastAsia="en-US"/>
        </w:rPr>
        <w:t>19</w:t>
      </w:r>
      <w:r w:rsidRPr="00DB1227">
        <w:rPr>
          <w:lang w:eastAsia="en-US"/>
        </w:rPr>
        <w:t xml:space="preserve"> electrical grid </w:t>
      </w:r>
      <w:r w:rsidR="00DB1227" w:rsidRPr="00DB1227">
        <w:rPr>
          <w:lang w:eastAsia="en-US"/>
        </w:rPr>
        <w:t>carbon factors</w:t>
      </w:r>
      <w:r w:rsidR="00594FC6" w:rsidRPr="00DB1227">
        <w:rPr>
          <w:lang w:eastAsia="en-US"/>
        </w:rPr>
        <w:t>.</w:t>
      </w:r>
    </w:p>
    <w:p w14:paraId="09D763CC" w14:textId="77777777" w:rsidR="00F752E8" w:rsidRDefault="00F752E8" w:rsidP="00594FC6"/>
    <w:p w14:paraId="271C4DAC" w14:textId="77B10A5B" w:rsidR="00594FC6" w:rsidRPr="003E0B18" w:rsidRDefault="00594FC6" w:rsidP="00A14A92">
      <w:pPr>
        <w:overflowPunct/>
        <w:autoSpaceDE/>
        <w:autoSpaceDN/>
        <w:adjustRightInd/>
        <w:spacing w:after="0"/>
        <w:jc w:val="center"/>
        <w:textAlignment w:val="auto"/>
        <w:rPr>
          <w:b/>
          <w:sz w:val="20"/>
        </w:rPr>
      </w:pPr>
      <w:bookmarkStart w:id="6" w:name="_Ref89417036"/>
      <w:r w:rsidRPr="003E0B18">
        <w:rPr>
          <w:b/>
          <w:sz w:val="20"/>
        </w:rPr>
        <w:t xml:space="preserve">Table </w:t>
      </w:r>
      <w:r w:rsidR="004829BF" w:rsidRPr="003E0B18">
        <w:rPr>
          <w:b/>
          <w:sz w:val="20"/>
        </w:rPr>
        <w:fldChar w:fldCharType="begin"/>
      </w:r>
      <w:r w:rsidRPr="003E0B18">
        <w:rPr>
          <w:b/>
          <w:sz w:val="20"/>
        </w:rPr>
        <w:instrText xml:space="preserve"> SEQ Table \* ARABIC </w:instrText>
      </w:r>
      <w:r w:rsidR="004829BF" w:rsidRPr="003E0B18">
        <w:rPr>
          <w:b/>
          <w:sz w:val="20"/>
        </w:rPr>
        <w:fldChar w:fldCharType="separate"/>
      </w:r>
      <w:r w:rsidR="004750BB">
        <w:rPr>
          <w:b/>
          <w:noProof/>
          <w:sz w:val="20"/>
        </w:rPr>
        <w:t>1</w:t>
      </w:r>
      <w:r w:rsidR="004829BF" w:rsidRPr="003E0B18">
        <w:rPr>
          <w:b/>
          <w:noProof/>
          <w:sz w:val="20"/>
        </w:rPr>
        <w:fldChar w:fldCharType="end"/>
      </w:r>
      <w:bookmarkEnd w:id="6"/>
      <w:r w:rsidRPr="003E0B18">
        <w:rPr>
          <w:b/>
          <w:sz w:val="20"/>
        </w:rPr>
        <w:t>.</w:t>
      </w:r>
      <w:r w:rsidR="00954B0D">
        <w:rPr>
          <w:b/>
          <w:sz w:val="20"/>
        </w:rPr>
        <w:t xml:space="preserve"> </w:t>
      </w:r>
      <w:r w:rsidR="00D81D30">
        <w:rPr>
          <w:b/>
          <w:sz w:val="20"/>
        </w:rPr>
        <w:t>Energy consumption and emissions</w:t>
      </w:r>
      <w:r w:rsidRPr="003E0B18">
        <w:rPr>
          <w:b/>
          <w:sz w:val="20"/>
        </w:rPr>
        <w:t>.</w:t>
      </w:r>
    </w:p>
    <w:tbl>
      <w:tblPr>
        <w:tblStyle w:val="TableGrid"/>
        <w:tblW w:w="0" w:type="auto"/>
        <w:tblLook w:val="04A0" w:firstRow="1" w:lastRow="0" w:firstColumn="1" w:lastColumn="0" w:noHBand="0" w:noVBand="1"/>
      </w:tblPr>
      <w:tblGrid>
        <w:gridCol w:w="1669"/>
        <w:gridCol w:w="1681"/>
        <w:gridCol w:w="1194"/>
        <w:gridCol w:w="1314"/>
        <w:gridCol w:w="1818"/>
        <w:gridCol w:w="1340"/>
      </w:tblGrid>
      <w:tr w:rsidR="00D81D30" w:rsidRPr="008C1C71" w14:paraId="1699322B" w14:textId="77777777" w:rsidTr="00BB2FC9">
        <w:tc>
          <w:tcPr>
            <w:tcW w:w="1669" w:type="dxa"/>
          </w:tcPr>
          <w:p w14:paraId="7A9A5789" w14:textId="77777777" w:rsidR="00D81D30" w:rsidRPr="008C1C71" w:rsidRDefault="00D81D30" w:rsidP="00BB2FC9">
            <w:r w:rsidRPr="008C1C71">
              <w:t>Sector</w:t>
            </w:r>
          </w:p>
        </w:tc>
        <w:tc>
          <w:tcPr>
            <w:tcW w:w="1681" w:type="dxa"/>
          </w:tcPr>
          <w:p w14:paraId="0E1D138A" w14:textId="77777777" w:rsidR="00D81D30" w:rsidRPr="008C1C71" w:rsidRDefault="00D81D30" w:rsidP="00BB2FC9">
            <w:r w:rsidRPr="008C1C71">
              <w:t>Sub-sector</w:t>
            </w:r>
          </w:p>
        </w:tc>
        <w:tc>
          <w:tcPr>
            <w:tcW w:w="1194" w:type="dxa"/>
          </w:tcPr>
          <w:p w14:paraId="0C8356D9" w14:textId="77777777" w:rsidR="00D81D30" w:rsidRPr="008C1C71" w:rsidRDefault="00D81D30" w:rsidP="00BB2FC9">
            <w:r>
              <w:t>Energy (</w:t>
            </w:r>
            <w:proofErr w:type="spellStart"/>
            <w:r>
              <w:t>TWh</w:t>
            </w:r>
            <w:proofErr w:type="spellEnd"/>
            <w:r>
              <w:t>)</w:t>
            </w:r>
          </w:p>
        </w:tc>
        <w:tc>
          <w:tcPr>
            <w:tcW w:w="1314" w:type="dxa"/>
          </w:tcPr>
          <w:p w14:paraId="25A781C6" w14:textId="2B297915" w:rsidR="00D81D30" w:rsidRPr="008C1C71" w:rsidRDefault="000D4113" w:rsidP="00BB2FC9">
            <w:r>
              <w:t>E</w:t>
            </w:r>
            <w:r w:rsidR="00D81D30" w:rsidRPr="008C1C71">
              <w:t>missions (MtCO</w:t>
            </w:r>
            <w:r w:rsidR="00D81D30" w:rsidRPr="008C1C71">
              <w:rPr>
                <w:vertAlign w:val="subscript"/>
              </w:rPr>
              <w:t>2e</w:t>
            </w:r>
            <w:r w:rsidR="00D81D30" w:rsidRPr="008C1C71">
              <w:t>)</w:t>
            </w:r>
          </w:p>
        </w:tc>
        <w:tc>
          <w:tcPr>
            <w:tcW w:w="1818" w:type="dxa"/>
          </w:tcPr>
          <w:p w14:paraId="262A5296" w14:textId="77777777" w:rsidR="00D81D30" w:rsidRPr="008C1C71" w:rsidRDefault="00D81D30" w:rsidP="00BB2FC9">
            <w:r w:rsidRPr="008C1C71">
              <w:t>Reference</w:t>
            </w:r>
          </w:p>
        </w:tc>
        <w:tc>
          <w:tcPr>
            <w:tcW w:w="1340" w:type="dxa"/>
          </w:tcPr>
          <w:p w14:paraId="40AF0D2C" w14:textId="77777777" w:rsidR="00D81D30" w:rsidRPr="008C1C71" w:rsidRDefault="00D81D30" w:rsidP="00BB2FC9">
            <w:r>
              <w:t>Confidence</w:t>
            </w:r>
          </w:p>
        </w:tc>
      </w:tr>
      <w:tr w:rsidR="00D81D30" w:rsidRPr="008C1C71" w14:paraId="31AD620D" w14:textId="77777777" w:rsidTr="00BB2FC9">
        <w:tc>
          <w:tcPr>
            <w:tcW w:w="1669" w:type="dxa"/>
          </w:tcPr>
          <w:p w14:paraId="0E2665A7" w14:textId="77777777" w:rsidR="00D81D30" w:rsidRPr="008C1C71" w:rsidRDefault="00D81D30" w:rsidP="00BB2FC9">
            <w:r w:rsidRPr="008C1C71">
              <w:t>Agriculture and fisheries</w:t>
            </w:r>
          </w:p>
        </w:tc>
        <w:tc>
          <w:tcPr>
            <w:tcW w:w="1681" w:type="dxa"/>
          </w:tcPr>
          <w:p w14:paraId="72167CD3" w14:textId="77777777" w:rsidR="00D81D30" w:rsidRPr="008C1C71" w:rsidRDefault="00D81D30" w:rsidP="00BB2FC9"/>
        </w:tc>
        <w:tc>
          <w:tcPr>
            <w:tcW w:w="1194" w:type="dxa"/>
          </w:tcPr>
          <w:p w14:paraId="63BF9D97" w14:textId="77777777" w:rsidR="00D81D30" w:rsidRDefault="00D81D30" w:rsidP="00BB2FC9">
            <w:pPr>
              <w:rPr>
                <w:rFonts w:ascii="Calibri" w:hAnsi="Calibri" w:cs="Calibri"/>
                <w:bCs/>
                <w:lang w:val="en-US"/>
              </w:rPr>
            </w:pPr>
            <w:r>
              <w:rPr>
                <w:rFonts w:ascii="Calibri" w:hAnsi="Calibri" w:cs="Calibri"/>
                <w:bCs/>
                <w:lang w:val="en-US"/>
              </w:rPr>
              <w:t>0.4 - 0.44</w:t>
            </w:r>
          </w:p>
        </w:tc>
        <w:tc>
          <w:tcPr>
            <w:tcW w:w="1314" w:type="dxa"/>
          </w:tcPr>
          <w:p w14:paraId="490D9C45" w14:textId="77777777" w:rsidR="00D81D30" w:rsidRPr="008C1C71" w:rsidRDefault="00D81D30" w:rsidP="00BB2FC9">
            <w:r>
              <w:t>0.09-0.10</w:t>
            </w:r>
          </w:p>
        </w:tc>
        <w:tc>
          <w:tcPr>
            <w:tcW w:w="1818" w:type="dxa"/>
          </w:tcPr>
          <w:p w14:paraId="2A30EAEB" w14:textId="77777777" w:rsidR="00D81D30" w:rsidRDefault="00D81D30" w:rsidP="001A7671">
            <w:pPr>
              <w:jc w:val="left"/>
              <w:rPr>
                <w:rFonts w:cstheme="minorHAnsi"/>
                <w:bCs/>
                <w:lang w:val="en-US"/>
              </w:rPr>
            </w:pPr>
            <w:r>
              <w:rPr>
                <w:rFonts w:cstheme="minorHAnsi"/>
                <w:bCs/>
                <w:lang w:val="en-US"/>
              </w:rPr>
              <w:t xml:space="preserve">DUKES, 2019. </w:t>
            </w:r>
          </w:p>
          <w:p w14:paraId="31B109C5" w14:textId="28F7DD05" w:rsidR="00D81D30" w:rsidRPr="008C1C71" w:rsidRDefault="00D81D30" w:rsidP="001A7671">
            <w:pPr>
              <w:jc w:val="left"/>
            </w:pPr>
            <w:r w:rsidRPr="004F5EAC">
              <w:rPr>
                <w:rFonts w:cstheme="minorHAnsi"/>
                <w:bCs/>
                <w:lang w:val="en-US"/>
              </w:rPr>
              <w:t>SKM Enviros, 2011)</w:t>
            </w:r>
            <w:r>
              <w:rPr>
                <w:rFonts w:cstheme="minorHAnsi"/>
                <w:bCs/>
                <w:lang w:val="en-US"/>
              </w:rPr>
              <w:t xml:space="preserve">. </w:t>
            </w:r>
            <w:r w:rsidRPr="004F5EAC">
              <w:rPr>
                <w:rFonts w:cstheme="minorHAnsi"/>
                <w:bCs/>
                <w:lang w:val="en-US"/>
              </w:rPr>
              <w:t>Warwick, 2007</w:t>
            </w:r>
            <w:r>
              <w:rPr>
                <w:rFonts w:cstheme="minorHAnsi"/>
                <w:bCs/>
                <w:lang w:val="en-US"/>
              </w:rPr>
              <w:t xml:space="preserve">. </w:t>
            </w:r>
          </w:p>
        </w:tc>
        <w:tc>
          <w:tcPr>
            <w:tcW w:w="1340" w:type="dxa"/>
          </w:tcPr>
          <w:p w14:paraId="6FD0A095" w14:textId="77777777" w:rsidR="00D81D30" w:rsidRDefault="00D81D30" w:rsidP="00BB2FC9">
            <w:pPr>
              <w:rPr>
                <w:rFonts w:cstheme="minorHAnsi"/>
                <w:bCs/>
                <w:lang w:val="en-US"/>
              </w:rPr>
            </w:pPr>
            <w:r>
              <w:rPr>
                <w:rFonts w:cstheme="minorHAnsi"/>
                <w:bCs/>
                <w:lang w:val="en-US"/>
              </w:rPr>
              <w:t>High</w:t>
            </w:r>
          </w:p>
        </w:tc>
      </w:tr>
      <w:tr w:rsidR="00D81D30" w:rsidRPr="008C1C71" w14:paraId="2BB4E24C" w14:textId="77777777" w:rsidTr="00BB2FC9">
        <w:tc>
          <w:tcPr>
            <w:tcW w:w="1669" w:type="dxa"/>
          </w:tcPr>
          <w:p w14:paraId="6397522E" w14:textId="77777777" w:rsidR="00D81D30" w:rsidRPr="008C1C71" w:rsidRDefault="00D81D30" w:rsidP="00BB2FC9">
            <w:r>
              <w:t>Food and drink manufacture</w:t>
            </w:r>
          </w:p>
        </w:tc>
        <w:tc>
          <w:tcPr>
            <w:tcW w:w="1681" w:type="dxa"/>
          </w:tcPr>
          <w:p w14:paraId="3F389729" w14:textId="77777777" w:rsidR="00D81D30" w:rsidRPr="008C1C71" w:rsidRDefault="00D81D30" w:rsidP="00BB2FC9">
            <w:r>
              <w:t>Food manufacture</w:t>
            </w:r>
          </w:p>
        </w:tc>
        <w:tc>
          <w:tcPr>
            <w:tcW w:w="1194" w:type="dxa"/>
          </w:tcPr>
          <w:p w14:paraId="790BE1AC" w14:textId="77777777" w:rsidR="00D81D30" w:rsidRDefault="00D81D30" w:rsidP="00BB2FC9">
            <w:pPr>
              <w:rPr>
                <w:rFonts w:ascii="Calibri" w:hAnsi="Calibri" w:cs="Calibri"/>
                <w:bCs/>
                <w:lang w:val="en-US"/>
              </w:rPr>
            </w:pPr>
            <w:r>
              <w:rPr>
                <w:rFonts w:ascii="Calibri" w:hAnsi="Calibri" w:cs="Calibri"/>
                <w:bCs/>
                <w:lang w:val="en-US"/>
              </w:rPr>
              <w:t>2.49</w:t>
            </w:r>
          </w:p>
        </w:tc>
        <w:tc>
          <w:tcPr>
            <w:tcW w:w="1314" w:type="dxa"/>
          </w:tcPr>
          <w:p w14:paraId="57DD8542" w14:textId="77777777" w:rsidR="00D81D30" w:rsidRDefault="00D81D30" w:rsidP="00BB2FC9">
            <w:pPr>
              <w:rPr>
                <w:rFonts w:ascii="Calibri" w:hAnsi="Calibri" w:cs="Calibri"/>
                <w:bCs/>
                <w:lang w:val="en-US"/>
              </w:rPr>
            </w:pPr>
            <w:r>
              <w:rPr>
                <w:rFonts w:ascii="Calibri" w:hAnsi="Calibri" w:cs="Calibri"/>
                <w:bCs/>
                <w:lang w:val="en-US"/>
              </w:rPr>
              <w:t>0.55</w:t>
            </w:r>
          </w:p>
        </w:tc>
        <w:tc>
          <w:tcPr>
            <w:tcW w:w="1818" w:type="dxa"/>
          </w:tcPr>
          <w:p w14:paraId="684E25E4" w14:textId="77777777" w:rsidR="00D81D30" w:rsidRPr="001D5CFB" w:rsidRDefault="00D81D30" w:rsidP="001A7671">
            <w:pPr>
              <w:jc w:val="left"/>
              <w:rPr>
                <w:rFonts w:cstheme="minorHAnsi"/>
                <w:bCs/>
                <w:lang w:val="en-US"/>
              </w:rPr>
            </w:pPr>
            <w:r>
              <w:rPr>
                <w:rFonts w:cstheme="minorHAnsi"/>
                <w:bCs/>
                <w:lang w:val="en-US"/>
              </w:rPr>
              <w:t xml:space="preserve">DUKES, 2019. </w:t>
            </w:r>
          </w:p>
        </w:tc>
        <w:tc>
          <w:tcPr>
            <w:tcW w:w="1340" w:type="dxa"/>
          </w:tcPr>
          <w:p w14:paraId="191091C5" w14:textId="77777777" w:rsidR="00D81D30" w:rsidRDefault="00D81D30" w:rsidP="00BB2FC9">
            <w:pPr>
              <w:rPr>
                <w:rFonts w:cstheme="minorHAnsi"/>
                <w:bCs/>
                <w:lang w:val="en-US"/>
              </w:rPr>
            </w:pPr>
            <w:r>
              <w:rPr>
                <w:rFonts w:cstheme="minorHAnsi"/>
                <w:bCs/>
                <w:lang w:val="en-US"/>
              </w:rPr>
              <w:t>High</w:t>
            </w:r>
          </w:p>
        </w:tc>
      </w:tr>
      <w:tr w:rsidR="00D81D30" w:rsidRPr="008C1C71" w14:paraId="507B150B" w14:textId="77777777" w:rsidTr="00BB2FC9">
        <w:tc>
          <w:tcPr>
            <w:tcW w:w="1669" w:type="dxa"/>
          </w:tcPr>
          <w:p w14:paraId="555A4C22" w14:textId="77777777" w:rsidR="00D81D30" w:rsidRDefault="00D81D30" w:rsidP="00BB2FC9">
            <w:r>
              <w:t>Food and drink manufacture</w:t>
            </w:r>
          </w:p>
        </w:tc>
        <w:tc>
          <w:tcPr>
            <w:tcW w:w="1681" w:type="dxa"/>
          </w:tcPr>
          <w:p w14:paraId="04279BFB" w14:textId="77777777" w:rsidR="00D81D30" w:rsidRPr="008C1C71" w:rsidRDefault="00D81D30" w:rsidP="00BB2FC9">
            <w:r>
              <w:t>Drink manufacture</w:t>
            </w:r>
          </w:p>
        </w:tc>
        <w:tc>
          <w:tcPr>
            <w:tcW w:w="1194" w:type="dxa"/>
          </w:tcPr>
          <w:p w14:paraId="7E97A7AC" w14:textId="77777777" w:rsidR="00D81D30" w:rsidRDefault="00D81D30" w:rsidP="00BB2FC9">
            <w:pPr>
              <w:rPr>
                <w:rFonts w:ascii="Calibri" w:hAnsi="Calibri" w:cs="Calibri"/>
                <w:bCs/>
                <w:lang w:val="en-US"/>
              </w:rPr>
            </w:pPr>
            <w:r>
              <w:rPr>
                <w:rFonts w:ascii="Calibri" w:hAnsi="Calibri" w:cs="Calibri"/>
                <w:bCs/>
                <w:lang w:val="en-US"/>
              </w:rPr>
              <w:t>0.59</w:t>
            </w:r>
          </w:p>
        </w:tc>
        <w:tc>
          <w:tcPr>
            <w:tcW w:w="1314" w:type="dxa"/>
          </w:tcPr>
          <w:p w14:paraId="1B087A3B" w14:textId="77777777" w:rsidR="00D81D30" w:rsidRDefault="00D81D30" w:rsidP="00BB2FC9">
            <w:pPr>
              <w:rPr>
                <w:rFonts w:ascii="Calibri" w:hAnsi="Calibri" w:cs="Calibri"/>
                <w:bCs/>
                <w:lang w:val="en-US"/>
              </w:rPr>
            </w:pPr>
            <w:r>
              <w:rPr>
                <w:rFonts w:ascii="Calibri" w:hAnsi="Calibri" w:cs="Calibri"/>
                <w:bCs/>
                <w:lang w:val="en-US"/>
              </w:rPr>
              <w:t>0.13</w:t>
            </w:r>
          </w:p>
        </w:tc>
        <w:tc>
          <w:tcPr>
            <w:tcW w:w="1818" w:type="dxa"/>
          </w:tcPr>
          <w:p w14:paraId="2F45EFF1" w14:textId="77777777" w:rsidR="00D81D30" w:rsidRPr="001D5CFB" w:rsidRDefault="00D81D30" w:rsidP="001A7671">
            <w:pPr>
              <w:jc w:val="left"/>
              <w:rPr>
                <w:rFonts w:cstheme="minorHAnsi"/>
                <w:bCs/>
                <w:lang w:val="en-US"/>
              </w:rPr>
            </w:pPr>
            <w:r>
              <w:rPr>
                <w:rFonts w:cstheme="minorHAnsi"/>
                <w:bCs/>
                <w:lang w:val="en-US"/>
              </w:rPr>
              <w:t xml:space="preserve">DUKES, 2019. </w:t>
            </w:r>
          </w:p>
        </w:tc>
        <w:tc>
          <w:tcPr>
            <w:tcW w:w="1340" w:type="dxa"/>
          </w:tcPr>
          <w:p w14:paraId="2912C778" w14:textId="77777777" w:rsidR="00D81D30" w:rsidRDefault="00D81D30" w:rsidP="00BB2FC9">
            <w:pPr>
              <w:rPr>
                <w:rFonts w:cstheme="minorHAnsi"/>
                <w:bCs/>
                <w:lang w:val="en-US"/>
              </w:rPr>
            </w:pPr>
            <w:r>
              <w:rPr>
                <w:rFonts w:cstheme="minorHAnsi"/>
                <w:bCs/>
                <w:lang w:val="en-US"/>
              </w:rPr>
              <w:t>High</w:t>
            </w:r>
          </w:p>
        </w:tc>
      </w:tr>
      <w:tr w:rsidR="00D81D30" w:rsidRPr="008C1C71" w14:paraId="603D6B33" w14:textId="77777777" w:rsidTr="00BB2FC9">
        <w:tc>
          <w:tcPr>
            <w:tcW w:w="1669" w:type="dxa"/>
          </w:tcPr>
          <w:p w14:paraId="1CE327A8" w14:textId="77777777" w:rsidR="00D81D30" w:rsidRDefault="00D81D30" w:rsidP="00BB2FC9">
            <w:r w:rsidRPr="00CA6B92">
              <w:t>Cold storage</w:t>
            </w:r>
          </w:p>
        </w:tc>
        <w:tc>
          <w:tcPr>
            <w:tcW w:w="1681" w:type="dxa"/>
          </w:tcPr>
          <w:p w14:paraId="517517A5" w14:textId="77777777" w:rsidR="00D81D30" w:rsidRDefault="00D81D30" w:rsidP="00BB2FC9"/>
        </w:tc>
        <w:tc>
          <w:tcPr>
            <w:tcW w:w="1194" w:type="dxa"/>
          </w:tcPr>
          <w:p w14:paraId="1418F6F3" w14:textId="77777777" w:rsidR="00D81D30" w:rsidRDefault="00D81D30" w:rsidP="00BB2FC9">
            <w:pPr>
              <w:rPr>
                <w:rFonts w:ascii="Calibri" w:hAnsi="Calibri" w:cs="Calibri"/>
                <w:bCs/>
                <w:lang w:val="en-US"/>
              </w:rPr>
            </w:pPr>
            <w:r>
              <w:rPr>
                <w:rFonts w:ascii="Calibri" w:hAnsi="Calibri" w:cs="Calibri"/>
                <w:bCs/>
                <w:lang w:val="en-US"/>
              </w:rPr>
              <w:t>1.32</w:t>
            </w:r>
          </w:p>
        </w:tc>
        <w:tc>
          <w:tcPr>
            <w:tcW w:w="1314" w:type="dxa"/>
          </w:tcPr>
          <w:p w14:paraId="1CC6923C" w14:textId="77777777" w:rsidR="00D81D30" w:rsidRDefault="00D81D30" w:rsidP="00BB2FC9">
            <w:pPr>
              <w:rPr>
                <w:rFonts w:ascii="Calibri" w:hAnsi="Calibri" w:cs="Calibri"/>
                <w:bCs/>
                <w:lang w:val="en-US"/>
              </w:rPr>
            </w:pPr>
            <w:r>
              <w:rPr>
                <w:rFonts w:ascii="Calibri" w:hAnsi="Calibri" w:cs="Calibri"/>
                <w:bCs/>
                <w:lang w:val="en-US"/>
              </w:rPr>
              <w:t>0.29</w:t>
            </w:r>
          </w:p>
        </w:tc>
        <w:tc>
          <w:tcPr>
            <w:tcW w:w="1818" w:type="dxa"/>
          </w:tcPr>
          <w:p w14:paraId="08E4C5FE" w14:textId="77777777" w:rsidR="00D81D30" w:rsidRPr="00C56914" w:rsidRDefault="00D81D30" w:rsidP="001A7671">
            <w:pPr>
              <w:jc w:val="left"/>
              <w:rPr>
                <w:rFonts w:ascii="Calibri" w:hAnsi="Calibri" w:cs="Calibri"/>
                <w:bCs/>
                <w:lang w:val="en-US"/>
              </w:rPr>
            </w:pPr>
            <w:r>
              <w:rPr>
                <w:rFonts w:ascii="Calibri" w:hAnsi="Calibri" w:cs="Calibri"/>
                <w:bCs/>
                <w:lang w:val="en-US"/>
              </w:rPr>
              <w:t>CCAs 2017-18</w:t>
            </w:r>
          </w:p>
        </w:tc>
        <w:tc>
          <w:tcPr>
            <w:tcW w:w="1340" w:type="dxa"/>
          </w:tcPr>
          <w:p w14:paraId="4B8C4B9C" w14:textId="77777777" w:rsidR="00D81D30" w:rsidRDefault="00D81D30" w:rsidP="00BB2FC9">
            <w:pPr>
              <w:rPr>
                <w:rFonts w:ascii="Calibri" w:hAnsi="Calibri" w:cs="Calibri"/>
                <w:bCs/>
                <w:lang w:val="en-US"/>
              </w:rPr>
            </w:pPr>
            <w:r>
              <w:rPr>
                <w:rFonts w:cstheme="minorHAnsi"/>
                <w:bCs/>
                <w:lang w:val="en-US"/>
              </w:rPr>
              <w:t>High</w:t>
            </w:r>
          </w:p>
        </w:tc>
      </w:tr>
      <w:tr w:rsidR="00D81D30" w:rsidRPr="008C1C71" w14:paraId="73488DFC" w14:textId="77777777" w:rsidTr="00BB2FC9">
        <w:tc>
          <w:tcPr>
            <w:tcW w:w="1669" w:type="dxa"/>
          </w:tcPr>
          <w:p w14:paraId="2F4660F7" w14:textId="77777777" w:rsidR="00D81D30" w:rsidRDefault="00D81D30" w:rsidP="00BB2FC9">
            <w:r>
              <w:t>Retail</w:t>
            </w:r>
          </w:p>
        </w:tc>
        <w:tc>
          <w:tcPr>
            <w:tcW w:w="1681" w:type="dxa"/>
          </w:tcPr>
          <w:p w14:paraId="3A02AA9D" w14:textId="77777777" w:rsidR="00D81D30" w:rsidRPr="00CA6B92" w:rsidRDefault="00D81D30" w:rsidP="00BB2FC9"/>
        </w:tc>
        <w:tc>
          <w:tcPr>
            <w:tcW w:w="1194" w:type="dxa"/>
          </w:tcPr>
          <w:p w14:paraId="13581C6F" w14:textId="1087210A" w:rsidR="00D81D30" w:rsidRDefault="00D81D30" w:rsidP="00BB2FC9">
            <w:pPr>
              <w:rPr>
                <w:rFonts w:ascii="Calibri" w:hAnsi="Calibri" w:cs="Calibri"/>
                <w:bCs/>
                <w:lang w:val="en-US"/>
              </w:rPr>
            </w:pPr>
            <w:r>
              <w:rPr>
                <w:rFonts w:ascii="Calibri" w:hAnsi="Calibri" w:cs="Calibri"/>
                <w:bCs/>
                <w:lang w:val="en-US"/>
              </w:rPr>
              <w:t>6.96</w:t>
            </w:r>
            <w:r w:rsidR="000E3037">
              <w:rPr>
                <w:rFonts w:ascii="Calibri" w:hAnsi="Calibri" w:cs="Calibri"/>
                <w:bCs/>
                <w:lang w:val="en-US"/>
              </w:rPr>
              <w:t>-7.36</w:t>
            </w:r>
          </w:p>
        </w:tc>
        <w:tc>
          <w:tcPr>
            <w:tcW w:w="1314" w:type="dxa"/>
          </w:tcPr>
          <w:p w14:paraId="3647882B" w14:textId="77777777" w:rsidR="00D81D30" w:rsidRDefault="00D81D30" w:rsidP="00BB2FC9">
            <w:pPr>
              <w:rPr>
                <w:rFonts w:ascii="Calibri" w:hAnsi="Calibri" w:cs="Calibri"/>
                <w:bCs/>
                <w:lang w:val="en-US"/>
              </w:rPr>
            </w:pPr>
            <w:r>
              <w:rPr>
                <w:rFonts w:ascii="Calibri" w:hAnsi="Calibri" w:cs="Calibri"/>
                <w:bCs/>
                <w:lang w:val="en-US"/>
              </w:rPr>
              <w:t>1.53</w:t>
            </w:r>
          </w:p>
        </w:tc>
        <w:tc>
          <w:tcPr>
            <w:tcW w:w="1818" w:type="dxa"/>
          </w:tcPr>
          <w:p w14:paraId="713FBC26" w14:textId="77777777" w:rsidR="00D81D30" w:rsidRPr="00C56914" w:rsidRDefault="00D81D30" w:rsidP="001A7671">
            <w:pPr>
              <w:jc w:val="left"/>
              <w:rPr>
                <w:rFonts w:ascii="Calibri" w:hAnsi="Calibri" w:cs="Calibri"/>
                <w:bCs/>
                <w:lang w:val="en-US"/>
              </w:rPr>
            </w:pPr>
            <w:r w:rsidRPr="00AE4C4E">
              <w:rPr>
                <w:rFonts w:cstheme="minorHAnsi"/>
                <w:bCs/>
                <w:lang w:val="en-US"/>
              </w:rPr>
              <w:t>BEIS, 2016</w:t>
            </w:r>
            <w:r>
              <w:rPr>
                <w:rFonts w:cstheme="minorHAnsi"/>
                <w:bCs/>
                <w:lang w:val="en-US"/>
              </w:rPr>
              <w:t>.</w:t>
            </w:r>
          </w:p>
        </w:tc>
        <w:tc>
          <w:tcPr>
            <w:tcW w:w="1340" w:type="dxa"/>
          </w:tcPr>
          <w:p w14:paraId="3521F88A" w14:textId="77777777" w:rsidR="00D81D30" w:rsidRPr="00AE4C4E" w:rsidRDefault="00D81D30" w:rsidP="00BB2FC9">
            <w:pPr>
              <w:rPr>
                <w:rFonts w:cstheme="minorHAnsi"/>
                <w:bCs/>
                <w:lang w:val="en-US"/>
              </w:rPr>
            </w:pPr>
            <w:r>
              <w:rPr>
                <w:rFonts w:cstheme="minorHAnsi"/>
                <w:bCs/>
                <w:lang w:val="en-US"/>
              </w:rPr>
              <w:t>Medium</w:t>
            </w:r>
          </w:p>
        </w:tc>
      </w:tr>
      <w:tr w:rsidR="00D81D30" w:rsidRPr="008C1C71" w14:paraId="195488DB" w14:textId="77777777" w:rsidTr="00BB2FC9">
        <w:tc>
          <w:tcPr>
            <w:tcW w:w="1669" w:type="dxa"/>
          </w:tcPr>
          <w:p w14:paraId="417C042B" w14:textId="77777777" w:rsidR="00D81D30" w:rsidRDefault="00D81D30" w:rsidP="00BB2FC9">
            <w:r>
              <w:t>Food service</w:t>
            </w:r>
          </w:p>
        </w:tc>
        <w:tc>
          <w:tcPr>
            <w:tcW w:w="1681" w:type="dxa"/>
          </w:tcPr>
          <w:p w14:paraId="4DB8B6C5" w14:textId="0FE2281C" w:rsidR="00D81D30" w:rsidRDefault="002B6010" w:rsidP="00BB2FC9">
            <w:pPr>
              <w:rPr>
                <w:rFonts w:ascii="Verdana" w:hAnsi="Verdana"/>
                <w:color w:val="000000"/>
                <w:sz w:val="19"/>
                <w:szCs w:val="19"/>
                <w:shd w:val="clear" w:color="auto" w:fill="FFFFFF"/>
              </w:rPr>
            </w:pPr>
            <w:r>
              <w:rPr>
                <w:rFonts w:ascii="Verdana" w:hAnsi="Verdana"/>
                <w:color w:val="000000"/>
                <w:sz w:val="19"/>
                <w:szCs w:val="19"/>
                <w:shd w:val="clear" w:color="auto" w:fill="FFFFFF"/>
              </w:rPr>
              <w:t>Food and drink</w:t>
            </w:r>
          </w:p>
        </w:tc>
        <w:tc>
          <w:tcPr>
            <w:tcW w:w="1194" w:type="dxa"/>
          </w:tcPr>
          <w:p w14:paraId="4248728A" w14:textId="77777777" w:rsidR="00D81D30" w:rsidRDefault="00D81D30" w:rsidP="00BB2FC9">
            <w:pPr>
              <w:rPr>
                <w:rFonts w:ascii="Calibri" w:hAnsi="Calibri" w:cs="Calibri"/>
                <w:bCs/>
                <w:lang w:val="en-US"/>
              </w:rPr>
            </w:pPr>
            <w:r>
              <w:rPr>
                <w:rFonts w:ascii="Calibri" w:hAnsi="Calibri" w:cs="Calibri"/>
                <w:bCs/>
                <w:lang w:val="en-US"/>
              </w:rPr>
              <w:t>4.16-7.89</w:t>
            </w:r>
          </w:p>
        </w:tc>
        <w:tc>
          <w:tcPr>
            <w:tcW w:w="1314" w:type="dxa"/>
          </w:tcPr>
          <w:p w14:paraId="705F0334" w14:textId="77777777" w:rsidR="00D81D30" w:rsidRDefault="00D81D30" w:rsidP="00BB2FC9">
            <w:pPr>
              <w:rPr>
                <w:rFonts w:ascii="Calibri" w:hAnsi="Calibri" w:cs="Calibri"/>
                <w:bCs/>
                <w:lang w:val="en-US"/>
              </w:rPr>
            </w:pPr>
            <w:r>
              <w:rPr>
                <w:rFonts w:ascii="Calibri" w:hAnsi="Calibri" w:cs="Calibri"/>
                <w:bCs/>
                <w:lang w:val="en-US"/>
              </w:rPr>
              <w:t>0.92-1.74</w:t>
            </w:r>
          </w:p>
        </w:tc>
        <w:tc>
          <w:tcPr>
            <w:tcW w:w="1818" w:type="dxa"/>
          </w:tcPr>
          <w:p w14:paraId="080AD163" w14:textId="583E8D57" w:rsidR="00D81D30" w:rsidRDefault="00D81D30" w:rsidP="001A7671">
            <w:pPr>
              <w:jc w:val="left"/>
              <w:rPr>
                <w:rFonts w:cstheme="minorHAnsi"/>
              </w:rPr>
            </w:pPr>
            <w:r>
              <w:rPr>
                <w:rFonts w:cstheme="minorHAnsi"/>
              </w:rPr>
              <w:fldChar w:fldCharType="begin"/>
            </w:r>
            <w:r>
              <w:rPr>
                <w:rFonts w:cstheme="minorHAnsi"/>
              </w:rPr>
              <w:instrText>ADDIN RW.CITE{{doc:60e30c3f8f083a58087ca086 SKMEnviros 2011}}</w:instrText>
            </w:r>
            <w:r>
              <w:rPr>
                <w:rFonts w:cstheme="minorHAnsi"/>
              </w:rPr>
              <w:fldChar w:fldCharType="separate"/>
            </w:r>
            <w:r w:rsidR="007425E3" w:rsidRPr="007425E3">
              <w:rPr>
                <w:rFonts w:ascii="Calibri" w:hAnsi="Calibri" w:cs="Calibri"/>
                <w:bCs/>
                <w:lang w:val="en-US"/>
              </w:rPr>
              <w:t>SKM</w:t>
            </w:r>
            <w:r w:rsidR="001A7671">
              <w:rPr>
                <w:rFonts w:ascii="Calibri" w:hAnsi="Calibri" w:cs="Calibri"/>
                <w:bCs/>
                <w:lang w:val="en-US"/>
              </w:rPr>
              <w:t xml:space="preserve"> </w:t>
            </w:r>
            <w:r w:rsidR="007425E3" w:rsidRPr="007425E3">
              <w:rPr>
                <w:rFonts w:ascii="Calibri" w:hAnsi="Calibri" w:cs="Calibri"/>
                <w:bCs/>
                <w:lang w:val="en-US"/>
              </w:rPr>
              <w:t>Enviros 2011</w:t>
            </w:r>
            <w:r>
              <w:rPr>
                <w:rFonts w:cstheme="minorHAnsi"/>
              </w:rPr>
              <w:fldChar w:fldCharType="end"/>
            </w:r>
            <w:r>
              <w:rPr>
                <w:rFonts w:cstheme="minorHAnsi"/>
              </w:rPr>
              <w:t>.</w:t>
            </w:r>
          </w:p>
          <w:p w14:paraId="220F813B" w14:textId="77777777" w:rsidR="00D81D30" w:rsidRPr="00303301" w:rsidRDefault="00D81D30" w:rsidP="001A7671">
            <w:pPr>
              <w:jc w:val="left"/>
              <w:rPr>
                <w:rFonts w:ascii="Calibri" w:hAnsi="Calibri" w:cs="Calibri"/>
                <w:bCs/>
                <w:lang w:val="en-US"/>
              </w:rPr>
            </w:pPr>
            <w:r>
              <w:rPr>
                <w:rFonts w:ascii="Calibri" w:hAnsi="Calibri" w:cs="Calibri"/>
                <w:bCs/>
                <w:lang w:val="en-US"/>
              </w:rPr>
              <w:t>Calculation from many sources.</w:t>
            </w:r>
          </w:p>
        </w:tc>
        <w:tc>
          <w:tcPr>
            <w:tcW w:w="1340" w:type="dxa"/>
          </w:tcPr>
          <w:p w14:paraId="47DD8C19" w14:textId="77777777" w:rsidR="00D81D30" w:rsidRDefault="00D81D30" w:rsidP="00BB2FC9">
            <w:pPr>
              <w:rPr>
                <w:rFonts w:cstheme="minorHAnsi"/>
              </w:rPr>
            </w:pPr>
            <w:r>
              <w:rPr>
                <w:rFonts w:cstheme="minorHAnsi"/>
                <w:bCs/>
                <w:lang w:val="en-US"/>
              </w:rPr>
              <w:t>Medium</w:t>
            </w:r>
          </w:p>
        </w:tc>
      </w:tr>
      <w:tr w:rsidR="00D81D30" w:rsidRPr="008C1C71" w14:paraId="5D7354BE" w14:textId="77777777" w:rsidTr="00BB2FC9">
        <w:tc>
          <w:tcPr>
            <w:tcW w:w="1669" w:type="dxa"/>
          </w:tcPr>
          <w:p w14:paraId="5B12F101" w14:textId="77777777" w:rsidR="00D81D30" w:rsidRDefault="00D81D30" w:rsidP="00BB2FC9">
            <w:r>
              <w:t>Food service</w:t>
            </w:r>
          </w:p>
        </w:tc>
        <w:tc>
          <w:tcPr>
            <w:tcW w:w="1681" w:type="dxa"/>
          </w:tcPr>
          <w:p w14:paraId="00B49D17" w14:textId="3FE5371C" w:rsidR="00D81D30" w:rsidRDefault="002B6010" w:rsidP="00BB2FC9">
            <w:pPr>
              <w:rPr>
                <w:rFonts w:ascii="Verdana" w:hAnsi="Verdana"/>
                <w:color w:val="000000"/>
                <w:sz w:val="19"/>
                <w:szCs w:val="19"/>
                <w:shd w:val="clear" w:color="auto" w:fill="FFFFFF"/>
              </w:rPr>
            </w:pPr>
            <w:r>
              <w:rPr>
                <w:rFonts w:ascii="Verdana" w:hAnsi="Verdana"/>
                <w:color w:val="000000"/>
                <w:sz w:val="19"/>
                <w:szCs w:val="19"/>
                <w:shd w:val="clear" w:color="auto" w:fill="FFFFFF"/>
              </w:rPr>
              <w:t>Drink</w:t>
            </w:r>
          </w:p>
        </w:tc>
        <w:tc>
          <w:tcPr>
            <w:tcW w:w="1194" w:type="dxa"/>
          </w:tcPr>
          <w:p w14:paraId="2BFB3A26" w14:textId="77777777" w:rsidR="00D81D30" w:rsidRDefault="00D81D30" w:rsidP="00BB2FC9">
            <w:pPr>
              <w:rPr>
                <w:rFonts w:ascii="Calibri" w:hAnsi="Calibri" w:cs="Calibri"/>
                <w:bCs/>
                <w:lang w:val="en-US"/>
              </w:rPr>
            </w:pPr>
            <w:r>
              <w:rPr>
                <w:rFonts w:ascii="Calibri" w:hAnsi="Calibri" w:cs="Calibri"/>
                <w:bCs/>
                <w:lang w:val="en-US"/>
              </w:rPr>
              <w:t>1.00</w:t>
            </w:r>
          </w:p>
        </w:tc>
        <w:tc>
          <w:tcPr>
            <w:tcW w:w="1314" w:type="dxa"/>
          </w:tcPr>
          <w:p w14:paraId="5FF27F86" w14:textId="77777777" w:rsidR="00D81D30" w:rsidRDefault="00D81D30" w:rsidP="00BB2FC9">
            <w:pPr>
              <w:rPr>
                <w:rFonts w:ascii="Calibri" w:hAnsi="Calibri" w:cs="Calibri"/>
                <w:bCs/>
                <w:lang w:val="en-US"/>
              </w:rPr>
            </w:pPr>
            <w:r>
              <w:rPr>
                <w:rFonts w:ascii="Calibri" w:hAnsi="Calibri" w:cs="Calibri"/>
                <w:bCs/>
                <w:lang w:val="en-US"/>
              </w:rPr>
              <w:t>0.22</w:t>
            </w:r>
          </w:p>
        </w:tc>
        <w:tc>
          <w:tcPr>
            <w:tcW w:w="1818" w:type="dxa"/>
          </w:tcPr>
          <w:p w14:paraId="7513141A" w14:textId="72C132EC" w:rsidR="00D81D30" w:rsidRDefault="000D4113" w:rsidP="001A7671">
            <w:pPr>
              <w:jc w:val="left"/>
              <w:rPr>
                <w:rFonts w:cstheme="minorHAnsi"/>
              </w:rPr>
            </w:pPr>
            <w:r w:rsidRPr="00D300B4">
              <w:rPr>
                <w:rFonts w:ascii="Calibri" w:hAnsi="Calibri" w:cs="Calibri"/>
                <w:bCs/>
                <w:lang w:val="en-US"/>
              </w:rPr>
              <w:t>SKM</w:t>
            </w:r>
            <w:r>
              <w:rPr>
                <w:rFonts w:ascii="Calibri" w:hAnsi="Calibri" w:cs="Calibri"/>
                <w:bCs/>
                <w:lang w:val="en-US"/>
              </w:rPr>
              <w:t xml:space="preserve"> </w:t>
            </w:r>
            <w:r w:rsidRPr="00D300B4">
              <w:rPr>
                <w:rFonts w:ascii="Calibri" w:hAnsi="Calibri" w:cs="Calibri"/>
                <w:bCs/>
                <w:lang w:val="en-US"/>
              </w:rPr>
              <w:t>Enviros, 2014</w:t>
            </w:r>
            <w:r w:rsidR="001A7671">
              <w:rPr>
                <w:rFonts w:ascii="Calibri" w:hAnsi="Calibri" w:cs="Calibri"/>
                <w:bCs/>
                <w:lang w:val="en-US"/>
              </w:rPr>
              <w:t>.</w:t>
            </w:r>
          </w:p>
        </w:tc>
        <w:tc>
          <w:tcPr>
            <w:tcW w:w="1340" w:type="dxa"/>
          </w:tcPr>
          <w:p w14:paraId="77F7187C" w14:textId="77777777" w:rsidR="00D81D30" w:rsidRDefault="00D81D30" w:rsidP="00BB2FC9">
            <w:pPr>
              <w:rPr>
                <w:rFonts w:cstheme="minorHAnsi"/>
              </w:rPr>
            </w:pPr>
            <w:r>
              <w:rPr>
                <w:rFonts w:cstheme="minorHAnsi"/>
                <w:bCs/>
                <w:lang w:val="en-US"/>
              </w:rPr>
              <w:t>Medium</w:t>
            </w:r>
          </w:p>
        </w:tc>
      </w:tr>
      <w:tr w:rsidR="00D81D30" w:rsidRPr="008C1C71" w14:paraId="6755CA74" w14:textId="77777777" w:rsidTr="00BB2FC9">
        <w:tc>
          <w:tcPr>
            <w:tcW w:w="1669" w:type="dxa"/>
          </w:tcPr>
          <w:p w14:paraId="2C86D511" w14:textId="77777777" w:rsidR="00D81D30" w:rsidRDefault="00D81D30" w:rsidP="00BB2FC9">
            <w:r>
              <w:t>Refrigerated transport</w:t>
            </w:r>
          </w:p>
        </w:tc>
        <w:tc>
          <w:tcPr>
            <w:tcW w:w="1681" w:type="dxa"/>
          </w:tcPr>
          <w:p w14:paraId="4BA8B10F" w14:textId="77777777" w:rsidR="00D81D30" w:rsidRDefault="00D81D30" w:rsidP="00BB2FC9">
            <w:r>
              <w:t>Land</w:t>
            </w:r>
          </w:p>
        </w:tc>
        <w:tc>
          <w:tcPr>
            <w:tcW w:w="1194" w:type="dxa"/>
          </w:tcPr>
          <w:p w14:paraId="219D7C05" w14:textId="77777777" w:rsidR="00D81D30" w:rsidRDefault="00D81D30" w:rsidP="00BB2FC9">
            <w:pPr>
              <w:rPr>
                <w:rFonts w:ascii="Calibri" w:hAnsi="Calibri" w:cs="Calibri"/>
                <w:bCs/>
                <w:lang w:val="en-US"/>
              </w:rPr>
            </w:pPr>
          </w:p>
        </w:tc>
        <w:tc>
          <w:tcPr>
            <w:tcW w:w="1314" w:type="dxa"/>
          </w:tcPr>
          <w:p w14:paraId="31AB910D" w14:textId="77777777" w:rsidR="00D81D30" w:rsidRPr="004F6268" w:rsidRDefault="00D81D30" w:rsidP="00BB2FC9">
            <w:pPr>
              <w:rPr>
                <w:rFonts w:ascii="Calibri" w:hAnsi="Calibri" w:cs="Calibri"/>
                <w:bCs/>
                <w:lang w:val="en-US"/>
              </w:rPr>
            </w:pPr>
            <w:r w:rsidRPr="004F6268">
              <w:rPr>
                <w:rFonts w:ascii="Calibri" w:hAnsi="Calibri" w:cs="Calibri"/>
                <w:bCs/>
                <w:lang w:val="en-US"/>
              </w:rPr>
              <w:t>1.02 – 1.2</w:t>
            </w:r>
          </w:p>
        </w:tc>
        <w:tc>
          <w:tcPr>
            <w:tcW w:w="1818" w:type="dxa"/>
          </w:tcPr>
          <w:p w14:paraId="1DE87345" w14:textId="4DF31323" w:rsidR="00D81D30" w:rsidRPr="004F6268" w:rsidRDefault="00D81D30" w:rsidP="001A7671">
            <w:pPr>
              <w:jc w:val="left"/>
              <w:rPr>
                <w:rFonts w:ascii="Calibri" w:hAnsi="Calibri" w:cs="Calibri"/>
                <w:bCs/>
                <w:lang w:val="en-US"/>
              </w:rPr>
            </w:pPr>
            <w:r w:rsidRPr="004F6268">
              <w:rPr>
                <w:rFonts w:ascii="Calibri" w:hAnsi="Calibri" w:cs="Calibri"/>
                <w:bCs/>
                <w:lang w:val="en-US"/>
              </w:rPr>
              <w:t xml:space="preserve">Tassou et al., 2009.  DEFRA, </w:t>
            </w:r>
            <w:r w:rsidRPr="004F6268">
              <w:rPr>
                <w:rFonts w:ascii="Calibri" w:hAnsi="Calibri" w:cs="Calibri"/>
                <w:bCs/>
                <w:lang w:val="en-US"/>
              </w:rPr>
              <w:lastRenderedPageBreak/>
              <w:t xml:space="preserve">2012.  </w:t>
            </w:r>
          </w:p>
          <w:p w14:paraId="799AE5D8" w14:textId="77777777" w:rsidR="00D81D30" w:rsidRPr="004F6268" w:rsidRDefault="00D81D30" w:rsidP="001A7671">
            <w:pPr>
              <w:jc w:val="left"/>
              <w:rPr>
                <w:rFonts w:cstheme="minorHAnsi"/>
              </w:rPr>
            </w:pPr>
            <w:r w:rsidRPr="004F6268">
              <w:rPr>
                <w:rFonts w:ascii="Calibri" w:hAnsi="Calibri" w:cs="Calibri"/>
                <w:bCs/>
                <w:lang w:val="en-US"/>
              </w:rPr>
              <w:t>SKM Enviros, 2011</w:t>
            </w:r>
          </w:p>
        </w:tc>
        <w:tc>
          <w:tcPr>
            <w:tcW w:w="1340" w:type="dxa"/>
          </w:tcPr>
          <w:p w14:paraId="4670901F" w14:textId="77777777" w:rsidR="00D81D30" w:rsidRPr="004F6268" w:rsidRDefault="00D81D30" w:rsidP="00BB2FC9">
            <w:pPr>
              <w:rPr>
                <w:rFonts w:ascii="Calibri" w:hAnsi="Calibri" w:cs="Calibri"/>
                <w:bCs/>
                <w:lang w:val="en-US"/>
              </w:rPr>
            </w:pPr>
            <w:r w:rsidRPr="004F6268">
              <w:rPr>
                <w:rFonts w:ascii="Calibri" w:hAnsi="Calibri" w:cs="Calibri"/>
                <w:bCs/>
                <w:lang w:val="en-US"/>
              </w:rPr>
              <w:lastRenderedPageBreak/>
              <w:t>Medium</w:t>
            </w:r>
          </w:p>
        </w:tc>
      </w:tr>
      <w:tr w:rsidR="00D81D30" w:rsidRPr="008C1C71" w14:paraId="5B89C79A" w14:textId="77777777" w:rsidTr="00BB2FC9">
        <w:tc>
          <w:tcPr>
            <w:tcW w:w="1669" w:type="dxa"/>
          </w:tcPr>
          <w:p w14:paraId="6144B222" w14:textId="77777777" w:rsidR="00D81D30" w:rsidRDefault="00D81D30" w:rsidP="00BB2FC9">
            <w:r>
              <w:t>Refrigerated transport</w:t>
            </w:r>
          </w:p>
        </w:tc>
        <w:tc>
          <w:tcPr>
            <w:tcW w:w="1681" w:type="dxa"/>
          </w:tcPr>
          <w:p w14:paraId="2372B512" w14:textId="77777777" w:rsidR="00D81D30" w:rsidRDefault="00D81D30" w:rsidP="00BB2FC9">
            <w:r>
              <w:rPr>
                <w:rFonts w:ascii="Calibri" w:hAnsi="Calibri" w:cs="Calibri"/>
                <w:bCs/>
                <w:lang w:val="en-US"/>
              </w:rPr>
              <w:t>Fishing</w:t>
            </w:r>
          </w:p>
        </w:tc>
        <w:tc>
          <w:tcPr>
            <w:tcW w:w="1194" w:type="dxa"/>
          </w:tcPr>
          <w:p w14:paraId="02992A8A" w14:textId="77777777" w:rsidR="00D81D30" w:rsidRDefault="00D81D30" w:rsidP="00BB2FC9">
            <w:pPr>
              <w:rPr>
                <w:rFonts w:ascii="Calibri" w:hAnsi="Calibri" w:cs="Calibri"/>
                <w:bCs/>
                <w:lang w:val="en-US"/>
              </w:rPr>
            </w:pPr>
          </w:p>
        </w:tc>
        <w:tc>
          <w:tcPr>
            <w:tcW w:w="1314" w:type="dxa"/>
          </w:tcPr>
          <w:p w14:paraId="4901B00C" w14:textId="77777777" w:rsidR="00D81D30" w:rsidRDefault="00D81D30" w:rsidP="00BB2FC9">
            <w:pPr>
              <w:rPr>
                <w:rFonts w:ascii="Calibri" w:hAnsi="Calibri" w:cs="Calibri"/>
                <w:bCs/>
                <w:lang w:val="en-US"/>
              </w:rPr>
            </w:pPr>
            <w:r>
              <w:rPr>
                <w:rFonts w:ascii="Calibri" w:hAnsi="Calibri" w:cs="Calibri"/>
                <w:bCs/>
                <w:lang w:val="en-US"/>
              </w:rPr>
              <w:t>&lt;0.78</w:t>
            </w:r>
          </w:p>
        </w:tc>
        <w:tc>
          <w:tcPr>
            <w:tcW w:w="1818" w:type="dxa"/>
          </w:tcPr>
          <w:p w14:paraId="60CB93E0" w14:textId="77777777" w:rsidR="00D81D30" w:rsidRPr="00CA6B92" w:rsidRDefault="00D81D30" w:rsidP="001A7671">
            <w:pPr>
              <w:jc w:val="left"/>
              <w:rPr>
                <w:rFonts w:cstheme="minorHAnsi"/>
              </w:rPr>
            </w:pPr>
            <w:r>
              <w:t>NAEI, 2019</w:t>
            </w:r>
          </w:p>
        </w:tc>
        <w:tc>
          <w:tcPr>
            <w:tcW w:w="1340" w:type="dxa"/>
          </w:tcPr>
          <w:p w14:paraId="7CF4EF35" w14:textId="77777777" w:rsidR="00D81D30" w:rsidRDefault="00D81D30" w:rsidP="00BB2FC9">
            <w:r>
              <w:t>Low</w:t>
            </w:r>
          </w:p>
        </w:tc>
      </w:tr>
      <w:tr w:rsidR="00D81D30" w:rsidRPr="008C1C71" w14:paraId="230484EE" w14:textId="77777777" w:rsidTr="00BB2FC9">
        <w:tc>
          <w:tcPr>
            <w:tcW w:w="1669" w:type="dxa"/>
          </w:tcPr>
          <w:p w14:paraId="4FBB48D1" w14:textId="77777777" w:rsidR="00D81D30" w:rsidRDefault="00D81D30" w:rsidP="00BB2FC9">
            <w:r w:rsidRPr="00D54181">
              <w:t>Domestic</w:t>
            </w:r>
          </w:p>
        </w:tc>
        <w:tc>
          <w:tcPr>
            <w:tcW w:w="1681" w:type="dxa"/>
          </w:tcPr>
          <w:p w14:paraId="5EE56D04" w14:textId="77777777" w:rsidR="00D81D30" w:rsidRPr="00D54181" w:rsidRDefault="00D81D30" w:rsidP="00BB2FC9"/>
        </w:tc>
        <w:tc>
          <w:tcPr>
            <w:tcW w:w="1194" w:type="dxa"/>
          </w:tcPr>
          <w:p w14:paraId="22940C4B" w14:textId="77777777" w:rsidR="00D81D30" w:rsidRDefault="00D81D30" w:rsidP="00BB2FC9">
            <w:pPr>
              <w:rPr>
                <w:rFonts w:ascii="Calibri" w:hAnsi="Calibri" w:cs="Calibri"/>
                <w:bCs/>
                <w:lang w:val="en-US"/>
              </w:rPr>
            </w:pPr>
            <w:r>
              <w:rPr>
                <w:rFonts w:ascii="Calibri" w:hAnsi="Calibri" w:cs="Calibri"/>
                <w:bCs/>
                <w:lang w:val="en-US"/>
              </w:rPr>
              <w:t>10.75</w:t>
            </w:r>
          </w:p>
        </w:tc>
        <w:tc>
          <w:tcPr>
            <w:tcW w:w="1314" w:type="dxa"/>
          </w:tcPr>
          <w:p w14:paraId="24A86AEC" w14:textId="77777777" w:rsidR="00D81D30" w:rsidRDefault="00D81D30" w:rsidP="00BB2FC9">
            <w:pPr>
              <w:rPr>
                <w:rFonts w:ascii="Calibri" w:hAnsi="Calibri" w:cs="Calibri"/>
                <w:bCs/>
                <w:lang w:val="en-US"/>
              </w:rPr>
            </w:pPr>
            <w:r>
              <w:rPr>
                <w:rFonts w:ascii="Calibri" w:hAnsi="Calibri" w:cs="Calibri"/>
                <w:bCs/>
                <w:lang w:val="en-US"/>
              </w:rPr>
              <w:t>2.37</w:t>
            </w:r>
          </w:p>
        </w:tc>
        <w:tc>
          <w:tcPr>
            <w:tcW w:w="1818" w:type="dxa"/>
          </w:tcPr>
          <w:p w14:paraId="6C1A92C2" w14:textId="77777777" w:rsidR="00D81D30" w:rsidRPr="00D54181" w:rsidRDefault="00D81D30" w:rsidP="001A7671">
            <w:pPr>
              <w:jc w:val="left"/>
              <w:rPr>
                <w:rFonts w:cstheme="minorHAnsi"/>
              </w:rPr>
            </w:pPr>
            <w:r>
              <w:rPr>
                <w:rFonts w:cstheme="minorHAnsi"/>
                <w:bCs/>
                <w:lang w:val="en-US"/>
              </w:rPr>
              <w:t>DUKES, 2019.</w:t>
            </w:r>
          </w:p>
        </w:tc>
        <w:tc>
          <w:tcPr>
            <w:tcW w:w="1340" w:type="dxa"/>
          </w:tcPr>
          <w:p w14:paraId="527D1110" w14:textId="77777777" w:rsidR="00D81D30" w:rsidRDefault="00D81D30" w:rsidP="00BB2FC9">
            <w:pPr>
              <w:rPr>
                <w:rFonts w:cstheme="minorHAnsi"/>
              </w:rPr>
            </w:pPr>
            <w:r>
              <w:rPr>
                <w:rFonts w:cstheme="minorHAnsi"/>
              </w:rPr>
              <w:t>High</w:t>
            </w:r>
          </w:p>
        </w:tc>
      </w:tr>
      <w:tr w:rsidR="00D81D30" w:rsidRPr="00D54181" w14:paraId="3318A2C3" w14:textId="77777777" w:rsidTr="00BB2FC9">
        <w:tc>
          <w:tcPr>
            <w:tcW w:w="1669" w:type="dxa"/>
          </w:tcPr>
          <w:p w14:paraId="7F6C6A6F" w14:textId="77777777" w:rsidR="00D81D30" w:rsidRPr="00D54181" w:rsidRDefault="00D81D30" w:rsidP="00BB2FC9">
            <w:pPr>
              <w:rPr>
                <w:b/>
                <w:bCs/>
              </w:rPr>
            </w:pPr>
            <w:r w:rsidRPr="00D54181">
              <w:rPr>
                <w:b/>
                <w:bCs/>
              </w:rPr>
              <w:t>Total</w:t>
            </w:r>
          </w:p>
        </w:tc>
        <w:tc>
          <w:tcPr>
            <w:tcW w:w="1681" w:type="dxa"/>
          </w:tcPr>
          <w:p w14:paraId="7D3C2B91" w14:textId="77777777" w:rsidR="00D81D30" w:rsidRPr="00D54181" w:rsidRDefault="00D81D30" w:rsidP="00BB2FC9">
            <w:pPr>
              <w:rPr>
                <w:b/>
                <w:bCs/>
              </w:rPr>
            </w:pPr>
          </w:p>
        </w:tc>
        <w:tc>
          <w:tcPr>
            <w:tcW w:w="1194" w:type="dxa"/>
          </w:tcPr>
          <w:p w14:paraId="086054A3" w14:textId="52F9B1F1" w:rsidR="00D81D30" w:rsidRPr="00D54181" w:rsidRDefault="00433B63" w:rsidP="00BB2FC9">
            <w:pPr>
              <w:rPr>
                <w:rFonts w:ascii="Calibri" w:hAnsi="Calibri" w:cs="Calibri"/>
                <w:b/>
                <w:bCs/>
                <w:lang w:val="en-US"/>
              </w:rPr>
            </w:pPr>
            <w:r>
              <w:rPr>
                <w:rFonts w:ascii="Calibri" w:hAnsi="Calibri" w:cs="Calibri"/>
                <w:b/>
                <w:bCs/>
                <w:lang w:val="en-US"/>
              </w:rPr>
              <w:t>2</w:t>
            </w:r>
            <w:r w:rsidR="002B6010">
              <w:rPr>
                <w:rFonts w:ascii="Calibri" w:hAnsi="Calibri" w:cs="Calibri"/>
                <w:b/>
                <w:bCs/>
                <w:lang w:val="en-US"/>
              </w:rPr>
              <w:t>6</w:t>
            </w:r>
            <w:r>
              <w:rPr>
                <w:rFonts w:ascii="Calibri" w:hAnsi="Calibri" w:cs="Calibri"/>
                <w:b/>
                <w:bCs/>
                <w:lang w:val="en-US"/>
              </w:rPr>
              <w:t>.67-</w:t>
            </w:r>
            <w:r w:rsidR="002B6010">
              <w:rPr>
                <w:rFonts w:ascii="Calibri" w:hAnsi="Calibri" w:cs="Calibri"/>
                <w:b/>
                <w:bCs/>
                <w:lang w:val="en-US"/>
              </w:rPr>
              <w:t>30.84</w:t>
            </w:r>
          </w:p>
        </w:tc>
        <w:tc>
          <w:tcPr>
            <w:tcW w:w="1314" w:type="dxa"/>
          </w:tcPr>
          <w:p w14:paraId="729BA789" w14:textId="77777777" w:rsidR="00D81D30" w:rsidRPr="00D54181" w:rsidRDefault="00D81D30" w:rsidP="00BB2FC9">
            <w:pPr>
              <w:rPr>
                <w:rFonts w:ascii="Calibri" w:hAnsi="Calibri" w:cs="Calibri"/>
                <w:b/>
                <w:bCs/>
                <w:lang w:val="en-US"/>
              </w:rPr>
            </w:pPr>
            <w:r>
              <w:rPr>
                <w:rFonts w:ascii="Calibri" w:hAnsi="Calibri" w:cs="Calibri"/>
                <w:b/>
                <w:bCs/>
                <w:lang w:val="en-US"/>
              </w:rPr>
              <w:t>6.9 – 7.9</w:t>
            </w:r>
          </w:p>
        </w:tc>
        <w:tc>
          <w:tcPr>
            <w:tcW w:w="1818" w:type="dxa"/>
          </w:tcPr>
          <w:p w14:paraId="5877270F" w14:textId="77777777" w:rsidR="00D81D30" w:rsidRPr="00D54181" w:rsidRDefault="00D81D30" w:rsidP="00BB2FC9">
            <w:pPr>
              <w:rPr>
                <w:rFonts w:cstheme="minorHAnsi"/>
              </w:rPr>
            </w:pPr>
          </w:p>
        </w:tc>
        <w:tc>
          <w:tcPr>
            <w:tcW w:w="1340" w:type="dxa"/>
          </w:tcPr>
          <w:p w14:paraId="6E2240B0" w14:textId="77777777" w:rsidR="00D81D30" w:rsidRPr="00D54181" w:rsidRDefault="00D81D30" w:rsidP="00BB2FC9">
            <w:pPr>
              <w:rPr>
                <w:rFonts w:cstheme="minorHAnsi"/>
              </w:rPr>
            </w:pPr>
          </w:p>
        </w:tc>
      </w:tr>
    </w:tbl>
    <w:p w14:paraId="3BD37595" w14:textId="4F84B51D" w:rsidR="00594FC6" w:rsidRDefault="00594FC6" w:rsidP="00594FC6"/>
    <w:p w14:paraId="3124EA02" w14:textId="1300E245" w:rsidR="002B6010" w:rsidRPr="002B6010" w:rsidRDefault="002B6010" w:rsidP="00D25F63">
      <w:r>
        <w:t xml:space="preserve">From the </w:t>
      </w:r>
      <w:r w:rsidR="0094225E">
        <w:t xml:space="preserve">values </w:t>
      </w:r>
      <w:r>
        <w:t xml:space="preserve">shown in </w:t>
      </w:r>
      <w:r w:rsidRPr="002B6010">
        <w:fldChar w:fldCharType="begin"/>
      </w:r>
      <w:r w:rsidRPr="002B6010">
        <w:instrText xml:space="preserve"> REF _Ref89417036 \h </w:instrText>
      </w:r>
      <w:r>
        <w:instrText xml:space="preserve"> \* MERGEFORMAT </w:instrText>
      </w:r>
      <w:r w:rsidRPr="002B6010">
        <w:fldChar w:fldCharType="separate"/>
      </w:r>
      <w:r w:rsidR="004750BB" w:rsidRPr="004750BB">
        <w:t>Table 1</w:t>
      </w:r>
      <w:r w:rsidRPr="002B6010">
        <w:fldChar w:fldCharType="end"/>
      </w:r>
      <w:r>
        <w:t xml:space="preserve"> the refrigeration energy consumption of </w:t>
      </w:r>
      <w:r w:rsidR="00B30923">
        <w:t xml:space="preserve">the UK </w:t>
      </w:r>
      <w:r>
        <w:t xml:space="preserve">food cold chain is between 26.7 and 30.8 </w:t>
      </w:r>
      <w:proofErr w:type="spellStart"/>
      <w:r>
        <w:t>TWh</w:t>
      </w:r>
      <w:proofErr w:type="spellEnd"/>
      <w:r>
        <w:t xml:space="preserve"> in 2019, leading to carbon emissions of 6.9 to 7.9 </w:t>
      </w:r>
      <w:r w:rsidRPr="008C1C71">
        <w:t>MtCO</w:t>
      </w:r>
      <w:r w:rsidRPr="008C1C71">
        <w:rPr>
          <w:vertAlign w:val="subscript"/>
        </w:rPr>
        <w:t>2e</w:t>
      </w:r>
      <w:r>
        <w:t xml:space="preserve">.  </w:t>
      </w:r>
    </w:p>
    <w:p w14:paraId="1B3C42CD" w14:textId="47226BD0" w:rsidR="00105CDC" w:rsidRDefault="00433B63" w:rsidP="00D25F63">
      <w:r w:rsidRPr="0082084C">
        <w:rPr>
          <w:rFonts w:cstheme="minorHAnsi"/>
          <w:szCs w:val="22"/>
        </w:rPr>
        <w:t xml:space="preserve">The Building Energy Efficiency Survey (BEES) reports on the non-domestic building stock in England and Wales in 2014–15 </w:t>
      </w:r>
      <w:r w:rsidRPr="007B284D">
        <w:rPr>
          <w:rFonts w:cstheme="minorHAnsi"/>
          <w:bCs/>
          <w:szCs w:val="22"/>
          <w:lang w:val="en-US"/>
        </w:rPr>
        <w:t>(BEIS, 2016)</w:t>
      </w:r>
      <w:r w:rsidRPr="0082084C">
        <w:rPr>
          <w:rFonts w:cstheme="minorHAnsi"/>
          <w:szCs w:val="22"/>
        </w:rPr>
        <w:t xml:space="preserve">.  </w:t>
      </w:r>
      <w:r w:rsidRPr="007B284D">
        <w:rPr>
          <w:rFonts w:cstheme="minorHAnsi"/>
          <w:szCs w:val="22"/>
        </w:rPr>
        <w:t xml:space="preserve">This covers all energy usage in retail, industrial, storage and hospitality. </w:t>
      </w:r>
      <w:r w:rsidRPr="0082084C">
        <w:rPr>
          <w:rFonts w:cstheme="minorHAnsi"/>
          <w:szCs w:val="22"/>
        </w:rPr>
        <w:t xml:space="preserve">They reported that cooled storage (for storage of food and drink) used 10.79 </w:t>
      </w:r>
      <w:proofErr w:type="spellStart"/>
      <w:r w:rsidRPr="0082084C">
        <w:rPr>
          <w:rFonts w:cstheme="minorHAnsi"/>
          <w:szCs w:val="22"/>
        </w:rPr>
        <w:t>TWh</w:t>
      </w:r>
      <w:proofErr w:type="spellEnd"/>
      <w:r w:rsidRPr="0082084C">
        <w:rPr>
          <w:rFonts w:cstheme="minorHAnsi"/>
          <w:szCs w:val="22"/>
        </w:rPr>
        <w:t>/year of energy.</w:t>
      </w:r>
      <w:r w:rsidR="002B6010" w:rsidRPr="0082084C">
        <w:rPr>
          <w:rFonts w:cstheme="minorHAnsi"/>
          <w:szCs w:val="22"/>
        </w:rPr>
        <w:t xml:space="preserve"> </w:t>
      </w:r>
      <w:r w:rsidR="0094684D" w:rsidRPr="0082084C">
        <w:rPr>
          <w:rFonts w:cstheme="minorHAnsi"/>
          <w:szCs w:val="22"/>
        </w:rPr>
        <w:t xml:space="preserve">This is lower than the </w:t>
      </w:r>
      <w:r w:rsidR="00EE3D96">
        <w:rPr>
          <w:rFonts w:cstheme="minorHAnsi"/>
          <w:szCs w:val="22"/>
        </w:rPr>
        <w:t xml:space="preserve">range of </w:t>
      </w:r>
      <w:r w:rsidR="0094684D" w:rsidRPr="0082084C">
        <w:rPr>
          <w:rFonts w:cstheme="minorHAnsi"/>
          <w:szCs w:val="22"/>
        </w:rPr>
        <w:t xml:space="preserve">15.92 to 20.09 </w:t>
      </w:r>
      <w:proofErr w:type="spellStart"/>
      <w:r w:rsidR="0094684D" w:rsidRPr="0082084C">
        <w:rPr>
          <w:rFonts w:cstheme="minorHAnsi"/>
          <w:szCs w:val="22"/>
        </w:rPr>
        <w:t>TWh</w:t>
      </w:r>
      <w:proofErr w:type="spellEnd"/>
      <w:r w:rsidR="0094684D" w:rsidRPr="0082084C">
        <w:rPr>
          <w:rFonts w:cstheme="minorHAnsi"/>
          <w:szCs w:val="22"/>
        </w:rPr>
        <w:t xml:space="preserve"> </w:t>
      </w:r>
      <w:r w:rsidR="00EE3D96">
        <w:rPr>
          <w:rFonts w:cstheme="minorHAnsi"/>
          <w:szCs w:val="22"/>
        </w:rPr>
        <w:t>presented in</w:t>
      </w:r>
      <w:r w:rsidR="00EE3D96" w:rsidRPr="0082084C">
        <w:rPr>
          <w:rFonts w:cstheme="minorHAnsi"/>
          <w:szCs w:val="22"/>
        </w:rPr>
        <w:t xml:space="preserve"> </w:t>
      </w:r>
      <w:r w:rsidR="00EE3D96" w:rsidRPr="0082084C">
        <w:rPr>
          <w:rFonts w:cstheme="minorHAnsi"/>
          <w:szCs w:val="22"/>
        </w:rPr>
        <w:fldChar w:fldCharType="begin"/>
      </w:r>
      <w:r w:rsidR="00EE3D96" w:rsidRPr="0082084C">
        <w:rPr>
          <w:rFonts w:cstheme="minorHAnsi"/>
          <w:szCs w:val="22"/>
        </w:rPr>
        <w:instrText xml:space="preserve"> REF _Ref89417036 \h  \* MERGEFORMAT </w:instrText>
      </w:r>
      <w:r w:rsidR="00EE3D96" w:rsidRPr="0082084C">
        <w:rPr>
          <w:rFonts w:cstheme="minorHAnsi"/>
          <w:szCs w:val="22"/>
        </w:rPr>
      </w:r>
      <w:r w:rsidR="00EE3D96" w:rsidRPr="0082084C">
        <w:rPr>
          <w:rFonts w:cstheme="minorHAnsi"/>
          <w:szCs w:val="22"/>
        </w:rPr>
        <w:fldChar w:fldCharType="separate"/>
      </w:r>
      <w:r w:rsidR="004750BB" w:rsidRPr="004750BB">
        <w:rPr>
          <w:rFonts w:cstheme="minorHAnsi"/>
          <w:szCs w:val="22"/>
        </w:rPr>
        <w:t>Table 1</w:t>
      </w:r>
      <w:r w:rsidR="00EE3D96" w:rsidRPr="0082084C">
        <w:rPr>
          <w:rFonts w:cstheme="minorHAnsi"/>
          <w:szCs w:val="22"/>
        </w:rPr>
        <w:fldChar w:fldCharType="end"/>
      </w:r>
      <w:r w:rsidR="00EE3D96">
        <w:rPr>
          <w:rFonts w:cstheme="minorHAnsi"/>
          <w:szCs w:val="22"/>
        </w:rPr>
        <w:t xml:space="preserve"> </w:t>
      </w:r>
      <w:r w:rsidR="0094684D" w:rsidRPr="0082084C">
        <w:rPr>
          <w:rFonts w:cstheme="minorHAnsi"/>
          <w:szCs w:val="22"/>
        </w:rPr>
        <w:t>once domestic refrigeration has been removed</w:t>
      </w:r>
      <w:r w:rsidR="00F17F96" w:rsidRPr="0082084C">
        <w:rPr>
          <w:rFonts w:cstheme="minorHAnsi"/>
          <w:szCs w:val="22"/>
        </w:rPr>
        <w:t xml:space="preserve"> from</w:t>
      </w:r>
      <w:r w:rsidR="0082084C">
        <w:rPr>
          <w:rFonts w:cstheme="minorHAnsi"/>
          <w:szCs w:val="22"/>
        </w:rPr>
        <w:t xml:space="preserve"> the figures</w:t>
      </w:r>
      <w:r w:rsidR="0094684D" w:rsidRPr="0082084C">
        <w:rPr>
          <w:rFonts w:cstheme="minorHAnsi"/>
          <w:szCs w:val="22"/>
        </w:rPr>
        <w:t>.</w:t>
      </w:r>
    </w:p>
    <w:p w14:paraId="0B0EDEB5" w14:textId="66025214" w:rsidR="00433B63" w:rsidRDefault="00105CDC" w:rsidP="00D25F63">
      <w:r>
        <w:fldChar w:fldCharType="begin"/>
      </w:r>
      <w:r>
        <w:instrText xml:space="preserve"> REF _Ref89942747 \h </w:instrText>
      </w:r>
      <w:r w:rsidR="00D25F63">
        <w:instrText xml:space="preserve"> \* MERGEFORMAT </w:instrText>
      </w:r>
      <w:r>
        <w:fldChar w:fldCharType="separate"/>
      </w:r>
      <w:r w:rsidR="004750BB" w:rsidRPr="00105CDC">
        <w:t xml:space="preserve">Figure </w:t>
      </w:r>
      <w:r w:rsidR="004750BB">
        <w:rPr>
          <w:noProof/>
        </w:rPr>
        <w:t>1</w:t>
      </w:r>
      <w:r>
        <w:fldChar w:fldCharType="end"/>
      </w:r>
      <w:r>
        <w:t xml:space="preserve"> shows the electrical energy consumption (</w:t>
      </w:r>
      <w:proofErr w:type="spellStart"/>
      <w:r>
        <w:t>TWh</w:t>
      </w:r>
      <w:proofErr w:type="spellEnd"/>
      <w:r>
        <w:t>) of refrigeration in the food sectors.  Where there is a range of values, the average was used.</w:t>
      </w:r>
      <w:r w:rsidR="00DB2561">
        <w:t xml:space="preserve">  </w:t>
      </w:r>
      <w:r w:rsidR="00DB2561" w:rsidRPr="00387044">
        <w:t xml:space="preserve">Refrigerated transport is </w:t>
      </w:r>
      <w:r w:rsidR="00EE3D96" w:rsidRPr="00387044">
        <w:t xml:space="preserve">excluded </w:t>
      </w:r>
      <w:r w:rsidR="00DB2561" w:rsidRPr="00387044">
        <w:t xml:space="preserve">from this chart, as the energy consumption is predominantly from diesel, not electricity.  </w:t>
      </w:r>
    </w:p>
    <w:p w14:paraId="1C2EFFB1" w14:textId="70CA4B5A" w:rsidR="00105CDC" w:rsidRDefault="00105CDC" w:rsidP="00594FC6">
      <w:r>
        <w:rPr>
          <w:noProof/>
        </w:rPr>
        <w:drawing>
          <wp:inline distT="0" distB="0" distL="0" distR="0" wp14:anchorId="2296C118" wp14:editId="1BDCC646">
            <wp:extent cx="5934075" cy="3219450"/>
            <wp:effectExtent l="0" t="0" r="9525" b="0"/>
            <wp:docPr id="1" name="Chart 1">
              <a:extLst xmlns:a="http://schemas.openxmlformats.org/drawingml/2006/main">
                <a:ext uri="{FF2B5EF4-FFF2-40B4-BE49-F238E27FC236}">
                  <a16:creationId xmlns:a16="http://schemas.microsoft.com/office/drawing/2014/main" id="{46677E67-421C-40AD-B479-DD85C3DDA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B9B47B" w14:textId="7D40B422" w:rsidR="00105CDC" w:rsidRDefault="00105CDC" w:rsidP="00EA7004">
      <w:pPr>
        <w:pStyle w:val="Caption"/>
      </w:pPr>
      <w:bookmarkStart w:id="7" w:name="_Ref89942747"/>
      <w:r w:rsidRPr="00105CDC">
        <w:t xml:space="preserve">Figure </w:t>
      </w:r>
      <w:fldSimple w:instr=" SEQ Figure \* ARABIC ">
        <w:r w:rsidR="004750BB">
          <w:rPr>
            <w:noProof/>
          </w:rPr>
          <w:t>1</w:t>
        </w:r>
      </w:fldSimple>
      <w:bookmarkEnd w:id="7"/>
      <w:r w:rsidRPr="00105CDC">
        <w:t xml:space="preserve">. </w:t>
      </w:r>
      <w:r>
        <w:t>Electrical energy consumption (</w:t>
      </w:r>
      <w:proofErr w:type="spellStart"/>
      <w:r>
        <w:t>TWh</w:t>
      </w:r>
      <w:proofErr w:type="spellEnd"/>
      <w:r>
        <w:t>) of refrigeration in the food sectors.</w:t>
      </w:r>
    </w:p>
    <w:p w14:paraId="62718157" w14:textId="29922727" w:rsidR="00DB1227" w:rsidRDefault="00BE63DF" w:rsidP="00DB1227">
      <w:pPr>
        <w:pStyle w:val="Heading2"/>
      </w:pPr>
      <w:r>
        <w:t>Refrigerant</w:t>
      </w:r>
      <w:r w:rsidR="00DB1227">
        <w:t xml:space="preserve"> emissions</w:t>
      </w:r>
    </w:p>
    <w:p w14:paraId="72DE63B8" w14:textId="77777777" w:rsidR="00DB1227" w:rsidRPr="0082084C" w:rsidRDefault="00DB1227" w:rsidP="00DB1227">
      <w:pPr>
        <w:rPr>
          <w:szCs w:val="22"/>
        </w:rPr>
      </w:pPr>
      <w:r w:rsidRPr="0082084C">
        <w:rPr>
          <w:szCs w:val="22"/>
        </w:rPr>
        <w:t xml:space="preserve">The EU F-Gas regulation came into force on 1st January 2015.  </w:t>
      </w:r>
      <w:r w:rsidRPr="00EA7004">
        <w:rPr>
          <w:szCs w:val="22"/>
        </w:rPr>
        <w:t xml:space="preserve">The regulation introduced a ban on the installation of new equipment using refrigerants with a global warming potential (GWP) of 2500 or more from 2020; and </w:t>
      </w:r>
      <w:proofErr w:type="gramStart"/>
      <w:r w:rsidRPr="00EA7004">
        <w:rPr>
          <w:szCs w:val="22"/>
        </w:rPr>
        <w:t>also</w:t>
      </w:r>
      <w:proofErr w:type="gramEnd"/>
      <w:r w:rsidRPr="00EA7004">
        <w:rPr>
          <w:szCs w:val="22"/>
        </w:rPr>
        <w:t xml:space="preserve"> a ban on using virgin refrigerants for servicing from 2020. However, reclaimed refrigerant can be used for servicing up to 2030.  This has had the greatest effect on systems using R404A which has a GWP of 3922 and was the most common refrigerant in many sectors before 2015.</w:t>
      </w:r>
    </w:p>
    <w:p w14:paraId="66BF1C85" w14:textId="33E49CA8" w:rsidR="00FD5C66" w:rsidRDefault="00DB1227" w:rsidP="00DB1227">
      <w:r>
        <w:fldChar w:fldCharType="begin"/>
      </w:r>
      <w:r>
        <w:instrText>ADDIN RW.CITE{{doc:60a7d6708f08c6a021c02cf1 BRA 2018}}</w:instrText>
      </w:r>
      <w:r>
        <w:fldChar w:fldCharType="separate"/>
      </w:r>
      <w:r w:rsidR="00530792" w:rsidRPr="00530792">
        <w:rPr>
          <w:rFonts w:ascii="Calibri" w:hAnsi="Calibri" w:cs="Calibri"/>
          <w:bCs/>
          <w:lang w:val="en-US"/>
        </w:rPr>
        <w:t xml:space="preserve">BRA </w:t>
      </w:r>
      <w:r w:rsidR="001A7671">
        <w:rPr>
          <w:rFonts w:ascii="Calibri" w:hAnsi="Calibri" w:cs="Calibri"/>
          <w:bCs/>
          <w:lang w:val="en-US"/>
        </w:rPr>
        <w:t>(</w:t>
      </w:r>
      <w:r w:rsidR="00530792" w:rsidRPr="00530792">
        <w:rPr>
          <w:rFonts w:ascii="Calibri" w:hAnsi="Calibri" w:cs="Calibri"/>
          <w:bCs/>
          <w:lang w:val="en-US"/>
        </w:rPr>
        <w:t>2018)</w:t>
      </w:r>
      <w:r>
        <w:fldChar w:fldCharType="end"/>
      </w:r>
      <w:r>
        <w:t xml:space="preserve"> stated that at </w:t>
      </w:r>
      <w:r w:rsidR="00004730">
        <w:t xml:space="preserve">the </w:t>
      </w:r>
      <w:r>
        <w:t>time of publication t</w:t>
      </w:r>
      <w:r w:rsidRPr="00385B40">
        <w:t xml:space="preserve">here </w:t>
      </w:r>
      <w:r>
        <w:t>were</w:t>
      </w:r>
      <w:r w:rsidRPr="00385B40">
        <w:t xml:space="preserve"> 12,000 to 20,000 R404A systems in Britain, roughly half being large supermarket systems driven by multi-compressor packs, and the other half driven </w:t>
      </w:r>
      <w:r w:rsidRPr="00385B40">
        <w:lastRenderedPageBreak/>
        <w:t>by condensing units</w:t>
      </w:r>
      <w:r w:rsidR="00977C12">
        <w:t>.</w:t>
      </w:r>
      <w:r>
        <w:t xml:space="preserve"> </w:t>
      </w:r>
      <w:r w:rsidRPr="00385B40">
        <w:t xml:space="preserve">These </w:t>
      </w:r>
      <w:r>
        <w:t xml:space="preserve">systems are used on </w:t>
      </w:r>
      <w:r w:rsidRPr="00385B40">
        <w:t xml:space="preserve">cold stores of all sizes, preparation rooms, convenience stores and process cooling.  Analysis of information from the BRA Annual Statistics and collection and further discussions with the information providers for the survey and end users has given an estimate in excess of 11 000 tonnes of R404A being deployed throughout the food chain in the UK as </w:t>
      </w:r>
      <w:proofErr w:type="gramStart"/>
      <w:r w:rsidRPr="00385B40">
        <w:t>at</w:t>
      </w:r>
      <w:proofErr w:type="gramEnd"/>
      <w:r w:rsidRPr="00385B40">
        <w:t xml:space="preserve"> 2015.</w:t>
      </w:r>
      <w:r w:rsidR="00EA7004">
        <w:t xml:space="preserve">  No further update of the quantity of R404A used has been found.</w:t>
      </w:r>
    </w:p>
    <w:p w14:paraId="00CF1EA5" w14:textId="77777777" w:rsidR="00DB1227" w:rsidRDefault="00DB1227" w:rsidP="00DB1227">
      <w:pPr>
        <w:pStyle w:val="Heading3"/>
      </w:pPr>
      <w:r>
        <w:t xml:space="preserve">Agriculture and fisheries </w:t>
      </w:r>
    </w:p>
    <w:p w14:paraId="21472EB8" w14:textId="099AFDC5" w:rsidR="002E77CF" w:rsidRDefault="002E77CF" w:rsidP="00DB1227">
      <w:r>
        <w:t xml:space="preserve">The </w:t>
      </w:r>
      <w:r w:rsidR="00DB1227">
        <w:t xml:space="preserve">UK GHG Inventory shows emissions for different parts of </w:t>
      </w:r>
      <w:proofErr w:type="gramStart"/>
      <w:r w:rsidR="00DB1227">
        <w:t>agriculture, but</w:t>
      </w:r>
      <w:proofErr w:type="gramEnd"/>
      <w:r w:rsidR="00DB1227">
        <w:t xml:space="preserve"> does not </w:t>
      </w:r>
      <w:r w:rsidR="00004730">
        <w:t>differentiate</w:t>
      </w:r>
      <w:r w:rsidR="00DB1227">
        <w:t xml:space="preserve"> directly </w:t>
      </w:r>
      <w:r w:rsidR="00004730">
        <w:t>for direct emission</w:t>
      </w:r>
      <w:r w:rsidR="00EE3D96">
        <w:t>s</w:t>
      </w:r>
      <w:r w:rsidR="00004730">
        <w:t xml:space="preserve"> from </w:t>
      </w:r>
      <w:r w:rsidR="00DB1227">
        <w:t xml:space="preserve">refrigeration.  The study by </w:t>
      </w:r>
      <w:r w:rsidR="00DB1227">
        <w:fldChar w:fldCharType="begin"/>
      </w:r>
      <w:r w:rsidR="00DB1227">
        <w:instrText>ADDIN RW.CITE{{doc:60e30c3f8f083a58087ca086 SKMEnviros 2011}}</w:instrText>
      </w:r>
      <w:r w:rsidR="00DB1227">
        <w:fldChar w:fldCharType="separate"/>
      </w:r>
      <w:r w:rsidR="00530792" w:rsidRPr="00530792">
        <w:rPr>
          <w:rFonts w:ascii="Calibri" w:hAnsi="Calibri" w:cs="Calibri"/>
          <w:bCs/>
          <w:lang w:val="en-US"/>
        </w:rPr>
        <w:t xml:space="preserve">SKM Enviros </w:t>
      </w:r>
      <w:r w:rsidR="001A7671">
        <w:rPr>
          <w:rFonts w:ascii="Calibri" w:hAnsi="Calibri" w:cs="Calibri"/>
          <w:bCs/>
          <w:lang w:val="en-US"/>
        </w:rPr>
        <w:t>(</w:t>
      </w:r>
      <w:r w:rsidR="00530792" w:rsidRPr="00530792">
        <w:rPr>
          <w:rFonts w:ascii="Calibri" w:hAnsi="Calibri" w:cs="Calibri"/>
          <w:bCs/>
          <w:lang w:val="en-US"/>
        </w:rPr>
        <w:t>2011)</w:t>
      </w:r>
      <w:r w:rsidR="00DB1227">
        <w:fldChar w:fldCharType="end"/>
      </w:r>
      <w:r w:rsidR="00DB1227">
        <w:t xml:space="preserve"> estimated 0.05 </w:t>
      </w:r>
      <w:r w:rsidR="00DB1227" w:rsidRPr="007E2423">
        <w:t>MtCO</w:t>
      </w:r>
      <w:r w:rsidR="00DB1227" w:rsidRPr="007E2423">
        <w:rPr>
          <w:vertAlign w:val="subscript"/>
        </w:rPr>
        <w:t>2</w:t>
      </w:r>
      <w:r w:rsidR="00DB1227">
        <w:rPr>
          <w:vertAlign w:val="subscript"/>
        </w:rPr>
        <w:t>e</w:t>
      </w:r>
      <w:r w:rsidR="00DB1227" w:rsidRPr="00A52DFB">
        <w:t xml:space="preserve"> </w:t>
      </w:r>
      <w:r w:rsidR="00DB1227">
        <w:t>of direct emissions from agriculture.  No other studies could be found.</w:t>
      </w:r>
      <w:r>
        <w:t xml:space="preserve">  A confidence </w:t>
      </w:r>
      <w:r w:rsidR="00EE3D96">
        <w:t xml:space="preserve">of </w:t>
      </w:r>
      <w:r>
        <w:t>medium was given to this value.</w:t>
      </w:r>
    </w:p>
    <w:p w14:paraId="32E8BCB5" w14:textId="486CC8B5" w:rsidR="00DB1227" w:rsidRDefault="00DB1227" w:rsidP="00DB1227">
      <w:pPr>
        <w:pStyle w:val="Heading3"/>
      </w:pPr>
      <w:r>
        <w:t>Food and drink manufacture</w:t>
      </w:r>
    </w:p>
    <w:p w14:paraId="259C358F" w14:textId="4AD3095E" w:rsidR="00DB1227" w:rsidRDefault="00DB1227" w:rsidP="00DB1227">
      <w:pPr>
        <w:rPr>
          <w:rFonts w:ascii="Calibri" w:hAnsi="Calibri" w:cs="Calibri"/>
          <w:bCs/>
          <w:lang w:val="en-US"/>
        </w:rPr>
      </w:pPr>
      <w:r>
        <w:rPr>
          <w:rFonts w:ascii="Calibri" w:hAnsi="Calibri" w:cs="Calibri"/>
          <w:bCs/>
          <w:lang w:val="en-US"/>
        </w:rPr>
        <w:t>This sector typically has very large systems, that can be blast freezers, glycol chillers etc</w:t>
      </w:r>
      <w:r w:rsidR="00EE3D96">
        <w:rPr>
          <w:rFonts w:ascii="Calibri" w:hAnsi="Calibri" w:cs="Calibri"/>
          <w:bCs/>
          <w:lang w:val="en-US"/>
        </w:rPr>
        <w:t>.</w:t>
      </w:r>
      <w:r>
        <w:rPr>
          <w:rFonts w:ascii="Calibri" w:hAnsi="Calibri" w:cs="Calibri"/>
          <w:bCs/>
          <w:lang w:val="en-US"/>
        </w:rPr>
        <w:t xml:space="preserve">, often with </w:t>
      </w:r>
      <w:proofErr w:type="gramStart"/>
      <w:r w:rsidR="00EE3D96">
        <w:rPr>
          <w:rFonts w:ascii="Calibri" w:hAnsi="Calibri" w:cs="Calibri"/>
          <w:bCs/>
          <w:lang w:val="en-US"/>
        </w:rPr>
        <w:t xml:space="preserve">in </w:t>
      </w:r>
      <w:r>
        <w:rPr>
          <w:rFonts w:ascii="Calibri" w:hAnsi="Calibri" w:cs="Calibri"/>
          <w:bCs/>
          <w:lang w:val="en-US"/>
        </w:rPr>
        <w:t>excess of</w:t>
      </w:r>
      <w:proofErr w:type="gramEnd"/>
      <w:r>
        <w:rPr>
          <w:rFonts w:ascii="Calibri" w:hAnsi="Calibri" w:cs="Calibri"/>
          <w:bCs/>
          <w:lang w:val="en-US"/>
        </w:rPr>
        <w:t xml:space="preserve"> 500 kg of refrigerant.  However, </w:t>
      </w:r>
      <w:r w:rsidR="00004730">
        <w:rPr>
          <w:rFonts w:ascii="Calibri" w:hAnsi="Calibri" w:cs="Calibri"/>
          <w:bCs/>
          <w:lang w:val="en-US"/>
        </w:rPr>
        <w:t xml:space="preserve">there are </w:t>
      </w:r>
      <w:r>
        <w:rPr>
          <w:rFonts w:ascii="Calibri" w:hAnsi="Calibri" w:cs="Calibri"/>
          <w:bCs/>
          <w:lang w:val="en-US"/>
        </w:rPr>
        <w:t xml:space="preserve">also medium sized systems with typically 10 to 100 kg of refrigerant that can be used for cooling product or </w:t>
      </w:r>
      <w:proofErr w:type="gramStart"/>
      <w:r>
        <w:rPr>
          <w:rFonts w:ascii="Calibri" w:hAnsi="Calibri" w:cs="Calibri"/>
          <w:bCs/>
          <w:lang w:val="en-US"/>
        </w:rPr>
        <w:t>short term</w:t>
      </w:r>
      <w:proofErr w:type="gramEnd"/>
      <w:r>
        <w:rPr>
          <w:rFonts w:ascii="Calibri" w:hAnsi="Calibri" w:cs="Calibri"/>
          <w:bCs/>
          <w:lang w:val="en-US"/>
        </w:rPr>
        <w:t xml:space="preserve"> cold storage.</w:t>
      </w:r>
    </w:p>
    <w:p w14:paraId="7273E49D" w14:textId="52080476" w:rsidR="00DB1227" w:rsidRDefault="00DB1227" w:rsidP="00DB1227">
      <w:r>
        <w:rPr>
          <w:rFonts w:ascii="Calibri" w:hAnsi="Calibri" w:cs="Calibri"/>
          <w:bCs/>
          <w:lang w:val="en-US"/>
        </w:rPr>
        <w:t xml:space="preserve">The only data that could be found for direct emissions for food manufacturing only (not cold storage) was </w:t>
      </w:r>
      <w:r w:rsidR="00004730">
        <w:rPr>
          <w:rFonts w:ascii="Calibri" w:hAnsi="Calibri" w:cs="Calibri"/>
          <w:bCs/>
          <w:lang w:val="en-US"/>
        </w:rPr>
        <w:t xml:space="preserve">from </w:t>
      </w:r>
      <w:r w:rsidR="00004730" w:rsidRPr="00C56914">
        <w:rPr>
          <w:rFonts w:ascii="Calibri" w:hAnsi="Calibri" w:cs="Calibri"/>
          <w:bCs/>
          <w:lang w:val="en-US"/>
        </w:rPr>
        <w:t xml:space="preserve">SKM Enviros </w:t>
      </w:r>
      <w:r w:rsidRPr="00C56914">
        <w:rPr>
          <w:rFonts w:ascii="Calibri" w:hAnsi="Calibri" w:cs="Calibri"/>
          <w:bCs/>
          <w:lang w:val="en-US"/>
        </w:rPr>
        <w:t>(2011</w:t>
      </w:r>
      <w:r>
        <w:rPr>
          <w:rFonts w:ascii="Calibri" w:hAnsi="Calibri" w:cs="Calibri"/>
          <w:bCs/>
          <w:lang w:val="en-US"/>
        </w:rPr>
        <w:t xml:space="preserve">), who </w:t>
      </w:r>
      <w:r>
        <w:t xml:space="preserve">estimated 0.89 </w:t>
      </w:r>
      <w:r w:rsidRPr="007E2423">
        <w:t>MtCO</w:t>
      </w:r>
      <w:r w:rsidRPr="007E2423">
        <w:rPr>
          <w:vertAlign w:val="subscript"/>
        </w:rPr>
        <w:t>2</w:t>
      </w:r>
      <w:r>
        <w:rPr>
          <w:vertAlign w:val="subscript"/>
        </w:rPr>
        <w:t>e</w:t>
      </w:r>
      <w:r>
        <w:t xml:space="preserve"> of direct emissions for food and drink manufacture.  This is based on 2010 data and is made up of 0.54 and 0.35 </w:t>
      </w:r>
      <w:r w:rsidRPr="007E2423">
        <w:t>MtCO</w:t>
      </w:r>
      <w:r w:rsidRPr="007E2423">
        <w:rPr>
          <w:vertAlign w:val="subscript"/>
        </w:rPr>
        <w:t>2</w:t>
      </w:r>
      <w:r>
        <w:rPr>
          <w:vertAlign w:val="subscript"/>
        </w:rPr>
        <w:t>e</w:t>
      </w:r>
      <w:r>
        <w:t xml:space="preserve"> from HFCs and HCFCs respectively.  </w:t>
      </w:r>
      <w:r w:rsidR="00C42D79">
        <w:t xml:space="preserve">A medium confidence is associated with </w:t>
      </w:r>
      <w:r w:rsidR="00004730">
        <w:t xml:space="preserve">this </w:t>
      </w:r>
      <w:r w:rsidR="00C42D79">
        <w:t>value.</w:t>
      </w:r>
    </w:p>
    <w:p w14:paraId="63164C40" w14:textId="77777777" w:rsidR="00DB1227" w:rsidRPr="000757E5" w:rsidRDefault="00DB1227" w:rsidP="00DB1227">
      <w:pPr>
        <w:pStyle w:val="Heading3"/>
      </w:pPr>
      <w:r>
        <w:t>Cold storage</w:t>
      </w:r>
    </w:p>
    <w:p w14:paraId="69781EC5" w14:textId="28886525" w:rsidR="00DB1227" w:rsidRDefault="00DB1227" w:rsidP="00DB1227">
      <w:pPr>
        <w:rPr>
          <w:rFonts w:ascii="Calibri" w:hAnsi="Calibri" w:cs="Calibri"/>
          <w:bCs/>
          <w:lang w:val="en-US"/>
        </w:rPr>
      </w:pPr>
      <w:r>
        <w:rPr>
          <w:rFonts w:ascii="Calibri" w:hAnsi="Calibri" w:cs="Calibri"/>
          <w:bCs/>
          <w:lang w:val="en-US"/>
        </w:rPr>
        <w:t xml:space="preserve">These systems tend to be large industrial systems commonly using ammonia.  </w:t>
      </w:r>
      <w:r w:rsidRPr="00387044">
        <w:rPr>
          <w:rFonts w:ascii="Calibri" w:hAnsi="Calibri" w:cs="Calibri"/>
          <w:bCs/>
          <w:lang w:val="en-US"/>
        </w:rPr>
        <w:t>This sector tends to maintain temperature</w:t>
      </w:r>
      <w:r w:rsidR="00E37CCE" w:rsidRPr="00387044">
        <w:rPr>
          <w:rFonts w:ascii="Calibri" w:hAnsi="Calibri" w:cs="Calibri"/>
          <w:bCs/>
          <w:lang w:val="en-US"/>
        </w:rPr>
        <w:t>,</w:t>
      </w:r>
      <w:r w:rsidRPr="00387044">
        <w:rPr>
          <w:rFonts w:ascii="Calibri" w:hAnsi="Calibri" w:cs="Calibri"/>
          <w:bCs/>
          <w:lang w:val="en-US"/>
        </w:rPr>
        <w:t xml:space="preserve"> not reduce it, although some sites have blast freezers.</w:t>
      </w:r>
    </w:p>
    <w:p w14:paraId="40415E82" w14:textId="55E54021" w:rsidR="00DB1227" w:rsidRDefault="00DB1227" w:rsidP="00DB1227">
      <w:r>
        <w:rPr>
          <w:rFonts w:ascii="Calibri" w:hAnsi="Calibri" w:cs="Calibri"/>
          <w:bCs/>
          <w:lang w:val="en-US"/>
        </w:rPr>
        <w:t>The only data that could be found for direct emissions for cold storage only was</w:t>
      </w:r>
      <w:r w:rsidR="00004730">
        <w:rPr>
          <w:rFonts w:ascii="Calibri" w:hAnsi="Calibri" w:cs="Calibri"/>
          <w:bCs/>
          <w:lang w:val="en-US"/>
        </w:rPr>
        <w:t xml:space="preserve"> from</w:t>
      </w:r>
      <w:r>
        <w:rPr>
          <w:rFonts w:ascii="Calibri" w:hAnsi="Calibri" w:cs="Calibri"/>
          <w:bCs/>
          <w:lang w:val="en-US"/>
        </w:rPr>
        <w:t xml:space="preserve"> </w:t>
      </w:r>
      <w:r w:rsidR="00004730" w:rsidRPr="00C56914">
        <w:rPr>
          <w:rFonts w:ascii="Calibri" w:hAnsi="Calibri" w:cs="Calibri"/>
          <w:bCs/>
          <w:lang w:val="en-US"/>
        </w:rPr>
        <w:t xml:space="preserve">SKM Enviros </w:t>
      </w:r>
      <w:r w:rsidRPr="00C56914">
        <w:rPr>
          <w:rFonts w:ascii="Calibri" w:hAnsi="Calibri" w:cs="Calibri"/>
          <w:bCs/>
          <w:lang w:val="en-US"/>
        </w:rPr>
        <w:t>(2011</w:t>
      </w:r>
      <w:r>
        <w:rPr>
          <w:rFonts w:ascii="Calibri" w:hAnsi="Calibri" w:cs="Calibri"/>
          <w:bCs/>
          <w:lang w:val="en-US"/>
        </w:rPr>
        <w:t xml:space="preserve">), who </w:t>
      </w:r>
      <w:r>
        <w:t xml:space="preserve">estimated 0.18 </w:t>
      </w:r>
      <w:r w:rsidRPr="007E2423">
        <w:t>MtCO</w:t>
      </w:r>
      <w:r w:rsidRPr="007E2423">
        <w:rPr>
          <w:vertAlign w:val="subscript"/>
        </w:rPr>
        <w:t>2</w:t>
      </w:r>
      <w:r>
        <w:rPr>
          <w:vertAlign w:val="subscript"/>
        </w:rPr>
        <w:t>e</w:t>
      </w:r>
      <w:r>
        <w:t xml:space="preserve"> of direct emissions.  </w:t>
      </w:r>
      <w:r w:rsidR="00C42D79">
        <w:t xml:space="preserve">A medium confidence is associated with </w:t>
      </w:r>
      <w:r w:rsidR="004C3997">
        <w:t xml:space="preserve">this </w:t>
      </w:r>
      <w:r w:rsidR="00C42D79">
        <w:t>value.</w:t>
      </w:r>
    </w:p>
    <w:p w14:paraId="170941E3" w14:textId="77777777" w:rsidR="00C42D79" w:rsidRDefault="00C42D79" w:rsidP="00C42D79">
      <w:pPr>
        <w:pStyle w:val="Heading3"/>
      </w:pPr>
      <w:r>
        <w:t>Industrial (food manufacturing + cold storage)</w:t>
      </w:r>
    </w:p>
    <w:p w14:paraId="59315696" w14:textId="049DF2EC" w:rsidR="00C42D79" w:rsidRDefault="00C42D79" w:rsidP="00C42D79">
      <w:pPr>
        <w:rPr>
          <w:rFonts w:cstheme="minorHAnsi"/>
        </w:rPr>
      </w:pPr>
      <w:r>
        <w:rPr>
          <w:rFonts w:cstheme="minorHAnsi"/>
        </w:rPr>
        <w:t xml:space="preserve">The UK GHG </w:t>
      </w:r>
      <w:r w:rsidR="004C3997">
        <w:rPr>
          <w:rFonts w:cstheme="minorHAnsi"/>
        </w:rPr>
        <w:t xml:space="preserve">Inventory </w:t>
      </w:r>
      <w:r>
        <w:rPr>
          <w:rFonts w:cstheme="minorHAnsi"/>
        </w:rPr>
        <w:t>shows emissions from industrial systems. This i</w:t>
      </w:r>
      <w:r w:rsidRPr="003563D4">
        <w:rPr>
          <w:rFonts w:cstheme="minorHAnsi"/>
        </w:rPr>
        <w:t>nclud</w:t>
      </w:r>
      <w:r>
        <w:rPr>
          <w:rFonts w:cstheme="minorHAnsi"/>
        </w:rPr>
        <w:t>es</w:t>
      </w:r>
      <w:r w:rsidRPr="003563D4">
        <w:rPr>
          <w:rFonts w:cstheme="minorHAnsi"/>
        </w:rPr>
        <w:t xml:space="preserve"> industrial process refrigeration </w:t>
      </w:r>
      <w:r>
        <w:rPr>
          <w:rFonts w:cstheme="minorHAnsi"/>
        </w:rPr>
        <w:t xml:space="preserve">(not necessarily food) </w:t>
      </w:r>
      <w:r w:rsidRPr="003563D4">
        <w:rPr>
          <w:rFonts w:cstheme="minorHAnsi"/>
        </w:rPr>
        <w:t xml:space="preserve">and cold storage. </w:t>
      </w:r>
      <w:r>
        <w:rPr>
          <w:rFonts w:cstheme="minorHAnsi"/>
        </w:rPr>
        <w:t>Larger systems tend to use ammonia which has a GWP of 0.</w:t>
      </w:r>
    </w:p>
    <w:p w14:paraId="54D3B060" w14:textId="782A71FB" w:rsidR="00C42D79" w:rsidRPr="00881B8D" w:rsidRDefault="00C42D79" w:rsidP="00C42D79">
      <w:r w:rsidRPr="00C56914">
        <w:rPr>
          <w:rFonts w:cstheme="minorHAnsi"/>
        </w:rPr>
        <w:t xml:space="preserve">According to </w:t>
      </w:r>
      <w:r>
        <w:rPr>
          <w:rFonts w:cstheme="minorHAnsi"/>
        </w:rPr>
        <w:t xml:space="preserve">the UK </w:t>
      </w:r>
      <w:r w:rsidR="004C3997" w:rsidRPr="00C56914">
        <w:rPr>
          <w:rFonts w:cstheme="minorHAnsi"/>
        </w:rPr>
        <w:t>G</w:t>
      </w:r>
      <w:r w:rsidR="004C3997">
        <w:rPr>
          <w:rFonts w:cstheme="minorHAnsi"/>
        </w:rPr>
        <w:t>H</w:t>
      </w:r>
      <w:r w:rsidRPr="00C56914">
        <w:rPr>
          <w:rFonts w:cstheme="minorHAnsi"/>
        </w:rPr>
        <w:t xml:space="preserve">G </w:t>
      </w:r>
      <w:r w:rsidR="004C3997" w:rsidRPr="00C56914">
        <w:rPr>
          <w:rFonts w:cstheme="minorHAnsi"/>
        </w:rPr>
        <w:t>Inventor</w:t>
      </w:r>
      <w:r w:rsidR="004C3997">
        <w:rPr>
          <w:rFonts w:cstheme="minorHAnsi"/>
        </w:rPr>
        <w:t>y</w:t>
      </w:r>
      <w:r w:rsidR="004C3997" w:rsidRPr="00C56914">
        <w:rPr>
          <w:rFonts w:cstheme="minorHAnsi"/>
        </w:rPr>
        <w:t xml:space="preserve"> </w:t>
      </w:r>
      <w:r w:rsidRPr="00C56914">
        <w:rPr>
          <w:rFonts w:cstheme="minorHAnsi"/>
        </w:rPr>
        <w:t xml:space="preserve">for 2019 </w:t>
      </w:r>
      <w:r w:rsidRPr="00C56914">
        <w:t>industrial refrigeration</w:t>
      </w:r>
      <w:r>
        <w:t xml:space="preserve"> accounted for 1.34 </w:t>
      </w:r>
      <w:r w:rsidRPr="007E2423">
        <w:t>MtCO</w:t>
      </w:r>
      <w:r w:rsidRPr="007E2423">
        <w:rPr>
          <w:vertAlign w:val="subscript"/>
        </w:rPr>
        <w:t>2</w:t>
      </w:r>
      <w:r>
        <w:rPr>
          <w:vertAlign w:val="subscript"/>
        </w:rPr>
        <w:t>e</w:t>
      </w:r>
      <w:r>
        <w:t xml:space="preserve"> of emissions</w:t>
      </w:r>
      <w:r>
        <w:rPr>
          <w:vertAlign w:val="subscript"/>
        </w:rPr>
        <w:t>.</w:t>
      </w:r>
      <w:r>
        <w:t xml:space="preserve">  This includes food factories, cold stores, petrochemicals, pharmaceuticals, printing, and plastics.  It is assumed that the food manufacturing and cold storage industry represents approximately 75% (1.01 </w:t>
      </w:r>
      <w:r w:rsidRPr="007E2423">
        <w:t>MtCO</w:t>
      </w:r>
      <w:r w:rsidRPr="007E2423">
        <w:rPr>
          <w:vertAlign w:val="subscript"/>
        </w:rPr>
        <w:t>2</w:t>
      </w:r>
      <w:r>
        <w:rPr>
          <w:vertAlign w:val="subscript"/>
        </w:rPr>
        <w:t>e</w:t>
      </w:r>
      <w:r>
        <w:t xml:space="preserve">) of industrial refrigeration facilities, with the remaining 25% being in the chemical and pharmaceutical industries </w:t>
      </w:r>
      <w:r>
        <w:fldChar w:fldCharType="begin"/>
      </w:r>
      <w:r>
        <w:instrText>ADDIN RW.CITE{{doc:6107e0168f08006766031d00 Oko-Institut 2021}}</w:instrText>
      </w:r>
      <w:r>
        <w:fldChar w:fldCharType="separate"/>
      </w:r>
      <w:r w:rsidR="00530792" w:rsidRPr="00530792">
        <w:rPr>
          <w:rFonts w:ascii="Calibri" w:hAnsi="Calibri" w:cs="Calibri"/>
          <w:bCs/>
          <w:lang w:val="en-US"/>
        </w:rPr>
        <w:t>(Oko-Institut</w:t>
      </w:r>
      <w:r w:rsidR="001A7671">
        <w:rPr>
          <w:rFonts w:ascii="Calibri" w:hAnsi="Calibri" w:cs="Calibri"/>
          <w:bCs/>
          <w:lang w:val="en-US"/>
        </w:rPr>
        <w:t xml:space="preserve"> et al.,</w:t>
      </w:r>
      <w:r w:rsidR="00530792" w:rsidRPr="00530792">
        <w:rPr>
          <w:rFonts w:ascii="Calibri" w:hAnsi="Calibri" w:cs="Calibri"/>
          <w:bCs/>
          <w:lang w:val="en-US"/>
        </w:rPr>
        <w:t xml:space="preserve"> 2021)</w:t>
      </w:r>
      <w:r>
        <w:fldChar w:fldCharType="end"/>
      </w:r>
      <w:r>
        <w:t xml:space="preserve">.  </w:t>
      </w:r>
    </w:p>
    <w:p w14:paraId="6C586AE2" w14:textId="04F67327" w:rsidR="00C42D79" w:rsidRDefault="00C42D79" w:rsidP="00DB1227">
      <w:r>
        <w:t xml:space="preserve">The sum of food and drink manufacture (section </w:t>
      </w:r>
      <w:r w:rsidR="000061FF">
        <w:t>3</w:t>
      </w:r>
      <w:r w:rsidR="00387044">
        <w:t>.</w:t>
      </w:r>
      <w:r>
        <w:t xml:space="preserve">2.2) and cold storage (section </w:t>
      </w:r>
      <w:r w:rsidR="000061FF">
        <w:t>3</w:t>
      </w:r>
      <w:r>
        <w:t>.2.3) is 1.07 MtCo2e.  This matches closely with the value from this section</w:t>
      </w:r>
      <w:r w:rsidR="001A7671">
        <w:t xml:space="preserve">.  </w:t>
      </w:r>
      <w:proofErr w:type="gramStart"/>
      <w:r w:rsidR="001A7671">
        <w:t>T</w:t>
      </w:r>
      <w:r>
        <w:t>herefore</w:t>
      </w:r>
      <w:proofErr w:type="gramEnd"/>
      <w:r>
        <w:t xml:space="preserve"> a high confidence is associated with this value. </w:t>
      </w:r>
    </w:p>
    <w:p w14:paraId="7B41CA8E" w14:textId="77777777" w:rsidR="00DB1227" w:rsidRDefault="00DB1227" w:rsidP="00DB1227">
      <w:pPr>
        <w:pStyle w:val="Heading3"/>
      </w:pPr>
      <w:r>
        <w:t>Land transport refrigeration</w:t>
      </w:r>
    </w:p>
    <w:p w14:paraId="2604A538" w14:textId="179DE6A8" w:rsidR="00DB1227" w:rsidRPr="00004730" w:rsidRDefault="00DB1227" w:rsidP="00DB1227">
      <w:pPr>
        <w:rPr>
          <w:rFonts w:cstheme="minorHAnsi"/>
          <w:szCs w:val="22"/>
        </w:rPr>
      </w:pPr>
      <w:r w:rsidRPr="00004730">
        <w:rPr>
          <w:rFonts w:cstheme="minorHAnsi"/>
          <w:szCs w:val="22"/>
        </w:rPr>
        <w:t xml:space="preserve">Data from </w:t>
      </w:r>
      <w:r w:rsidR="004C3997">
        <w:rPr>
          <w:rFonts w:cstheme="minorHAnsi"/>
          <w:szCs w:val="22"/>
        </w:rPr>
        <w:t xml:space="preserve">the </w:t>
      </w:r>
      <w:r w:rsidRPr="00004730">
        <w:rPr>
          <w:rFonts w:cstheme="minorHAnsi"/>
          <w:szCs w:val="22"/>
        </w:rPr>
        <w:t xml:space="preserve">UK GHG </w:t>
      </w:r>
      <w:r w:rsidR="00AD3472" w:rsidRPr="00004730">
        <w:rPr>
          <w:rFonts w:cstheme="minorHAnsi"/>
          <w:szCs w:val="22"/>
        </w:rPr>
        <w:t>Inventor</w:t>
      </w:r>
      <w:r w:rsidR="00AD3472">
        <w:rPr>
          <w:rFonts w:cstheme="minorHAnsi"/>
          <w:szCs w:val="22"/>
        </w:rPr>
        <w:t>y</w:t>
      </w:r>
      <w:r w:rsidR="00AD3472" w:rsidRPr="00004730">
        <w:rPr>
          <w:rFonts w:cstheme="minorHAnsi"/>
          <w:szCs w:val="22"/>
        </w:rPr>
        <w:t xml:space="preserve"> </w:t>
      </w:r>
      <w:r w:rsidRPr="00004730">
        <w:rPr>
          <w:rFonts w:cstheme="minorHAnsi"/>
          <w:szCs w:val="22"/>
        </w:rPr>
        <w:t xml:space="preserve">shows emissions from </w:t>
      </w:r>
      <w:r w:rsidRPr="00E37CCE">
        <w:rPr>
          <w:rFonts w:cstheme="minorHAnsi"/>
          <w:color w:val="000000"/>
          <w:szCs w:val="22"/>
          <w:shd w:val="clear" w:color="auto" w:fill="FFFFFF"/>
        </w:rPr>
        <w:t xml:space="preserve">large trucks and iso-containers </w:t>
      </w:r>
      <w:r w:rsidRPr="00004730">
        <w:rPr>
          <w:rFonts w:cstheme="minorHAnsi"/>
          <w:szCs w:val="22"/>
        </w:rPr>
        <w:t>of 0.23 MtCO</w:t>
      </w:r>
      <w:r w:rsidRPr="00004730">
        <w:rPr>
          <w:rFonts w:cstheme="minorHAnsi"/>
          <w:szCs w:val="22"/>
          <w:vertAlign w:val="subscript"/>
        </w:rPr>
        <w:t>2e</w:t>
      </w:r>
      <w:r w:rsidRPr="00004730">
        <w:rPr>
          <w:rFonts w:cstheme="minorHAnsi"/>
          <w:szCs w:val="22"/>
        </w:rPr>
        <w:t xml:space="preserve"> and </w:t>
      </w:r>
      <w:r w:rsidRPr="00E37CCE">
        <w:rPr>
          <w:rFonts w:cstheme="minorHAnsi"/>
          <w:color w:val="000000"/>
          <w:szCs w:val="22"/>
          <w:shd w:val="clear" w:color="auto" w:fill="FFFFFF"/>
        </w:rPr>
        <w:t xml:space="preserve">vans and light trucks </w:t>
      </w:r>
      <w:r w:rsidRPr="00004730">
        <w:rPr>
          <w:rFonts w:cstheme="minorHAnsi"/>
          <w:szCs w:val="22"/>
        </w:rPr>
        <w:t>of 0.02 MtCO</w:t>
      </w:r>
      <w:r w:rsidRPr="00004730">
        <w:rPr>
          <w:rFonts w:cstheme="minorHAnsi"/>
          <w:szCs w:val="22"/>
          <w:vertAlign w:val="subscript"/>
        </w:rPr>
        <w:t>2e</w:t>
      </w:r>
      <w:r w:rsidRPr="00004730">
        <w:rPr>
          <w:rFonts w:cstheme="minorHAnsi"/>
          <w:szCs w:val="22"/>
        </w:rPr>
        <w:t xml:space="preserve"> (total of 0.25 MtCO</w:t>
      </w:r>
      <w:r w:rsidRPr="00004730">
        <w:rPr>
          <w:rFonts w:cstheme="minorHAnsi"/>
          <w:szCs w:val="22"/>
          <w:vertAlign w:val="subscript"/>
        </w:rPr>
        <w:t>2e</w:t>
      </w:r>
      <w:r w:rsidRPr="00004730">
        <w:rPr>
          <w:rFonts w:cstheme="minorHAnsi"/>
          <w:szCs w:val="22"/>
        </w:rPr>
        <w:t>)</w:t>
      </w:r>
      <w:r w:rsidRPr="00004730">
        <w:rPr>
          <w:rFonts w:cstheme="minorHAnsi"/>
          <w:szCs w:val="22"/>
          <w:vertAlign w:val="subscript"/>
        </w:rPr>
        <w:t>.</w:t>
      </w:r>
      <w:r w:rsidR="00C42D79" w:rsidRPr="00004730">
        <w:rPr>
          <w:rFonts w:cstheme="minorHAnsi"/>
          <w:szCs w:val="22"/>
        </w:rPr>
        <w:t xml:space="preserve">  </w:t>
      </w:r>
      <w:r w:rsidR="00054819" w:rsidRPr="00004730">
        <w:rPr>
          <w:rFonts w:cstheme="minorHAnsi"/>
          <w:szCs w:val="22"/>
        </w:rPr>
        <w:t xml:space="preserve">As this data came direct from government statistics a </w:t>
      </w:r>
      <w:r w:rsidR="00FD5C66">
        <w:rPr>
          <w:rFonts w:cstheme="minorHAnsi"/>
          <w:szCs w:val="22"/>
        </w:rPr>
        <w:t xml:space="preserve">high </w:t>
      </w:r>
      <w:r w:rsidR="00054819" w:rsidRPr="00004730">
        <w:rPr>
          <w:rFonts w:cstheme="minorHAnsi"/>
          <w:szCs w:val="22"/>
        </w:rPr>
        <w:t>confidence is associated with it.</w:t>
      </w:r>
    </w:p>
    <w:p w14:paraId="1B432419" w14:textId="77777777" w:rsidR="00DB1227" w:rsidRDefault="00DB1227" w:rsidP="00DB1227">
      <w:pPr>
        <w:pStyle w:val="Heading3"/>
      </w:pPr>
      <w:r>
        <w:t>Marine refrigeration (fishing)</w:t>
      </w:r>
    </w:p>
    <w:p w14:paraId="79CC82E2" w14:textId="7DAC5E08" w:rsidR="00DB1227" w:rsidRPr="00FC2234" w:rsidRDefault="00EE30F3" w:rsidP="00DB1227">
      <w:r w:rsidRPr="00530792">
        <w:rPr>
          <w:rFonts w:ascii="Calibri" w:hAnsi="Calibri" w:cs="Calibri"/>
          <w:bCs/>
          <w:lang w:val="en-US"/>
        </w:rPr>
        <w:t>Ziegler et al</w:t>
      </w:r>
      <w:r w:rsidRPr="00FC2234">
        <w:t xml:space="preserve"> </w:t>
      </w:r>
      <w:r>
        <w:t>(2013) reported that m</w:t>
      </w:r>
      <w:r w:rsidR="00DB1227" w:rsidRPr="00FC2234">
        <w:t>odern pelagic vessels have cooling systems that use environmentally harmless refrigerants (</w:t>
      </w:r>
      <w:proofErr w:type="gramStart"/>
      <w:r w:rsidR="00DB1227" w:rsidRPr="00FC2234">
        <w:t>e.g.</w:t>
      </w:r>
      <w:proofErr w:type="gramEnd"/>
      <w:r w:rsidR="00DB1227" w:rsidRPr="00FC2234">
        <w:t xml:space="preserve"> ammonia) and only a small proportion of pelagic vessels were still using the hydrochlorofluorocarbon (HCFC) R22</w:t>
      </w:r>
      <w:r w:rsidR="000061FF">
        <w:t>.</w:t>
      </w:r>
      <w:r w:rsidR="00DB1227" w:rsidRPr="00FC2234">
        <w:t xml:space="preserve">  R22 is still however common in demersal vessels.</w:t>
      </w:r>
    </w:p>
    <w:p w14:paraId="35C613F5" w14:textId="1CA78778" w:rsidR="00DB1227" w:rsidRPr="00705C22" w:rsidRDefault="00DB1227" w:rsidP="00DB1227">
      <w:r w:rsidRPr="00B6015E">
        <w:rPr>
          <w:szCs w:val="22"/>
        </w:rPr>
        <w:t xml:space="preserve">Data from </w:t>
      </w:r>
      <w:r w:rsidR="00AD3472">
        <w:rPr>
          <w:szCs w:val="22"/>
        </w:rPr>
        <w:t xml:space="preserve">the </w:t>
      </w:r>
      <w:r w:rsidRPr="00B6015E">
        <w:rPr>
          <w:rFonts w:cstheme="minorHAnsi"/>
          <w:szCs w:val="22"/>
        </w:rPr>
        <w:t xml:space="preserve">UK GHG </w:t>
      </w:r>
      <w:r w:rsidR="00AD3472" w:rsidRPr="00B6015E">
        <w:rPr>
          <w:rFonts w:cstheme="minorHAnsi"/>
          <w:szCs w:val="22"/>
        </w:rPr>
        <w:t>Invento</w:t>
      </w:r>
      <w:r w:rsidR="00AD3472">
        <w:rPr>
          <w:rFonts w:cstheme="minorHAnsi"/>
          <w:szCs w:val="22"/>
        </w:rPr>
        <w:t>ry</w:t>
      </w:r>
      <w:r w:rsidR="00AD3472" w:rsidRPr="00B6015E">
        <w:rPr>
          <w:rFonts w:cstheme="minorHAnsi"/>
          <w:szCs w:val="22"/>
        </w:rPr>
        <w:t xml:space="preserve"> </w:t>
      </w:r>
      <w:r w:rsidRPr="00B6015E">
        <w:rPr>
          <w:rFonts w:cstheme="minorHAnsi"/>
          <w:szCs w:val="22"/>
        </w:rPr>
        <w:t xml:space="preserve">shows emissions from </w:t>
      </w:r>
      <w:r w:rsidRPr="00E37CCE">
        <w:rPr>
          <w:rFonts w:cstheme="minorHAnsi"/>
          <w:color w:val="000000"/>
          <w:szCs w:val="22"/>
          <w:shd w:val="clear" w:color="auto" w:fill="FFFFFF"/>
        </w:rPr>
        <w:t>marine refrigeration</w:t>
      </w:r>
      <w:r w:rsidRPr="00E37CCE">
        <w:rPr>
          <w:rFonts w:ascii="Verdana" w:hAnsi="Verdana"/>
          <w:color w:val="000000"/>
          <w:szCs w:val="22"/>
          <w:shd w:val="clear" w:color="auto" w:fill="FFFFFF"/>
        </w:rPr>
        <w:t xml:space="preserve"> </w:t>
      </w:r>
      <w:r w:rsidRPr="00B6015E">
        <w:rPr>
          <w:rFonts w:cstheme="minorHAnsi"/>
          <w:szCs w:val="22"/>
        </w:rPr>
        <w:t xml:space="preserve">of 0.44 </w:t>
      </w:r>
      <w:r w:rsidRPr="00B6015E">
        <w:rPr>
          <w:szCs w:val="22"/>
        </w:rPr>
        <w:t>MtCO</w:t>
      </w:r>
      <w:r w:rsidRPr="00B6015E">
        <w:rPr>
          <w:szCs w:val="22"/>
          <w:vertAlign w:val="subscript"/>
        </w:rPr>
        <w:t>2e</w:t>
      </w:r>
      <w:r w:rsidRPr="00B6015E">
        <w:rPr>
          <w:szCs w:val="22"/>
        </w:rPr>
        <w:t>.</w:t>
      </w:r>
      <w:r w:rsidR="00054819" w:rsidRPr="00B6015E">
        <w:rPr>
          <w:szCs w:val="22"/>
        </w:rPr>
        <w:t xml:space="preserve">  As this data</w:t>
      </w:r>
      <w:r w:rsidR="00054819">
        <w:t xml:space="preserve"> came direct from government statistics a </w:t>
      </w:r>
      <w:r w:rsidR="00FD5C66">
        <w:t xml:space="preserve">high </w:t>
      </w:r>
      <w:r w:rsidR="00054819">
        <w:t>confidence is associated with it.</w:t>
      </w:r>
    </w:p>
    <w:p w14:paraId="79B15A39" w14:textId="77777777" w:rsidR="00DB1227" w:rsidRPr="00DB1227" w:rsidRDefault="00DB1227" w:rsidP="00DB1227">
      <w:pPr>
        <w:pStyle w:val="Heading3"/>
      </w:pPr>
      <w:r w:rsidRPr="00DB1227">
        <w:lastRenderedPageBreak/>
        <w:t>Retail</w:t>
      </w:r>
    </w:p>
    <w:p w14:paraId="50FD69EC" w14:textId="058DEFA4" w:rsidR="00513845" w:rsidRDefault="00DB1227" w:rsidP="00DB1227">
      <w:pPr>
        <w:rPr>
          <w:rFonts w:cstheme="minorHAnsi"/>
        </w:rPr>
      </w:pPr>
      <w:r w:rsidRPr="00541285">
        <w:rPr>
          <w:rFonts w:cstheme="minorHAnsi"/>
        </w:rPr>
        <w:t>According to</w:t>
      </w:r>
      <w:r w:rsidR="00B6015E">
        <w:rPr>
          <w:rFonts w:cstheme="minorHAnsi"/>
        </w:rPr>
        <w:t xml:space="preserve"> the</w:t>
      </w:r>
      <w:r>
        <w:rPr>
          <w:rFonts w:cstheme="minorHAnsi"/>
        </w:rPr>
        <w:t xml:space="preserve"> </w:t>
      </w:r>
      <w:r w:rsidR="00B6015E" w:rsidRPr="007425E3">
        <w:rPr>
          <w:rFonts w:ascii="Calibri" w:hAnsi="Calibri" w:cs="Calibri"/>
          <w:bCs/>
          <w:lang w:val="en-US"/>
        </w:rPr>
        <w:t>BRA</w:t>
      </w:r>
      <w:r w:rsidR="00B6015E">
        <w:rPr>
          <w:rFonts w:cstheme="minorHAnsi"/>
        </w:rPr>
        <w:t xml:space="preserve"> </w:t>
      </w:r>
      <w:r>
        <w:rPr>
          <w:rFonts w:cstheme="minorHAnsi"/>
        </w:rPr>
        <w:fldChar w:fldCharType="begin"/>
      </w:r>
      <w:r>
        <w:rPr>
          <w:rFonts w:cstheme="minorHAnsi"/>
        </w:rPr>
        <w:instrText>ADDIN RW.CITE{{doc:60a7d6708f08c6a021c02cf1 BRA 2018}}</w:instrText>
      </w:r>
      <w:r>
        <w:rPr>
          <w:rFonts w:cstheme="minorHAnsi"/>
        </w:rPr>
        <w:fldChar w:fldCharType="separate"/>
      </w:r>
      <w:r w:rsidR="00530792" w:rsidRPr="00530792">
        <w:rPr>
          <w:rFonts w:ascii="Calibri" w:hAnsi="Calibri" w:cs="Calibri"/>
          <w:bCs/>
          <w:lang w:val="en-US"/>
        </w:rPr>
        <w:t>(BRA 2018)</w:t>
      </w:r>
      <w:r>
        <w:rPr>
          <w:rFonts w:cstheme="minorHAnsi"/>
        </w:rPr>
        <w:fldChar w:fldCharType="end"/>
      </w:r>
      <w:r w:rsidRPr="00541285">
        <w:rPr>
          <w:rFonts w:cstheme="minorHAnsi"/>
        </w:rPr>
        <w:t xml:space="preserve"> there </w:t>
      </w:r>
      <w:r>
        <w:rPr>
          <w:rFonts w:cstheme="minorHAnsi"/>
        </w:rPr>
        <w:t>were</w:t>
      </w:r>
      <w:r w:rsidRPr="00541285">
        <w:rPr>
          <w:rFonts w:cstheme="minorHAnsi"/>
        </w:rPr>
        <w:t xml:space="preserve"> 8</w:t>
      </w:r>
      <w:r w:rsidR="00B6015E">
        <w:rPr>
          <w:rFonts w:cstheme="minorHAnsi"/>
        </w:rPr>
        <w:t>,</w:t>
      </w:r>
      <w:r w:rsidRPr="00541285">
        <w:rPr>
          <w:rFonts w:cstheme="minorHAnsi"/>
        </w:rPr>
        <w:t>000 to 12</w:t>
      </w:r>
      <w:r w:rsidR="00B6015E">
        <w:rPr>
          <w:rFonts w:cstheme="minorHAnsi"/>
        </w:rPr>
        <w:t>,</w:t>
      </w:r>
      <w:r w:rsidRPr="00541285">
        <w:rPr>
          <w:rFonts w:cstheme="minorHAnsi"/>
        </w:rPr>
        <w:t xml:space="preserve">000 multi evaporator refrigeration systems in retail premises in the UK. In addition, there </w:t>
      </w:r>
      <w:r>
        <w:rPr>
          <w:rFonts w:cstheme="minorHAnsi"/>
        </w:rPr>
        <w:t>were</w:t>
      </w:r>
      <w:r w:rsidRPr="00541285">
        <w:rPr>
          <w:rFonts w:cstheme="minorHAnsi"/>
        </w:rPr>
        <w:t xml:space="preserve"> a similar number of single compressor systems in commercial and/or retail premises. Whilst progress has been made in converting these systems away from R404A, a significant proportion still (at the time of publication) use R404A as the refrigerant.</w:t>
      </w:r>
    </w:p>
    <w:p w14:paraId="23DF3E7C" w14:textId="58A041F4" w:rsidR="00DB1227" w:rsidRDefault="00DB1227" w:rsidP="00DB1227">
      <w:pPr>
        <w:rPr>
          <w:rFonts w:cstheme="minorHAnsi"/>
        </w:rPr>
      </w:pPr>
      <w:r>
        <w:rPr>
          <w:rFonts w:cstheme="minorHAnsi"/>
        </w:rPr>
        <w:t xml:space="preserve"> large supermarkets </w:t>
      </w:r>
      <w:r w:rsidR="00513845">
        <w:rPr>
          <w:rFonts w:cstheme="minorHAnsi"/>
        </w:rPr>
        <w:t xml:space="preserve">tend to </w:t>
      </w:r>
      <w:r>
        <w:rPr>
          <w:rFonts w:cstheme="minorHAnsi"/>
        </w:rPr>
        <w:t>us</w:t>
      </w:r>
      <w:r w:rsidR="00513845">
        <w:rPr>
          <w:rFonts w:cstheme="minorHAnsi"/>
        </w:rPr>
        <w:t>e</w:t>
      </w:r>
      <w:r>
        <w:rPr>
          <w:rFonts w:cstheme="minorHAnsi"/>
        </w:rPr>
        <w:t xml:space="preserve"> centralised “pack” systems.  In small shops </w:t>
      </w:r>
      <w:r>
        <w:t xml:space="preserve">there is widespread use of integral systems and small split systems (with a remote condensing unit serving one or more display cases) </w:t>
      </w:r>
      <w:r w:rsidRPr="00251806">
        <w:fldChar w:fldCharType="begin"/>
      </w:r>
      <w:r w:rsidRPr="00251806">
        <w:instrText>ADDIN RW.CITE{{doc:60e30c3f8f083a58087ca086 SKMEnviros 2011}}</w:instrText>
      </w:r>
      <w:r w:rsidRPr="00251806">
        <w:fldChar w:fldCharType="separate"/>
      </w:r>
      <w:r w:rsidR="00530792" w:rsidRPr="00530792">
        <w:rPr>
          <w:rFonts w:ascii="Calibri" w:hAnsi="Calibri" w:cs="Calibri"/>
          <w:bCs/>
          <w:lang w:val="en-US"/>
        </w:rPr>
        <w:t xml:space="preserve">(SKM Enviros </w:t>
      </w:r>
      <w:r w:rsidR="001A7671">
        <w:rPr>
          <w:rFonts w:ascii="Calibri" w:hAnsi="Calibri" w:cs="Calibri"/>
          <w:bCs/>
          <w:lang w:val="en-US"/>
        </w:rPr>
        <w:t>,</w:t>
      </w:r>
      <w:r w:rsidR="00530792" w:rsidRPr="00530792">
        <w:rPr>
          <w:rFonts w:ascii="Calibri" w:hAnsi="Calibri" w:cs="Calibri"/>
          <w:bCs/>
          <w:lang w:val="en-US"/>
        </w:rPr>
        <w:t>2011)</w:t>
      </w:r>
      <w:r w:rsidRPr="00251806">
        <w:fldChar w:fldCharType="end"/>
      </w:r>
      <w:r>
        <w:rPr>
          <w:rFonts w:cstheme="minorHAnsi"/>
        </w:rPr>
        <w:t xml:space="preserve">.  </w:t>
      </w:r>
    </w:p>
    <w:p w14:paraId="466CE59A" w14:textId="00D4E7C7" w:rsidR="00DB1227" w:rsidRPr="006C7213" w:rsidRDefault="00DB1227" w:rsidP="00DB1227">
      <w:pPr>
        <w:rPr>
          <w:rFonts w:cstheme="minorHAnsi"/>
        </w:rPr>
      </w:pPr>
      <w:r w:rsidRPr="006C7213">
        <w:rPr>
          <w:rFonts w:cstheme="minorHAnsi"/>
        </w:rPr>
        <w:t xml:space="preserve">According to </w:t>
      </w:r>
      <w:r w:rsidRPr="006C7213">
        <w:rPr>
          <w:rFonts w:cstheme="minorHAnsi"/>
        </w:rPr>
        <w:fldChar w:fldCharType="begin"/>
      </w:r>
      <w:r w:rsidRPr="006C7213">
        <w:rPr>
          <w:rFonts w:cstheme="minorHAnsi"/>
        </w:rPr>
        <w:instrText>ADDIN RW.CITE{{doc:617bd2798f08648d59987e1a Lamb,Robert 2021}}</w:instrText>
      </w:r>
      <w:r w:rsidRPr="006C7213">
        <w:rPr>
          <w:rFonts w:cstheme="minorHAnsi"/>
        </w:rPr>
        <w:fldChar w:fldCharType="separate"/>
      </w:r>
      <w:r w:rsidR="00530792" w:rsidRPr="00530792">
        <w:rPr>
          <w:rFonts w:ascii="Calibri" w:hAnsi="Calibri" w:cs="Calibri"/>
          <w:bCs/>
          <w:lang w:val="en-US"/>
        </w:rPr>
        <w:t xml:space="preserve">Lamb </w:t>
      </w:r>
      <w:r w:rsidR="001A7671">
        <w:rPr>
          <w:rFonts w:ascii="Calibri" w:hAnsi="Calibri" w:cs="Calibri"/>
          <w:bCs/>
          <w:lang w:val="en-US"/>
        </w:rPr>
        <w:t>(</w:t>
      </w:r>
      <w:r w:rsidR="00530792" w:rsidRPr="00530792">
        <w:rPr>
          <w:rFonts w:ascii="Calibri" w:hAnsi="Calibri" w:cs="Calibri"/>
          <w:bCs/>
          <w:lang w:val="en-US"/>
        </w:rPr>
        <w:t>2021)</w:t>
      </w:r>
      <w:r w:rsidRPr="006C7213">
        <w:rPr>
          <w:rFonts w:cstheme="minorHAnsi"/>
        </w:rPr>
        <w:fldChar w:fldCharType="end"/>
      </w:r>
      <w:r w:rsidRPr="006C7213">
        <w:rPr>
          <w:rFonts w:cstheme="minorHAnsi"/>
        </w:rPr>
        <w:t xml:space="preserve"> about a quarter of retailer</w:t>
      </w:r>
      <w:r w:rsidR="00FA46EE">
        <w:rPr>
          <w:rFonts w:cstheme="minorHAnsi"/>
        </w:rPr>
        <w:t>s’ systems use</w:t>
      </w:r>
      <w:r w:rsidRPr="006C7213">
        <w:rPr>
          <w:rFonts w:cstheme="minorHAnsi"/>
        </w:rPr>
        <w:t xml:space="preserve"> CO</w:t>
      </w:r>
      <w:r w:rsidRPr="002A00CE">
        <w:rPr>
          <w:rFonts w:cstheme="minorHAnsi"/>
          <w:vertAlign w:val="subscript"/>
        </w:rPr>
        <w:t>2</w:t>
      </w:r>
      <w:r w:rsidRPr="006C7213">
        <w:rPr>
          <w:rFonts w:cstheme="minorHAnsi"/>
        </w:rPr>
        <w:t xml:space="preserve"> </w:t>
      </w:r>
      <w:r w:rsidR="00FA46EE">
        <w:rPr>
          <w:rFonts w:cstheme="minorHAnsi"/>
        </w:rPr>
        <w:t xml:space="preserve">as the </w:t>
      </w:r>
      <w:r w:rsidRPr="006C7213">
        <w:rPr>
          <w:rFonts w:cstheme="minorHAnsi"/>
        </w:rPr>
        <w:t>refrigera</w:t>
      </w:r>
      <w:r w:rsidR="00FA46EE">
        <w:rPr>
          <w:rFonts w:cstheme="minorHAnsi"/>
        </w:rPr>
        <w:t>nt</w:t>
      </w:r>
      <w:r w:rsidRPr="006C7213">
        <w:rPr>
          <w:rFonts w:cstheme="minorHAnsi"/>
        </w:rPr>
        <w:t xml:space="preserve">. </w:t>
      </w:r>
    </w:p>
    <w:p w14:paraId="5AB11485" w14:textId="7F6676E6" w:rsidR="00DB1227" w:rsidRDefault="00DB1227" w:rsidP="00DB1227">
      <w:r>
        <w:rPr>
          <w:rFonts w:cstheme="minorHAnsi"/>
        </w:rPr>
        <w:t xml:space="preserve">The </w:t>
      </w:r>
      <w:r w:rsidR="002A00CE">
        <w:rPr>
          <w:rFonts w:cstheme="minorHAnsi"/>
        </w:rPr>
        <w:t xml:space="preserve">only </w:t>
      </w:r>
      <w:r w:rsidR="00906AEE">
        <w:rPr>
          <w:rFonts w:cstheme="minorHAnsi"/>
        </w:rPr>
        <w:t>data on</w:t>
      </w:r>
      <w:r w:rsidR="002A00CE">
        <w:rPr>
          <w:rFonts w:cstheme="minorHAnsi"/>
        </w:rPr>
        <w:t xml:space="preserve"> </w:t>
      </w:r>
      <w:r>
        <w:rPr>
          <w:rFonts w:cstheme="minorHAnsi"/>
        </w:rPr>
        <w:t xml:space="preserve">direct emissions for commercial refrigeration excluding food service </w:t>
      </w:r>
      <w:r w:rsidR="002A00CE">
        <w:rPr>
          <w:rFonts w:cstheme="minorHAnsi"/>
        </w:rPr>
        <w:t xml:space="preserve">that could be found </w:t>
      </w:r>
      <w:r w:rsidR="00510A0E">
        <w:rPr>
          <w:rFonts w:cstheme="minorHAnsi"/>
        </w:rPr>
        <w:t xml:space="preserve">were </w:t>
      </w:r>
      <w:r>
        <w:rPr>
          <w:rFonts w:cstheme="minorHAnsi"/>
        </w:rPr>
        <w:t xml:space="preserve">those from </w:t>
      </w:r>
      <w:r w:rsidRPr="00251806">
        <w:fldChar w:fldCharType="begin"/>
      </w:r>
      <w:r w:rsidRPr="00251806">
        <w:instrText>ADDIN RW.CITE{{doc:60e30c3f8f083a58087ca086 SKMEnviros 2011}}</w:instrText>
      </w:r>
      <w:r w:rsidRPr="00251806">
        <w:fldChar w:fldCharType="separate"/>
      </w:r>
      <w:r w:rsidR="00530792" w:rsidRPr="00530792">
        <w:rPr>
          <w:rFonts w:ascii="Calibri" w:hAnsi="Calibri" w:cs="Calibri"/>
          <w:bCs/>
          <w:lang w:val="en-US"/>
        </w:rPr>
        <w:t xml:space="preserve">SKM Enviros </w:t>
      </w:r>
      <w:r w:rsidR="001A7671">
        <w:rPr>
          <w:rFonts w:ascii="Calibri" w:hAnsi="Calibri" w:cs="Calibri"/>
          <w:bCs/>
          <w:lang w:val="en-US"/>
        </w:rPr>
        <w:t>(</w:t>
      </w:r>
      <w:r w:rsidR="00530792" w:rsidRPr="00530792">
        <w:rPr>
          <w:rFonts w:ascii="Calibri" w:hAnsi="Calibri" w:cs="Calibri"/>
          <w:bCs/>
          <w:lang w:val="en-US"/>
        </w:rPr>
        <w:t>2011)</w:t>
      </w:r>
      <w:r w:rsidRPr="00251806">
        <w:fldChar w:fldCharType="end"/>
      </w:r>
      <w:r w:rsidRPr="00251806">
        <w:t xml:space="preserve"> </w:t>
      </w:r>
      <w:r>
        <w:t xml:space="preserve">who </w:t>
      </w:r>
      <w:r w:rsidRPr="00251806">
        <w:t>estimate</w:t>
      </w:r>
      <w:r>
        <w:t>d</w:t>
      </w:r>
      <w:r w:rsidRPr="00251806">
        <w:t xml:space="preserve"> 3.0 MtCO</w:t>
      </w:r>
      <w:r w:rsidRPr="00251806">
        <w:rPr>
          <w:vertAlign w:val="subscript"/>
        </w:rPr>
        <w:t>2e</w:t>
      </w:r>
      <w:r w:rsidRPr="00251806">
        <w:t xml:space="preserve"> of direct emissions in retail, 2.6 MtCO</w:t>
      </w:r>
      <w:r w:rsidRPr="00251806">
        <w:rPr>
          <w:vertAlign w:val="subscript"/>
        </w:rPr>
        <w:t>2e</w:t>
      </w:r>
      <w:r w:rsidRPr="00251806">
        <w:t xml:space="preserve"> from HFCs and 0.4 MtCO</w:t>
      </w:r>
      <w:r w:rsidRPr="00251806">
        <w:rPr>
          <w:vertAlign w:val="subscript"/>
        </w:rPr>
        <w:t>2e</w:t>
      </w:r>
      <w:r w:rsidRPr="00251806">
        <w:t xml:space="preserve"> from HCFCs.</w:t>
      </w:r>
      <w:r>
        <w:t xml:space="preserve">  </w:t>
      </w:r>
      <w:r w:rsidR="002A00CE">
        <w:t>A medium confidence was applied to this value.</w:t>
      </w:r>
    </w:p>
    <w:p w14:paraId="566D0868" w14:textId="77777777" w:rsidR="00DB1227" w:rsidRDefault="00DB1227" w:rsidP="00DB1227">
      <w:pPr>
        <w:pStyle w:val="Heading3"/>
      </w:pPr>
      <w:r>
        <w:t>Food Service</w:t>
      </w:r>
    </w:p>
    <w:p w14:paraId="2FE872AC" w14:textId="4F4C9EC6" w:rsidR="00DB1227" w:rsidRDefault="00DB1227" w:rsidP="00DB1227">
      <w:r>
        <w:t>T</w:t>
      </w:r>
      <w:r w:rsidR="002A00CE">
        <w:t>his</w:t>
      </w:r>
      <w:r>
        <w:t xml:space="preserve"> sector </w:t>
      </w:r>
      <w:r w:rsidR="00FA46EE">
        <w:t>is mainly</w:t>
      </w:r>
      <w:r>
        <w:t xml:space="preserve"> small systems including integrals (</w:t>
      </w:r>
      <w:proofErr w:type="gramStart"/>
      <w:r>
        <w:t>e.g.</w:t>
      </w:r>
      <w:proofErr w:type="gramEnd"/>
      <w:r>
        <w:t xml:space="preserve"> drinks coolers, food display cases) and small split systems (e.g. cellar cooling in pubs and small walk-in cold stores).</w:t>
      </w:r>
    </w:p>
    <w:p w14:paraId="0383F1C0" w14:textId="36A1A610" w:rsidR="00DB1227" w:rsidRDefault="00DB1227" w:rsidP="00DB1227">
      <w:r>
        <w:rPr>
          <w:rFonts w:cstheme="minorHAnsi"/>
        </w:rPr>
        <w:t xml:space="preserve">The only </w:t>
      </w:r>
      <w:r w:rsidR="00510A0E">
        <w:rPr>
          <w:rFonts w:cstheme="minorHAnsi"/>
        </w:rPr>
        <w:t>data on</w:t>
      </w:r>
      <w:r w:rsidR="002A00CE">
        <w:rPr>
          <w:rFonts w:cstheme="minorHAnsi"/>
        </w:rPr>
        <w:t xml:space="preserve"> </w:t>
      </w:r>
      <w:r>
        <w:rPr>
          <w:rFonts w:cstheme="minorHAnsi"/>
        </w:rPr>
        <w:t xml:space="preserve">direct emissions </w:t>
      </w:r>
      <w:r w:rsidR="002A00CE">
        <w:rPr>
          <w:rFonts w:cstheme="minorHAnsi"/>
        </w:rPr>
        <w:t xml:space="preserve">that could be found </w:t>
      </w:r>
      <w:r>
        <w:rPr>
          <w:rFonts w:cstheme="minorHAnsi"/>
        </w:rPr>
        <w:t xml:space="preserve">for food service refrigeration </w:t>
      </w:r>
      <w:r w:rsidR="00510A0E">
        <w:rPr>
          <w:rFonts w:cstheme="minorHAnsi"/>
        </w:rPr>
        <w:t xml:space="preserve">were again </w:t>
      </w:r>
      <w:r>
        <w:rPr>
          <w:rFonts w:cstheme="minorHAnsi"/>
        </w:rPr>
        <w:t xml:space="preserve">those from </w:t>
      </w:r>
      <w:r w:rsidRPr="00251806">
        <w:fldChar w:fldCharType="begin"/>
      </w:r>
      <w:r w:rsidR="00E03EDB">
        <w:instrText>ADDIN RW.CITE{{doc:610935608f0862d46be0428e SKMEnviros 2014}}</w:instrText>
      </w:r>
      <w:r w:rsidRPr="00251806">
        <w:fldChar w:fldCharType="separate"/>
      </w:r>
      <w:r w:rsidR="00530792" w:rsidRPr="00530792">
        <w:t xml:space="preserve">SKM Enviros </w:t>
      </w:r>
      <w:r w:rsidR="001A7671">
        <w:t>(</w:t>
      </w:r>
      <w:r w:rsidR="00530792" w:rsidRPr="00530792">
        <w:t>2014)</w:t>
      </w:r>
      <w:r w:rsidRPr="00251806">
        <w:fldChar w:fldCharType="end"/>
      </w:r>
      <w:r w:rsidR="00510A0E">
        <w:t xml:space="preserve"> </w:t>
      </w:r>
      <w:r>
        <w:t xml:space="preserve">who </w:t>
      </w:r>
      <w:r w:rsidRPr="00251806">
        <w:t>estimate</w:t>
      </w:r>
      <w:r>
        <w:t>d</w:t>
      </w:r>
      <w:r w:rsidRPr="00251806">
        <w:t xml:space="preserve"> 0.45 MtCO</w:t>
      </w:r>
      <w:r w:rsidRPr="00251806">
        <w:rPr>
          <w:vertAlign w:val="subscript"/>
        </w:rPr>
        <w:t>2e</w:t>
      </w:r>
      <w:r>
        <w:t xml:space="preserve">, with </w:t>
      </w:r>
      <w:r w:rsidRPr="00251806">
        <w:t>0.24 MtCO</w:t>
      </w:r>
      <w:r w:rsidRPr="00251806">
        <w:rPr>
          <w:vertAlign w:val="subscript"/>
        </w:rPr>
        <w:t>2e</w:t>
      </w:r>
      <w:r w:rsidRPr="00251806">
        <w:t xml:space="preserve"> </w:t>
      </w:r>
      <w:r>
        <w:t xml:space="preserve">being </w:t>
      </w:r>
      <w:r w:rsidRPr="00251806">
        <w:t>from HFCs and 0.21 MtCO</w:t>
      </w:r>
      <w:r w:rsidRPr="00251806">
        <w:rPr>
          <w:vertAlign w:val="subscript"/>
        </w:rPr>
        <w:t>2e</w:t>
      </w:r>
      <w:r w:rsidRPr="00251806">
        <w:t xml:space="preserve"> from HCFCs.</w:t>
      </w:r>
      <w:r>
        <w:t xml:space="preserve">  </w:t>
      </w:r>
      <w:r w:rsidR="002A00CE">
        <w:t>A medium confidence was applied to this value.</w:t>
      </w:r>
    </w:p>
    <w:p w14:paraId="0F36875D" w14:textId="77777777" w:rsidR="002A00CE" w:rsidRPr="009A6282" w:rsidRDefault="002A00CE" w:rsidP="002A00CE">
      <w:pPr>
        <w:pStyle w:val="Heading3"/>
      </w:pPr>
      <w:r>
        <w:t>C</w:t>
      </w:r>
      <w:r w:rsidRPr="00A12C48">
        <w:t xml:space="preserve">ommercial </w:t>
      </w:r>
      <w:r>
        <w:t>including food service and retail</w:t>
      </w:r>
    </w:p>
    <w:p w14:paraId="39F3ACEA" w14:textId="0F7041FB" w:rsidR="002A00CE" w:rsidRPr="00F44C12" w:rsidRDefault="002A00CE" w:rsidP="002A00CE">
      <w:r>
        <w:rPr>
          <w:rFonts w:cstheme="minorHAnsi"/>
        </w:rPr>
        <w:t xml:space="preserve">The UK GHG </w:t>
      </w:r>
      <w:r w:rsidR="00510A0E">
        <w:rPr>
          <w:rFonts w:cstheme="minorHAnsi"/>
        </w:rPr>
        <w:t xml:space="preserve">Inventory </w:t>
      </w:r>
      <w:r>
        <w:rPr>
          <w:rFonts w:cstheme="minorHAnsi"/>
        </w:rPr>
        <w:t xml:space="preserve">shows emissions from commercial systems.  </w:t>
      </w:r>
      <w:r>
        <w:t xml:space="preserve">The emissions for this sector </w:t>
      </w:r>
      <w:r w:rsidR="00510A0E">
        <w:t xml:space="preserve">were </w:t>
      </w:r>
      <w:r>
        <w:t xml:space="preserve">reported as </w:t>
      </w:r>
      <w:r w:rsidRPr="00A95989">
        <w:t>3.19 MtCO</w:t>
      </w:r>
      <w:r w:rsidRPr="00A95989">
        <w:rPr>
          <w:vertAlign w:val="subscript"/>
        </w:rPr>
        <w:t>2e</w:t>
      </w:r>
      <w:r>
        <w:t xml:space="preserve"> in 2019.</w:t>
      </w:r>
      <w:r w:rsidR="00283CE6">
        <w:t xml:space="preserve">  The sum of the retail (Section </w:t>
      </w:r>
      <w:r w:rsidR="00FD5C66">
        <w:t>3</w:t>
      </w:r>
      <w:r w:rsidR="00283CE6">
        <w:t xml:space="preserve">.2.7) and food service emissions (Section </w:t>
      </w:r>
      <w:r w:rsidR="00FD5C66">
        <w:t>3</w:t>
      </w:r>
      <w:r w:rsidR="00283CE6">
        <w:t>.2.8) was 3.45 MtCO</w:t>
      </w:r>
      <w:r w:rsidR="00283CE6" w:rsidRPr="00283CE6">
        <w:rPr>
          <w:vertAlign w:val="subscript"/>
        </w:rPr>
        <w:t>2e</w:t>
      </w:r>
      <w:r w:rsidR="00283CE6">
        <w:t xml:space="preserve"> which is </w:t>
      </w:r>
      <w:proofErr w:type="gramStart"/>
      <w:r w:rsidR="00283CE6">
        <w:t>similar to</w:t>
      </w:r>
      <w:proofErr w:type="gramEnd"/>
      <w:r w:rsidR="00283CE6">
        <w:t xml:space="preserve"> the value reported here.</w:t>
      </w:r>
    </w:p>
    <w:p w14:paraId="6319FD49" w14:textId="57D00146" w:rsidR="002A00CE" w:rsidRDefault="002A00CE" w:rsidP="002A00CE"/>
    <w:p w14:paraId="12EE9317" w14:textId="3941445F" w:rsidR="00C24683" w:rsidRPr="00C24683" w:rsidRDefault="00C24683" w:rsidP="002A00CE">
      <w:r>
        <w:t>These values are given a high confidence as they are from Government statistics.</w:t>
      </w:r>
    </w:p>
    <w:p w14:paraId="77DE0E3D" w14:textId="77777777" w:rsidR="00DB1227" w:rsidRPr="000757E5" w:rsidRDefault="00DB1227" w:rsidP="00DB1227">
      <w:pPr>
        <w:pStyle w:val="Heading3"/>
      </w:pPr>
      <w:r>
        <w:t xml:space="preserve">Domestic </w:t>
      </w:r>
    </w:p>
    <w:p w14:paraId="3C7484CA" w14:textId="66E3B5B1" w:rsidR="00DB1227" w:rsidRPr="00DD1F8E" w:rsidRDefault="00DB1227" w:rsidP="00DB1227">
      <w:pPr>
        <w:rPr>
          <w:rFonts w:cstheme="minorHAnsi"/>
        </w:rPr>
      </w:pPr>
      <w:r>
        <w:t>In 2013, 98% of all household refrigeration appliances were using isobutane</w:t>
      </w:r>
      <w:r w:rsidR="00CA471C">
        <w:t xml:space="preserve"> (R600a)</w:t>
      </w:r>
      <w:r>
        <w:t xml:space="preserve"> </w:t>
      </w:r>
      <w:r>
        <w:fldChar w:fldCharType="begin"/>
      </w:r>
      <w:r>
        <w:instrText>ADDIN RW.CITE{{doc:615314b98f086e0f01b32230 VHK 2015}}</w:instrText>
      </w:r>
      <w:r>
        <w:fldChar w:fldCharType="separate"/>
      </w:r>
      <w:r w:rsidR="007425E3" w:rsidRPr="007425E3">
        <w:rPr>
          <w:rFonts w:ascii="Calibri" w:hAnsi="Calibri" w:cs="Calibri"/>
          <w:bCs/>
          <w:lang w:val="en-US"/>
        </w:rPr>
        <w:t>(VHK and ARMINES</w:t>
      </w:r>
      <w:r w:rsidR="000D0F5A">
        <w:rPr>
          <w:rFonts w:ascii="Calibri" w:hAnsi="Calibri" w:cs="Calibri"/>
          <w:bCs/>
          <w:lang w:val="en-US"/>
        </w:rPr>
        <w:t>,</w:t>
      </w:r>
      <w:r w:rsidR="007425E3" w:rsidRPr="007425E3">
        <w:rPr>
          <w:rFonts w:ascii="Calibri" w:hAnsi="Calibri" w:cs="Calibri"/>
          <w:bCs/>
          <w:lang w:val="en-US"/>
        </w:rPr>
        <w:t xml:space="preserve"> 2015)</w:t>
      </w:r>
      <w:r>
        <w:fldChar w:fldCharType="end"/>
      </w:r>
      <w:r>
        <w:t>.</w:t>
      </w:r>
      <w:r w:rsidR="00CA471C">
        <w:rPr>
          <w:rFonts w:cstheme="minorHAnsi"/>
        </w:rPr>
        <w:t xml:space="preserve">  </w:t>
      </w:r>
    </w:p>
    <w:p w14:paraId="4F6F372A" w14:textId="3261FB1A" w:rsidR="00CA471C" w:rsidRDefault="00DB1227" w:rsidP="00DB1227">
      <w:r>
        <w:rPr>
          <w:rFonts w:cstheme="minorHAnsi"/>
        </w:rPr>
        <w:t xml:space="preserve">According to </w:t>
      </w:r>
      <w:r w:rsidR="00EA4349">
        <w:rPr>
          <w:rFonts w:cstheme="minorHAnsi"/>
        </w:rPr>
        <w:t xml:space="preserve">the </w:t>
      </w:r>
      <w:r>
        <w:rPr>
          <w:rFonts w:cstheme="minorHAnsi"/>
        </w:rPr>
        <w:t xml:space="preserve">UK </w:t>
      </w:r>
      <w:r w:rsidRPr="002B042D">
        <w:rPr>
          <w:rFonts w:cstheme="minorHAnsi"/>
        </w:rPr>
        <w:t xml:space="preserve">Greenhouse Gas </w:t>
      </w:r>
      <w:r w:rsidR="00EA4349" w:rsidRPr="002B042D">
        <w:rPr>
          <w:rFonts w:cstheme="minorHAnsi"/>
        </w:rPr>
        <w:t>Inventor</w:t>
      </w:r>
      <w:r w:rsidR="00EA4349">
        <w:rPr>
          <w:rFonts w:cstheme="minorHAnsi"/>
        </w:rPr>
        <w:t xml:space="preserve">y </w:t>
      </w:r>
      <w:r>
        <w:rPr>
          <w:rFonts w:cstheme="minorHAnsi"/>
        </w:rPr>
        <w:t>for 2019</w:t>
      </w:r>
      <w:r w:rsidR="00EA4349">
        <w:rPr>
          <w:rFonts w:cstheme="minorHAnsi"/>
        </w:rPr>
        <w:t>,</w:t>
      </w:r>
      <w:r>
        <w:rPr>
          <w:rFonts w:cstheme="minorHAnsi"/>
        </w:rPr>
        <w:t xml:space="preserve"> </w:t>
      </w:r>
      <w:r>
        <w:t xml:space="preserve">domestic refrigeration </w:t>
      </w:r>
      <w:r w:rsidR="00EA4349">
        <w:t xml:space="preserve">emissions were </w:t>
      </w:r>
      <w:r>
        <w:t xml:space="preserve">0.15 </w:t>
      </w:r>
      <w:r w:rsidRPr="007E2423">
        <w:t>MtCO</w:t>
      </w:r>
      <w:r w:rsidRPr="007E2423">
        <w:rPr>
          <w:vertAlign w:val="subscript"/>
        </w:rPr>
        <w:t>2</w:t>
      </w:r>
      <w:r>
        <w:rPr>
          <w:vertAlign w:val="subscript"/>
        </w:rPr>
        <w:t>e.</w:t>
      </w:r>
      <w:r>
        <w:t xml:space="preserve">  </w:t>
      </w:r>
      <w:r w:rsidR="00C24683">
        <w:t>This value is given a high confidence.</w:t>
      </w:r>
    </w:p>
    <w:p w14:paraId="4AEB0810" w14:textId="1F9FC359" w:rsidR="00DB1227" w:rsidRPr="000D4113" w:rsidRDefault="00973A80" w:rsidP="00DB1227">
      <w:r w:rsidRPr="000D4113">
        <w:fldChar w:fldCharType="begin"/>
      </w:r>
      <w:r w:rsidRPr="000D4113">
        <w:instrText xml:space="preserve"> REF _Ref89417474 \h </w:instrText>
      </w:r>
      <w:r w:rsidR="000D4113">
        <w:instrText xml:space="preserve"> \* MERGEFORMAT </w:instrText>
      </w:r>
      <w:r w:rsidRPr="000D4113">
        <w:fldChar w:fldCharType="separate"/>
      </w:r>
      <w:r w:rsidR="004750BB" w:rsidRPr="004750BB">
        <w:t>Table 2</w:t>
      </w:r>
      <w:r w:rsidRPr="000D4113">
        <w:fldChar w:fldCharType="end"/>
      </w:r>
      <w:r w:rsidR="00DB1227" w:rsidRPr="00DB1227">
        <w:rPr>
          <w:lang w:eastAsia="en-US"/>
        </w:rPr>
        <w:t xml:space="preserve"> shows the </w:t>
      </w:r>
      <w:r w:rsidR="000D4113">
        <w:rPr>
          <w:lang w:eastAsia="en-US"/>
        </w:rPr>
        <w:t>refrigerant</w:t>
      </w:r>
      <w:r w:rsidR="00C24683">
        <w:rPr>
          <w:lang w:eastAsia="en-US"/>
        </w:rPr>
        <w:t xml:space="preserve"> emissions</w:t>
      </w:r>
      <w:r w:rsidR="00DB1227" w:rsidRPr="00DB1227">
        <w:rPr>
          <w:lang w:eastAsia="en-US"/>
        </w:rPr>
        <w:t xml:space="preserve"> in the cold chain.</w:t>
      </w:r>
    </w:p>
    <w:p w14:paraId="35A12BB3" w14:textId="77777777" w:rsidR="00DB1227" w:rsidRDefault="00DB1227" w:rsidP="00DB1227"/>
    <w:p w14:paraId="792CE8C7" w14:textId="32041C3C" w:rsidR="00DB1227" w:rsidRDefault="00DB1227" w:rsidP="00DB1227">
      <w:bookmarkStart w:id="8" w:name="_Ref89417474"/>
      <w:r w:rsidRPr="003E0B18">
        <w:rPr>
          <w:b/>
          <w:sz w:val="20"/>
        </w:rPr>
        <w:t xml:space="preserve">Table </w:t>
      </w:r>
      <w:r w:rsidRPr="003E0B18">
        <w:rPr>
          <w:b/>
          <w:sz w:val="20"/>
        </w:rPr>
        <w:fldChar w:fldCharType="begin"/>
      </w:r>
      <w:r w:rsidRPr="003E0B18">
        <w:rPr>
          <w:b/>
          <w:sz w:val="20"/>
        </w:rPr>
        <w:instrText xml:space="preserve"> SEQ Table \* ARABIC </w:instrText>
      </w:r>
      <w:r w:rsidRPr="003E0B18">
        <w:rPr>
          <w:b/>
          <w:sz w:val="20"/>
        </w:rPr>
        <w:fldChar w:fldCharType="separate"/>
      </w:r>
      <w:r w:rsidR="004750BB">
        <w:rPr>
          <w:b/>
          <w:noProof/>
          <w:sz w:val="20"/>
        </w:rPr>
        <w:t>2</w:t>
      </w:r>
      <w:r w:rsidRPr="003E0B18">
        <w:rPr>
          <w:b/>
          <w:noProof/>
          <w:sz w:val="20"/>
        </w:rPr>
        <w:fldChar w:fldCharType="end"/>
      </w:r>
      <w:bookmarkEnd w:id="8"/>
      <w:r w:rsidRPr="003E0B18">
        <w:rPr>
          <w:b/>
          <w:sz w:val="20"/>
        </w:rPr>
        <w:t>.</w:t>
      </w:r>
      <w:r>
        <w:rPr>
          <w:b/>
          <w:sz w:val="20"/>
        </w:rPr>
        <w:t xml:space="preserve"> </w:t>
      </w:r>
      <w:r w:rsidR="00C24683">
        <w:rPr>
          <w:b/>
          <w:sz w:val="20"/>
        </w:rPr>
        <w:t>Direct</w:t>
      </w:r>
      <w:r>
        <w:rPr>
          <w:b/>
          <w:sz w:val="20"/>
        </w:rPr>
        <w:t xml:space="preserve"> emissions </w:t>
      </w:r>
      <w:r w:rsidR="00C24683">
        <w:rPr>
          <w:b/>
          <w:sz w:val="20"/>
        </w:rPr>
        <w:t>for cold chain sectors</w:t>
      </w:r>
    </w:p>
    <w:tbl>
      <w:tblPr>
        <w:tblStyle w:val="TableGrid"/>
        <w:tblW w:w="0" w:type="auto"/>
        <w:tblLook w:val="04A0" w:firstRow="1" w:lastRow="0" w:firstColumn="1" w:lastColumn="0" w:noHBand="0" w:noVBand="1"/>
      </w:tblPr>
      <w:tblGrid>
        <w:gridCol w:w="1903"/>
        <w:gridCol w:w="1926"/>
        <w:gridCol w:w="1812"/>
        <w:gridCol w:w="1894"/>
        <w:gridCol w:w="1481"/>
      </w:tblGrid>
      <w:tr w:rsidR="00DB1227" w:rsidRPr="008C1C71" w14:paraId="0D8B731A" w14:textId="77777777" w:rsidTr="00BB2FC9">
        <w:tc>
          <w:tcPr>
            <w:tcW w:w="1903" w:type="dxa"/>
          </w:tcPr>
          <w:p w14:paraId="1200BDAA" w14:textId="5D16438B" w:rsidR="00DB1227" w:rsidRPr="008C1C71" w:rsidRDefault="00A81AB5" w:rsidP="00BB2FC9">
            <w:r>
              <w:t>S</w:t>
            </w:r>
            <w:r w:rsidR="00DB1227" w:rsidRPr="008C1C71">
              <w:t>ector</w:t>
            </w:r>
          </w:p>
        </w:tc>
        <w:tc>
          <w:tcPr>
            <w:tcW w:w="1926" w:type="dxa"/>
          </w:tcPr>
          <w:p w14:paraId="4178EA04" w14:textId="77777777" w:rsidR="00DB1227" w:rsidRPr="008C1C71" w:rsidRDefault="00DB1227" w:rsidP="00BB2FC9">
            <w:r w:rsidRPr="008C1C71">
              <w:t>Sub-sector</w:t>
            </w:r>
          </w:p>
        </w:tc>
        <w:tc>
          <w:tcPr>
            <w:tcW w:w="1812" w:type="dxa"/>
          </w:tcPr>
          <w:p w14:paraId="56B66B53" w14:textId="249DF6B2" w:rsidR="00DB1227" w:rsidRPr="008C1C71" w:rsidRDefault="000D4113" w:rsidP="00BB2FC9">
            <w:r>
              <w:t>Refrigerant</w:t>
            </w:r>
            <w:r w:rsidR="00DB1227" w:rsidRPr="008C1C71">
              <w:t xml:space="preserve"> emissions (MtCO</w:t>
            </w:r>
            <w:r w:rsidR="00DB1227" w:rsidRPr="008C1C71">
              <w:rPr>
                <w:vertAlign w:val="subscript"/>
              </w:rPr>
              <w:t>2e</w:t>
            </w:r>
            <w:r w:rsidR="00DB1227" w:rsidRPr="008C1C71">
              <w:t>)</w:t>
            </w:r>
          </w:p>
        </w:tc>
        <w:tc>
          <w:tcPr>
            <w:tcW w:w="1894" w:type="dxa"/>
          </w:tcPr>
          <w:p w14:paraId="2F40411F" w14:textId="77777777" w:rsidR="00DB1227" w:rsidRPr="008C1C71" w:rsidRDefault="00DB1227" w:rsidP="00BB2FC9">
            <w:r w:rsidRPr="008C1C71">
              <w:t>Reference</w:t>
            </w:r>
          </w:p>
        </w:tc>
        <w:tc>
          <w:tcPr>
            <w:tcW w:w="1481" w:type="dxa"/>
          </w:tcPr>
          <w:p w14:paraId="4F0F004D" w14:textId="77777777" w:rsidR="00DB1227" w:rsidRPr="008C1C71" w:rsidRDefault="00DB1227" w:rsidP="00BB2FC9">
            <w:r>
              <w:t>Confidence</w:t>
            </w:r>
          </w:p>
        </w:tc>
      </w:tr>
      <w:tr w:rsidR="00DB1227" w:rsidRPr="008C1C71" w14:paraId="6F21E737" w14:textId="77777777" w:rsidTr="00BB2FC9">
        <w:tc>
          <w:tcPr>
            <w:tcW w:w="1903" w:type="dxa"/>
          </w:tcPr>
          <w:p w14:paraId="39CB59DA" w14:textId="77777777" w:rsidR="00DB1227" w:rsidRPr="008C1C71" w:rsidRDefault="00DB1227" w:rsidP="00BB2FC9">
            <w:r w:rsidRPr="008C1C71">
              <w:t>Agriculture and fisheries</w:t>
            </w:r>
          </w:p>
        </w:tc>
        <w:tc>
          <w:tcPr>
            <w:tcW w:w="1926" w:type="dxa"/>
          </w:tcPr>
          <w:p w14:paraId="4942DCE2" w14:textId="77777777" w:rsidR="00DB1227" w:rsidRPr="008C1C71" w:rsidRDefault="00DB1227" w:rsidP="00BB2FC9"/>
        </w:tc>
        <w:tc>
          <w:tcPr>
            <w:tcW w:w="1812" w:type="dxa"/>
          </w:tcPr>
          <w:p w14:paraId="25209807" w14:textId="77777777" w:rsidR="00DB1227" w:rsidRPr="008C1C71" w:rsidRDefault="00DB1227" w:rsidP="00BB2FC9">
            <w:r>
              <w:rPr>
                <w:rFonts w:ascii="Calibri" w:hAnsi="Calibri" w:cs="Calibri"/>
                <w:bCs/>
                <w:lang w:val="en-US"/>
              </w:rPr>
              <w:t>0.05</w:t>
            </w:r>
          </w:p>
        </w:tc>
        <w:tc>
          <w:tcPr>
            <w:tcW w:w="1894" w:type="dxa"/>
          </w:tcPr>
          <w:p w14:paraId="6E751AC8" w14:textId="77777777" w:rsidR="00DB1227" w:rsidRPr="008C1C71" w:rsidRDefault="00DB1227" w:rsidP="000D0F5A">
            <w:pPr>
              <w:jc w:val="left"/>
            </w:pPr>
            <w:r w:rsidRPr="00051CE9">
              <w:rPr>
                <w:rFonts w:ascii="Calibri" w:hAnsi="Calibri" w:cs="Calibri"/>
                <w:bCs/>
                <w:lang w:val="en-US"/>
              </w:rPr>
              <w:t>SKM Enviros, 2011</w:t>
            </w:r>
          </w:p>
        </w:tc>
        <w:tc>
          <w:tcPr>
            <w:tcW w:w="1481" w:type="dxa"/>
          </w:tcPr>
          <w:p w14:paraId="1D916D7C" w14:textId="77777777" w:rsidR="00DB1227" w:rsidRPr="00051CE9" w:rsidRDefault="00DB1227" w:rsidP="00BB2FC9">
            <w:pPr>
              <w:rPr>
                <w:rFonts w:ascii="Calibri" w:hAnsi="Calibri" w:cs="Calibri"/>
                <w:bCs/>
                <w:lang w:val="en-US"/>
              </w:rPr>
            </w:pPr>
            <w:r>
              <w:rPr>
                <w:rFonts w:ascii="Calibri" w:hAnsi="Calibri" w:cs="Calibri"/>
                <w:bCs/>
                <w:lang w:val="en-US"/>
              </w:rPr>
              <w:t>Medium</w:t>
            </w:r>
          </w:p>
        </w:tc>
      </w:tr>
      <w:tr w:rsidR="00DB1227" w:rsidRPr="008C1C71" w14:paraId="734811C3" w14:textId="77777777" w:rsidTr="00BB2FC9">
        <w:tc>
          <w:tcPr>
            <w:tcW w:w="1903" w:type="dxa"/>
          </w:tcPr>
          <w:p w14:paraId="02B01987" w14:textId="77777777" w:rsidR="00DB1227" w:rsidRPr="008C1C71" w:rsidRDefault="00DB1227" w:rsidP="00BB2FC9">
            <w:r>
              <w:t>Industrial</w:t>
            </w:r>
          </w:p>
        </w:tc>
        <w:tc>
          <w:tcPr>
            <w:tcW w:w="1926" w:type="dxa"/>
          </w:tcPr>
          <w:p w14:paraId="38CFFCED" w14:textId="77777777" w:rsidR="00DB1227" w:rsidRPr="008C1C71" w:rsidRDefault="00DB1227" w:rsidP="00BB2FC9"/>
        </w:tc>
        <w:tc>
          <w:tcPr>
            <w:tcW w:w="1812" w:type="dxa"/>
          </w:tcPr>
          <w:p w14:paraId="1E26E260" w14:textId="77777777" w:rsidR="00DB1227" w:rsidRDefault="00DB1227" w:rsidP="00BB2FC9">
            <w:pPr>
              <w:rPr>
                <w:rFonts w:ascii="Calibri" w:hAnsi="Calibri" w:cs="Calibri"/>
                <w:bCs/>
                <w:lang w:val="en-US"/>
              </w:rPr>
            </w:pPr>
            <w:r>
              <w:rPr>
                <w:rFonts w:ascii="Calibri" w:hAnsi="Calibri" w:cs="Calibri"/>
                <w:bCs/>
                <w:lang w:val="en-US"/>
              </w:rPr>
              <w:t>1.01</w:t>
            </w:r>
          </w:p>
        </w:tc>
        <w:tc>
          <w:tcPr>
            <w:tcW w:w="1894" w:type="dxa"/>
          </w:tcPr>
          <w:p w14:paraId="54C731EC" w14:textId="77777777" w:rsidR="00DB1227"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p w14:paraId="78D31BA6" w14:textId="77777777" w:rsidR="00DB1227" w:rsidRPr="00051CE9" w:rsidRDefault="00DB1227" w:rsidP="000D0F5A">
            <w:pPr>
              <w:jc w:val="left"/>
              <w:rPr>
                <w:rFonts w:ascii="Calibri" w:hAnsi="Calibri" w:cs="Calibri"/>
                <w:bCs/>
                <w:lang w:val="en-US"/>
              </w:rPr>
            </w:pPr>
            <w:r w:rsidRPr="00C56914">
              <w:rPr>
                <w:rFonts w:ascii="Calibri" w:hAnsi="Calibri" w:cs="Calibri"/>
                <w:bCs/>
                <w:lang w:val="en-US"/>
              </w:rPr>
              <w:t>(</w:t>
            </w:r>
            <w:proofErr w:type="spellStart"/>
            <w:r w:rsidRPr="00C56914">
              <w:rPr>
                <w:rFonts w:ascii="Calibri" w:hAnsi="Calibri" w:cs="Calibri"/>
                <w:bCs/>
                <w:lang w:val="en-US"/>
              </w:rPr>
              <w:t>Oko-Institut</w:t>
            </w:r>
            <w:proofErr w:type="spellEnd"/>
            <w:r w:rsidRPr="00C56914">
              <w:rPr>
                <w:rFonts w:ascii="Calibri" w:hAnsi="Calibri" w:cs="Calibri"/>
                <w:bCs/>
                <w:lang w:val="en-US"/>
              </w:rPr>
              <w:t>, 2021</w:t>
            </w:r>
          </w:p>
        </w:tc>
        <w:tc>
          <w:tcPr>
            <w:tcW w:w="1481" w:type="dxa"/>
          </w:tcPr>
          <w:p w14:paraId="55D8A53E" w14:textId="77777777" w:rsidR="00DB1227" w:rsidRDefault="00DB1227" w:rsidP="00BB2FC9">
            <w:pPr>
              <w:rPr>
                <w:rFonts w:cstheme="minorHAnsi"/>
              </w:rPr>
            </w:pPr>
            <w:r>
              <w:rPr>
                <w:rFonts w:cstheme="minorHAnsi"/>
              </w:rPr>
              <w:t>High</w:t>
            </w:r>
          </w:p>
        </w:tc>
      </w:tr>
      <w:tr w:rsidR="00DB1227" w:rsidRPr="008C1C71" w14:paraId="2DE755A7" w14:textId="77777777" w:rsidTr="00BB2FC9">
        <w:tc>
          <w:tcPr>
            <w:tcW w:w="1903" w:type="dxa"/>
          </w:tcPr>
          <w:p w14:paraId="2EDE68AB" w14:textId="77777777" w:rsidR="00DB1227" w:rsidRDefault="00DB1227" w:rsidP="00BB2FC9">
            <w:r>
              <w:lastRenderedPageBreak/>
              <w:t>Industrial</w:t>
            </w:r>
          </w:p>
        </w:tc>
        <w:tc>
          <w:tcPr>
            <w:tcW w:w="1926" w:type="dxa"/>
          </w:tcPr>
          <w:p w14:paraId="2562214B" w14:textId="77777777" w:rsidR="00DB1227" w:rsidRPr="008C1C71" w:rsidRDefault="00DB1227" w:rsidP="00BB2FC9">
            <w:r>
              <w:t>Food manufacture</w:t>
            </w:r>
          </w:p>
        </w:tc>
        <w:tc>
          <w:tcPr>
            <w:tcW w:w="1812" w:type="dxa"/>
          </w:tcPr>
          <w:p w14:paraId="40A4046D" w14:textId="77777777" w:rsidR="00DB1227" w:rsidRDefault="00DB1227" w:rsidP="00BB2FC9">
            <w:pPr>
              <w:rPr>
                <w:rFonts w:ascii="Calibri" w:hAnsi="Calibri" w:cs="Calibri"/>
                <w:bCs/>
                <w:lang w:val="en-US"/>
              </w:rPr>
            </w:pPr>
            <w:r>
              <w:rPr>
                <w:rFonts w:ascii="Calibri" w:hAnsi="Calibri" w:cs="Calibri"/>
                <w:bCs/>
                <w:lang w:val="en-US"/>
              </w:rPr>
              <w:t>0.89</w:t>
            </w:r>
          </w:p>
        </w:tc>
        <w:tc>
          <w:tcPr>
            <w:tcW w:w="1894" w:type="dxa"/>
          </w:tcPr>
          <w:p w14:paraId="6F4A9CB1" w14:textId="77777777" w:rsidR="00DB1227" w:rsidRDefault="00DB1227" w:rsidP="000D0F5A">
            <w:pPr>
              <w:jc w:val="left"/>
              <w:rPr>
                <w:rFonts w:cstheme="minorHAnsi"/>
              </w:rPr>
            </w:pPr>
            <w:r w:rsidRPr="00C56914">
              <w:rPr>
                <w:rFonts w:ascii="Calibri" w:hAnsi="Calibri" w:cs="Calibri"/>
                <w:bCs/>
                <w:lang w:val="en-US"/>
              </w:rPr>
              <w:t>SKM Enviros, 2011</w:t>
            </w:r>
          </w:p>
        </w:tc>
        <w:tc>
          <w:tcPr>
            <w:tcW w:w="1481" w:type="dxa"/>
          </w:tcPr>
          <w:p w14:paraId="1C6A1D00" w14:textId="77777777" w:rsidR="00DB1227" w:rsidRPr="00C56914" w:rsidRDefault="00DB1227" w:rsidP="00BB2FC9">
            <w:pPr>
              <w:rPr>
                <w:rFonts w:ascii="Calibri" w:hAnsi="Calibri" w:cs="Calibri"/>
                <w:bCs/>
                <w:lang w:val="en-US"/>
              </w:rPr>
            </w:pPr>
            <w:r>
              <w:rPr>
                <w:rFonts w:ascii="Calibri" w:hAnsi="Calibri" w:cs="Calibri"/>
                <w:bCs/>
                <w:lang w:val="en-US"/>
              </w:rPr>
              <w:t>Medium</w:t>
            </w:r>
          </w:p>
        </w:tc>
      </w:tr>
      <w:tr w:rsidR="00DB1227" w:rsidRPr="008C1C71" w14:paraId="3729440F" w14:textId="77777777" w:rsidTr="00BB2FC9">
        <w:tc>
          <w:tcPr>
            <w:tcW w:w="1903" w:type="dxa"/>
          </w:tcPr>
          <w:p w14:paraId="1ECDBA8A" w14:textId="77777777" w:rsidR="00DB1227" w:rsidRDefault="00DB1227" w:rsidP="00BB2FC9">
            <w:r>
              <w:t>Industrial</w:t>
            </w:r>
          </w:p>
        </w:tc>
        <w:tc>
          <w:tcPr>
            <w:tcW w:w="1926" w:type="dxa"/>
          </w:tcPr>
          <w:p w14:paraId="557A15ED" w14:textId="77777777" w:rsidR="00DB1227" w:rsidRDefault="00DB1227" w:rsidP="00BB2FC9">
            <w:r w:rsidRPr="00CA6B92">
              <w:t>Cold storage</w:t>
            </w:r>
          </w:p>
        </w:tc>
        <w:tc>
          <w:tcPr>
            <w:tcW w:w="1812" w:type="dxa"/>
          </w:tcPr>
          <w:p w14:paraId="47A7FE1D" w14:textId="77777777" w:rsidR="00DB1227" w:rsidRDefault="00DB1227" w:rsidP="00BB2FC9">
            <w:pPr>
              <w:rPr>
                <w:rFonts w:ascii="Calibri" w:hAnsi="Calibri" w:cs="Calibri"/>
                <w:bCs/>
                <w:lang w:val="en-US"/>
              </w:rPr>
            </w:pPr>
            <w:r>
              <w:rPr>
                <w:rFonts w:ascii="Calibri" w:hAnsi="Calibri" w:cs="Calibri"/>
                <w:bCs/>
                <w:lang w:val="en-US"/>
              </w:rPr>
              <w:t>0.18</w:t>
            </w:r>
          </w:p>
        </w:tc>
        <w:tc>
          <w:tcPr>
            <w:tcW w:w="1894" w:type="dxa"/>
          </w:tcPr>
          <w:p w14:paraId="12CC7049" w14:textId="77777777" w:rsidR="00DB1227" w:rsidRPr="00C56914" w:rsidRDefault="00DB1227" w:rsidP="000D0F5A">
            <w:pPr>
              <w:jc w:val="left"/>
              <w:rPr>
                <w:rFonts w:ascii="Calibri" w:hAnsi="Calibri" w:cs="Calibri"/>
                <w:bCs/>
                <w:lang w:val="en-US"/>
              </w:rPr>
            </w:pPr>
            <w:r w:rsidRPr="00C56914">
              <w:rPr>
                <w:rFonts w:ascii="Calibri" w:hAnsi="Calibri" w:cs="Calibri"/>
                <w:bCs/>
                <w:lang w:val="en-US"/>
              </w:rPr>
              <w:t>SKM Enviros, 2011</w:t>
            </w:r>
          </w:p>
        </w:tc>
        <w:tc>
          <w:tcPr>
            <w:tcW w:w="1481" w:type="dxa"/>
          </w:tcPr>
          <w:p w14:paraId="47FC5A84" w14:textId="77777777" w:rsidR="00DB1227" w:rsidRPr="00C56914" w:rsidRDefault="00DB1227" w:rsidP="00BB2FC9">
            <w:pPr>
              <w:rPr>
                <w:rFonts w:ascii="Calibri" w:hAnsi="Calibri" w:cs="Calibri"/>
                <w:bCs/>
                <w:lang w:val="en-US"/>
              </w:rPr>
            </w:pPr>
            <w:r>
              <w:rPr>
                <w:rFonts w:ascii="Calibri" w:hAnsi="Calibri" w:cs="Calibri"/>
                <w:bCs/>
                <w:lang w:val="en-US"/>
              </w:rPr>
              <w:t>Medium</w:t>
            </w:r>
          </w:p>
        </w:tc>
      </w:tr>
      <w:tr w:rsidR="00DB1227" w:rsidRPr="008C1C71" w14:paraId="76D3D834" w14:textId="77777777" w:rsidTr="00BB2FC9">
        <w:tc>
          <w:tcPr>
            <w:tcW w:w="1903" w:type="dxa"/>
          </w:tcPr>
          <w:p w14:paraId="4524BF94" w14:textId="77777777" w:rsidR="00DB1227" w:rsidRDefault="00DB1227" w:rsidP="00BB2FC9">
            <w:r>
              <w:t>Refrigerated transport</w:t>
            </w:r>
          </w:p>
        </w:tc>
        <w:tc>
          <w:tcPr>
            <w:tcW w:w="1926" w:type="dxa"/>
          </w:tcPr>
          <w:p w14:paraId="2DD65939" w14:textId="77777777" w:rsidR="00DB1227" w:rsidRPr="00CA6B92" w:rsidRDefault="00DB1227" w:rsidP="00BB2FC9">
            <w:r>
              <w:rPr>
                <w:rFonts w:ascii="Verdana" w:hAnsi="Verdana"/>
                <w:color w:val="000000"/>
                <w:sz w:val="19"/>
                <w:szCs w:val="19"/>
                <w:shd w:val="clear" w:color="auto" w:fill="FFFFFF"/>
              </w:rPr>
              <w:t>large trucks and iso-containers</w:t>
            </w:r>
          </w:p>
        </w:tc>
        <w:tc>
          <w:tcPr>
            <w:tcW w:w="1812" w:type="dxa"/>
          </w:tcPr>
          <w:p w14:paraId="1329ABFD" w14:textId="77777777" w:rsidR="00DB1227" w:rsidRDefault="00DB1227" w:rsidP="00BB2FC9">
            <w:pPr>
              <w:rPr>
                <w:rFonts w:ascii="Calibri" w:hAnsi="Calibri" w:cs="Calibri"/>
                <w:bCs/>
                <w:lang w:val="en-US"/>
              </w:rPr>
            </w:pPr>
            <w:r>
              <w:rPr>
                <w:rFonts w:ascii="Calibri" w:hAnsi="Calibri" w:cs="Calibri"/>
                <w:bCs/>
                <w:lang w:val="en-US"/>
              </w:rPr>
              <w:t>0.23</w:t>
            </w:r>
          </w:p>
        </w:tc>
        <w:tc>
          <w:tcPr>
            <w:tcW w:w="1894" w:type="dxa"/>
          </w:tcPr>
          <w:p w14:paraId="40B7B8F1" w14:textId="77777777" w:rsidR="00DB1227"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p w14:paraId="633EB995" w14:textId="77777777" w:rsidR="00DB1227" w:rsidRPr="00C56914" w:rsidRDefault="00DB1227" w:rsidP="000D0F5A">
            <w:pPr>
              <w:jc w:val="left"/>
              <w:rPr>
                <w:rFonts w:ascii="Calibri" w:hAnsi="Calibri" w:cs="Calibri"/>
                <w:bCs/>
                <w:lang w:val="en-US"/>
              </w:rPr>
            </w:pPr>
          </w:p>
        </w:tc>
        <w:tc>
          <w:tcPr>
            <w:tcW w:w="1481" w:type="dxa"/>
          </w:tcPr>
          <w:p w14:paraId="786286A1" w14:textId="77777777" w:rsidR="00DB1227" w:rsidRDefault="00DB1227" w:rsidP="00BB2FC9">
            <w:pPr>
              <w:rPr>
                <w:rFonts w:cstheme="minorHAnsi"/>
              </w:rPr>
            </w:pPr>
            <w:r>
              <w:rPr>
                <w:rFonts w:cstheme="minorHAnsi"/>
              </w:rPr>
              <w:t>High</w:t>
            </w:r>
          </w:p>
        </w:tc>
      </w:tr>
      <w:tr w:rsidR="00DB1227" w:rsidRPr="008C1C71" w14:paraId="731FB853" w14:textId="77777777" w:rsidTr="00BB2FC9">
        <w:tc>
          <w:tcPr>
            <w:tcW w:w="1903" w:type="dxa"/>
          </w:tcPr>
          <w:p w14:paraId="381A3DB3" w14:textId="77777777" w:rsidR="00DB1227" w:rsidRDefault="00DB1227" w:rsidP="00BB2FC9">
            <w:r>
              <w:t>Refrigerated transport</w:t>
            </w:r>
          </w:p>
        </w:tc>
        <w:tc>
          <w:tcPr>
            <w:tcW w:w="1926" w:type="dxa"/>
          </w:tcPr>
          <w:p w14:paraId="61BDCAC6" w14:textId="77777777" w:rsidR="00DB1227" w:rsidRDefault="00DB1227" w:rsidP="00BB2FC9">
            <w:pPr>
              <w:rPr>
                <w:rFonts w:ascii="Verdana" w:hAnsi="Verdana"/>
                <w:color w:val="000000"/>
                <w:sz w:val="19"/>
                <w:szCs w:val="19"/>
                <w:shd w:val="clear" w:color="auto" w:fill="FFFFFF"/>
              </w:rPr>
            </w:pPr>
            <w:r>
              <w:rPr>
                <w:rFonts w:ascii="Verdana" w:hAnsi="Verdana"/>
                <w:color w:val="000000"/>
                <w:sz w:val="19"/>
                <w:szCs w:val="19"/>
                <w:shd w:val="clear" w:color="auto" w:fill="FFFFFF"/>
              </w:rPr>
              <w:t>vans and light trucks</w:t>
            </w:r>
          </w:p>
        </w:tc>
        <w:tc>
          <w:tcPr>
            <w:tcW w:w="1812" w:type="dxa"/>
          </w:tcPr>
          <w:p w14:paraId="49190A76" w14:textId="77777777" w:rsidR="00DB1227" w:rsidRDefault="00DB1227" w:rsidP="00BB2FC9">
            <w:pPr>
              <w:rPr>
                <w:rFonts w:ascii="Calibri" w:hAnsi="Calibri" w:cs="Calibri"/>
                <w:bCs/>
                <w:lang w:val="en-US"/>
              </w:rPr>
            </w:pPr>
            <w:r>
              <w:rPr>
                <w:rFonts w:ascii="Calibri" w:hAnsi="Calibri" w:cs="Calibri"/>
                <w:bCs/>
                <w:lang w:val="en-US"/>
              </w:rPr>
              <w:t>0.02</w:t>
            </w:r>
          </w:p>
        </w:tc>
        <w:tc>
          <w:tcPr>
            <w:tcW w:w="1894" w:type="dxa"/>
          </w:tcPr>
          <w:p w14:paraId="60B3265C" w14:textId="77777777" w:rsidR="00DB1227" w:rsidRPr="00CA6B92"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tc>
        <w:tc>
          <w:tcPr>
            <w:tcW w:w="1481" w:type="dxa"/>
          </w:tcPr>
          <w:p w14:paraId="53D37AED" w14:textId="77777777" w:rsidR="00DB1227" w:rsidRDefault="00DB1227" w:rsidP="00BB2FC9">
            <w:pPr>
              <w:rPr>
                <w:rFonts w:cstheme="minorHAnsi"/>
              </w:rPr>
            </w:pPr>
            <w:r>
              <w:rPr>
                <w:rFonts w:cstheme="minorHAnsi"/>
              </w:rPr>
              <w:t>High</w:t>
            </w:r>
          </w:p>
        </w:tc>
      </w:tr>
      <w:tr w:rsidR="00DB1227" w:rsidRPr="008C1C71" w14:paraId="36E3F6B9" w14:textId="77777777" w:rsidTr="00BB2FC9">
        <w:tc>
          <w:tcPr>
            <w:tcW w:w="1903" w:type="dxa"/>
          </w:tcPr>
          <w:p w14:paraId="22EF4D61" w14:textId="77777777" w:rsidR="00DB1227" w:rsidRDefault="00DB1227" w:rsidP="00BB2FC9">
            <w:r>
              <w:t>Refrigerated transport</w:t>
            </w:r>
          </w:p>
        </w:tc>
        <w:tc>
          <w:tcPr>
            <w:tcW w:w="1926" w:type="dxa"/>
          </w:tcPr>
          <w:p w14:paraId="51783437" w14:textId="77777777" w:rsidR="00DB1227" w:rsidRDefault="00DB1227" w:rsidP="00BB2FC9">
            <w:r>
              <w:t>Fishing</w:t>
            </w:r>
          </w:p>
        </w:tc>
        <w:tc>
          <w:tcPr>
            <w:tcW w:w="1812" w:type="dxa"/>
          </w:tcPr>
          <w:p w14:paraId="0B7801BE" w14:textId="77777777" w:rsidR="00DB1227" w:rsidRDefault="00DB1227" w:rsidP="00BB2FC9">
            <w:pPr>
              <w:rPr>
                <w:rFonts w:ascii="Calibri" w:hAnsi="Calibri" w:cs="Calibri"/>
                <w:bCs/>
                <w:lang w:val="en-US"/>
              </w:rPr>
            </w:pPr>
            <w:r>
              <w:rPr>
                <w:rFonts w:ascii="Calibri" w:hAnsi="Calibri" w:cs="Calibri"/>
                <w:bCs/>
                <w:lang w:val="en-US"/>
              </w:rPr>
              <w:t>0.44</w:t>
            </w:r>
          </w:p>
        </w:tc>
        <w:tc>
          <w:tcPr>
            <w:tcW w:w="1894" w:type="dxa"/>
          </w:tcPr>
          <w:p w14:paraId="15E78EBF" w14:textId="77777777" w:rsidR="00DB1227" w:rsidRPr="00CA6B92"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tc>
        <w:tc>
          <w:tcPr>
            <w:tcW w:w="1481" w:type="dxa"/>
          </w:tcPr>
          <w:p w14:paraId="6F5BFC1E" w14:textId="77777777" w:rsidR="00DB1227" w:rsidRDefault="00DB1227" w:rsidP="00BB2FC9">
            <w:pPr>
              <w:rPr>
                <w:rFonts w:cstheme="minorHAnsi"/>
              </w:rPr>
            </w:pPr>
            <w:r>
              <w:rPr>
                <w:rFonts w:cstheme="minorHAnsi"/>
              </w:rPr>
              <w:t>High</w:t>
            </w:r>
          </w:p>
        </w:tc>
      </w:tr>
      <w:tr w:rsidR="00DB1227" w:rsidRPr="008C1C71" w14:paraId="4FF956AE" w14:textId="77777777" w:rsidTr="00BB2FC9">
        <w:tc>
          <w:tcPr>
            <w:tcW w:w="1903" w:type="dxa"/>
          </w:tcPr>
          <w:p w14:paraId="627CD95E" w14:textId="77777777" w:rsidR="00DB1227" w:rsidRDefault="00DB1227" w:rsidP="00BB2FC9">
            <w:r>
              <w:t>C</w:t>
            </w:r>
            <w:r w:rsidRPr="00A12C48">
              <w:t>ommercial</w:t>
            </w:r>
          </w:p>
        </w:tc>
        <w:tc>
          <w:tcPr>
            <w:tcW w:w="1926" w:type="dxa"/>
          </w:tcPr>
          <w:p w14:paraId="6AABD3E5" w14:textId="77777777" w:rsidR="00DB1227" w:rsidRDefault="00DB1227" w:rsidP="00BB2FC9">
            <w:r w:rsidRPr="00CA6B92">
              <w:t>Centralised Supermarket Refrigeration Systems</w:t>
            </w:r>
          </w:p>
        </w:tc>
        <w:tc>
          <w:tcPr>
            <w:tcW w:w="1812" w:type="dxa"/>
          </w:tcPr>
          <w:p w14:paraId="5CECF5D8" w14:textId="77777777" w:rsidR="00DB1227" w:rsidRDefault="00DB1227" w:rsidP="00BB2FC9">
            <w:pPr>
              <w:rPr>
                <w:rFonts w:ascii="Calibri" w:hAnsi="Calibri" w:cs="Calibri"/>
                <w:bCs/>
                <w:lang w:val="en-US"/>
              </w:rPr>
            </w:pPr>
            <w:r>
              <w:rPr>
                <w:rFonts w:ascii="Calibri" w:hAnsi="Calibri" w:cs="Calibri"/>
                <w:bCs/>
                <w:lang w:val="en-US"/>
              </w:rPr>
              <w:t>1.92</w:t>
            </w:r>
          </w:p>
        </w:tc>
        <w:tc>
          <w:tcPr>
            <w:tcW w:w="1894" w:type="dxa"/>
          </w:tcPr>
          <w:p w14:paraId="09A050C4" w14:textId="77777777" w:rsidR="00DB1227" w:rsidRPr="00CA6B92"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tc>
        <w:tc>
          <w:tcPr>
            <w:tcW w:w="1481" w:type="dxa"/>
          </w:tcPr>
          <w:p w14:paraId="664714E4" w14:textId="77777777" w:rsidR="00DB1227" w:rsidRDefault="00DB1227" w:rsidP="00BB2FC9">
            <w:pPr>
              <w:rPr>
                <w:rFonts w:cstheme="minorHAnsi"/>
              </w:rPr>
            </w:pPr>
            <w:r>
              <w:rPr>
                <w:rFonts w:cstheme="minorHAnsi"/>
              </w:rPr>
              <w:t>High</w:t>
            </w:r>
          </w:p>
        </w:tc>
      </w:tr>
      <w:tr w:rsidR="00DB1227" w:rsidRPr="008C1C71" w14:paraId="733B2D91" w14:textId="77777777" w:rsidTr="00BB2FC9">
        <w:tc>
          <w:tcPr>
            <w:tcW w:w="1903" w:type="dxa"/>
          </w:tcPr>
          <w:p w14:paraId="2B7F219C" w14:textId="77777777" w:rsidR="00DB1227" w:rsidRDefault="00DB1227" w:rsidP="00BB2FC9">
            <w:r>
              <w:t>C</w:t>
            </w:r>
            <w:r w:rsidRPr="00A12C48">
              <w:t>ommercial</w:t>
            </w:r>
          </w:p>
        </w:tc>
        <w:tc>
          <w:tcPr>
            <w:tcW w:w="1926" w:type="dxa"/>
          </w:tcPr>
          <w:p w14:paraId="473933B0" w14:textId="77777777" w:rsidR="00DB1227" w:rsidRPr="00CA6B92" w:rsidRDefault="00DB1227" w:rsidP="00BB2FC9">
            <w:r w:rsidRPr="00CA6B92">
              <w:t>Small Hermetic Stand-Alone Refrigeration (Integral) Units</w:t>
            </w:r>
          </w:p>
        </w:tc>
        <w:tc>
          <w:tcPr>
            <w:tcW w:w="1812" w:type="dxa"/>
          </w:tcPr>
          <w:p w14:paraId="7880D4DB" w14:textId="77777777" w:rsidR="00DB1227" w:rsidRDefault="00DB1227" w:rsidP="00BB2FC9">
            <w:pPr>
              <w:rPr>
                <w:rFonts w:ascii="Calibri" w:hAnsi="Calibri" w:cs="Calibri"/>
                <w:bCs/>
                <w:lang w:val="en-US"/>
              </w:rPr>
            </w:pPr>
            <w:r>
              <w:rPr>
                <w:rFonts w:ascii="Calibri" w:hAnsi="Calibri" w:cs="Calibri"/>
                <w:bCs/>
                <w:lang w:val="en-US"/>
              </w:rPr>
              <w:t>0.12</w:t>
            </w:r>
          </w:p>
        </w:tc>
        <w:tc>
          <w:tcPr>
            <w:tcW w:w="1894" w:type="dxa"/>
          </w:tcPr>
          <w:p w14:paraId="0172C14F" w14:textId="77777777" w:rsidR="00DB1227" w:rsidRPr="00CA6B92"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tc>
        <w:tc>
          <w:tcPr>
            <w:tcW w:w="1481" w:type="dxa"/>
          </w:tcPr>
          <w:p w14:paraId="2A6EAEF8" w14:textId="77777777" w:rsidR="00DB1227" w:rsidRDefault="00DB1227" w:rsidP="00BB2FC9">
            <w:pPr>
              <w:rPr>
                <w:rFonts w:cstheme="minorHAnsi"/>
              </w:rPr>
            </w:pPr>
            <w:r>
              <w:rPr>
                <w:rFonts w:cstheme="minorHAnsi"/>
              </w:rPr>
              <w:t>High</w:t>
            </w:r>
          </w:p>
        </w:tc>
      </w:tr>
      <w:tr w:rsidR="00DB1227" w:rsidRPr="008C1C71" w14:paraId="2B9CD6C5" w14:textId="77777777" w:rsidTr="00BB2FC9">
        <w:tc>
          <w:tcPr>
            <w:tcW w:w="1903" w:type="dxa"/>
          </w:tcPr>
          <w:p w14:paraId="40501856" w14:textId="77777777" w:rsidR="00DB1227" w:rsidRDefault="00DB1227" w:rsidP="00BB2FC9">
            <w:r>
              <w:t>C</w:t>
            </w:r>
            <w:r w:rsidRPr="00A12C48">
              <w:t>ommercial</w:t>
            </w:r>
          </w:p>
        </w:tc>
        <w:tc>
          <w:tcPr>
            <w:tcW w:w="1926" w:type="dxa"/>
          </w:tcPr>
          <w:p w14:paraId="5BC278D4" w14:textId="77777777" w:rsidR="00DB1227" w:rsidRPr="00CA6B92" w:rsidRDefault="00DB1227" w:rsidP="00BB2FC9">
            <w:r w:rsidRPr="00CA6B92">
              <w:t>Condensing Unit</w:t>
            </w:r>
            <w:r>
              <w:t>s</w:t>
            </w:r>
          </w:p>
        </w:tc>
        <w:tc>
          <w:tcPr>
            <w:tcW w:w="1812" w:type="dxa"/>
          </w:tcPr>
          <w:p w14:paraId="4EA231D5" w14:textId="77777777" w:rsidR="00DB1227" w:rsidRDefault="00DB1227" w:rsidP="00BB2FC9">
            <w:pPr>
              <w:rPr>
                <w:rFonts w:ascii="Calibri" w:hAnsi="Calibri" w:cs="Calibri"/>
                <w:bCs/>
                <w:lang w:val="en-US"/>
              </w:rPr>
            </w:pPr>
            <w:r>
              <w:rPr>
                <w:rFonts w:ascii="Calibri" w:hAnsi="Calibri" w:cs="Calibri"/>
                <w:bCs/>
                <w:lang w:val="en-US"/>
              </w:rPr>
              <w:t>1.16</w:t>
            </w:r>
          </w:p>
        </w:tc>
        <w:tc>
          <w:tcPr>
            <w:tcW w:w="1894" w:type="dxa"/>
          </w:tcPr>
          <w:p w14:paraId="3F5EA9E5" w14:textId="77777777" w:rsidR="00DB1227"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p w14:paraId="2DA89726" w14:textId="77777777" w:rsidR="00DB1227" w:rsidRPr="00C56914" w:rsidRDefault="00DB1227" w:rsidP="000D0F5A">
            <w:pPr>
              <w:jc w:val="left"/>
              <w:rPr>
                <w:rFonts w:ascii="Calibri" w:hAnsi="Calibri" w:cs="Calibri"/>
                <w:bCs/>
                <w:lang w:val="en-US"/>
              </w:rPr>
            </w:pPr>
          </w:p>
        </w:tc>
        <w:tc>
          <w:tcPr>
            <w:tcW w:w="1481" w:type="dxa"/>
          </w:tcPr>
          <w:p w14:paraId="37BB684B" w14:textId="77777777" w:rsidR="00DB1227" w:rsidRDefault="00DB1227" w:rsidP="00BB2FC9">
            <w:pPr>
              <w:rPr>
                <w:rFonts w:cstheme="minorHAnsi"/>
              </w:rPr>
            </w:pPr>
            <w:r>
              <w:rPr>
                <w:rFonts w:cstheme="minorHAnsi"/>
              </w:rPr>
              <w:t>High</w:t>
            </w:r>
          </w:p>
        </w:tc>
      </w:tr>
      <w:tr w:rsidR="00DB1227" w:rsidRPr="008C1C71" w14:paraId="621BCA23" w14:textId="77777777" w:rsidTr="00BB2FC9">
        <w:tc>
          <w:tcPr>
            <w:tcW w:w="1903" w:type="dxa"/>
          </w:tcPr>
          <w:p w14:paraId="3AE80F05" w14:textId="77777777" w:rsidR="00DB1227" w:rsidRDefault="00DB1227" w:rsidP="00BB2FC9">
            <w:r>
              <w:t>C</w:t>
            </w:r>
            <w:r w:rsidRPr="00A12C48">
              <w:t>ommercial</w:t>
            </w:r>
          </w:p>
        </w:tc>
        <w:tc>
          <w:tcPr>
            <w:tcW w:w="1926" w:type="dxa"/>
          </w:tcPr>
          <w:p w14:paraId="73950948" w14:textId="77777777" w:rsidR="00DB1227" w:rsidRPr="00CA6B92" w:rsidRDefault="00DB1227" w:rsidP="00BB2FC9">
            <w:r>
              <w:t>Retail</w:t>
            </w:r>
          </w:p>
        </w:tc>
        <w:tc>
          <w:tcPr>
            <w:tcW w:w="1812" w:type="dxa"/>
          </w:tcPr>
          <w:p w14:paraId="37920086" w14:textId="77777777" w:rsidR="00DB1227" w:rsidRDefault="00DB1227" w:rsidP="00BB2FC9">
            <w:pPr>
              <w:rPr>
                <w:rFonts w:ascii="Calibri" w:hAnsi="Calibri" w:cs="Calibri"/>
                <w:bCs/>
                <w:lang w:val="en-US"/>
              </w:rPr>
            </w:pPr>
            <w:r>
              <w:rPr>
                <w:rFonts w:ascii="Calibri" w:hAnsi="Calibri" w:cs="Calibri"/>
                <w:bCs/>
                <w:lang w:val="en-US"/>
              </w:rPr>
              <w:t>3.0</w:t>
            </w:r>
          </w:p>
        </w:tc>
        <w:tc>
          <w:tcPr>
            <w:tcW w:w="1894" w:type="dxa"/>
          </w:tcPr>
          <w:p w14:paraId="772AE7C6" w14:textId="77777777" w:rsidR="00DB1227" w:rsidRDefault="00DB1227" w:rsidP="000D0F5A">
            <w:pPr>
              <w:jc w:val="left"/>
              <w:rPr>
                <w:rFonts w:cstheme="minorHAnsi"/>
              </w:rPr>
            </w:pPr>
            <w:r w:rsidRPr="00C56914">
              <w:rPr>
                <w:rFonts w:ascii="Calibri" w:hAnsi="Calibri" w:cs="Calibri"/>
                <w:bCs/>
                <w:lang w:val="en-US"/>
              </w:rPr>
              <w:t>SKM Enviros, 2011</w:t>
            </w:r>
          </w:p>
        </w:tc>
        <w:tc>
          <w:tcPr>
            <w:tcW w:w="1481" w:type="dxa"/>
          </w:tcPr>
          <w:p w14:paraId="440A81A1" w14:textId="77777777" w:rsidR="00DB1227" w:rsidRPr="00C56914" w:rsidRDefault="00DB1227" w:rsidP="00BB2FC9">
            <w:pPr>
              <w:rPr>
                <w:rFonts w:ascii="Calibri" w:hAnsi="Calibri" w:cs="Calibri"/>
                <w:bCs/>
                <w:lang w:val="en-US"/>
              </w:rPr>
            </w:pPr>
            <w:r>
              <w:rPr>
                <w:rFonts w:ascii="Calibri" w:hAnsi="Calibri" w:cs="Calibri"/>
                <w:bCs/>
                <w:lang w:val="en-US"/>
              </w:rPr>
              <w:t>Medium</w:t>
            </w:r>
          </w:p>
        </w:tc>
      </w:tr>
      <w:tr w:rsidR="00DB1227" w:rsidRPr="008C1C71" w14:paraId="0FDF3444" w14:textId="77777777" w:rsidTr="00BB2FC9">
        <w:tc>
          <w:tcPr>
            <w:tcW w:w="1903" w:type="dxa"/>
          </w:tcPr>
          <w:p w14:paraId="5F2699F2" w14:textId="77777777" w:rsidR="00DB1227" w:rsidRDefault="00DB1227" w:rsidP="00BB2FC9">
            <w:r>
              <w:t>C</w:t>
            </w:r>
            <w:r w:rsidRPr="00A12C48">
              <w:t>ommercial</w:t>
            </w:r>
          </w:p>
        </w:tc>
        <w:tc>
          <w:tcPr>
            <w:tcW w:w="1926" w:type="dxa"/>
          </w:tcPr>
          <w:p w14:paraId="66ECD511" w14:textId="77777777" w:rsidR="00DB1227" w:rsidRDefault="00DB1227" w:rsidP="00BB2FC9">
            <w:r w:rsidRPr="00D54181">
              <w:t>Food Service</w:t>
            </w:r>
          </w:p>
        </w:tc>
        <w:tc>
          <w:tcPr>
            <w:tcW w:w="1812" w:type="dxa"/>
          </w:tcPr>
          <w:p w14:paraId="26B6EC8E" w14:textId="77777777" w:rsidR="00DB1227" w:rsidRDefault="00DB1227" w:rsidP="00BB2FC9">
            <w:pPr>
              <w:rPr>
                <w:rFonts w:ascii="Calibri" w:hAnsi="Calibri" w:cs="Calibri"/>
                <w:bCs/>
                <w:lang w:val="en-US"/>
              </w:rPr>
            </w:pPr>
            <w:r>
              <w:rPr>
                <w:rFonts w:ascii="Calibri" w:hAnsi="Calibri" w:cs="Calibri"/>
                <w:bCs/>
                <w:lang w:val="en-US"/>
              </w:rPr>
              <w:t>0.45</w:t>
            </w:r>
          </w:p>
        </w:tc>
        <w:tc>
          <w:tcPr>
            <w:tcW w:w="1894" w:type="dxa"/>
          </w:tcPr>
          <w:p w14:paraId="529DD555" w14:textId="77777777" w:rsidR="00DB1227" w:rsidRPr="00C56914" w:rsidRDefault="00DB1227" w:rsidP="000D0F5A">
            <w:pPr>
              <w:jc w:val="left"/>
              <w:rPr>
                <w:rFonts w:ascii="Calibri" w:hAnsi="Calibri" w:cs="Calibri"/>
                <w:bCs/>
                <w:lang w:val="en-US"/>
              </w:rPr>
            </w:pPr>
            <w:r w:rsidRPr="00C56914">
              <w:rPr>
                <w:rFonts w:ascii="Calibri" w:hAnsi="Calibri" w:cs="Calibri"/>
                <w:bCs/>
                <w:lang w:val="en-US"/>
              </w:rPr>
              <w:t>SKM Enviros, 2011</w:t>
            </w:r>
          </w:p>
        </w:tc>
        <w:tc>
          <w:tcPr>
            <w:tcW w:w="1481" w:type="dxa"/>
          </w:tcPr>
          <w:p w14:paraId="0C0DFE3D" w14:textId="77777777" w:rsidR="00DB1227" w:rsidRPr="00C56914" w:rsidRDefault="00DB1227" w:rsidP="00BB2FC9">
            <w:pPr>
              <w:rPr>
                <w:rFonts w:ascii="Calibri" w:hAnsi="Calibri" w:cs="Calibri"/>
                <w:bCs/>
                <w:lang w:val="en-US"/>
              </w:rPr>
            </w:pPr>
            <w:r>
              <w:rPr>
                <w:rFonts w:ascii="Calibri" w:hAnsi="Calibri" w:cs="Calibri"/>
                <w:bCs/>
                <w:lang w:val="en-US"/>
              </w:rPr>
              <w:t>Medium</w:t>
            </w:r>
          </w:p>
        </w:tc>
      </w:tr>
      <w:tr w:rsidR="00DB1227" w:rsidRPr="008C1C71" w14:paraId="64F05527" w14:textId="77777777" w:rsidTr="00BB2FC9">
        <w:tc>
          <w:tcPr>
            <w:tcW w:w="1903" w:type="dxa"/>
          </w:tcPr>
          <w:p w14:paraId="00E4E0D6" w14:textId="77777777" w:rsidR="00DB1227" w:rsidRDefault="00DB1227" w:rsidP="00BB2FC9">
            <w:r w:rsidRPr="00D54181">
              <w:t>Domestic</w:t>
            </w:r>
          </w:p>
        </w:tc>
        <w:tc>
          <w:tcPr>
            <w:tcW w:w="1926" w:type="dxa"/>
          </w:tcPr>
          <w:p w14:paraId="679213D5" w14:textId="77777777" w:rsidR="00DB1227" w:rsidRPr="00D54181" w:rsidRDefault="00DB1227" w:rsidP="00BB2FC9"/>
        </w:tc>
        <w:tc>
          <w:tcPr>
            <w:tcW w:w="1812" w:type="dxa"/>
          </w:tcPr>
          <w:p w14:paraId="6A0FC505" w14:textId="77777777" w:rsidR="00DB1227" w:rsidRDefault="00DB1227" w:rsidP="00BB2FC9">
            <w:pPr>
              <w:rPr>
                <w:rFonts w:ascii="Calibri" w:hAnsi="Calibri" w:cs="Calibri"/>
                <w:bCs/>
                <w:lang w:val="en-US"/>
              </w:rPr>
            </w:pPr>
            <w:r>
              <w:rPr>
                <w:rFonts w:ascii="Calibri" w:hAnsi="Calibri" w:cs="Calibri"/>
                <w:bCs/>
                <w:lang w:val="en-US"/>
              </w:rPr>
              <w:t>0.15</w:t>
            </w:r>
          </w:p>
        </w:tc>
        <w:tc>
          <w:tcPr>
            <w:tcW w:w="1894" w:type="dxa"/>
          </w:tcPr>
          <w:p w14:paraId="7A0632AB" w14:textId="77777777" w:rsidR="00DB1227" w:rsidRPr="00D54181" w:rsidRDefault="00DB1227" w:rsidP="000D0F5A">
            <w:pPr>
              <w:jc w:val="left"/>
              <w:rPr>
                <w:rFonts w:cstheme="minorHAnsi"/>
              </w:rPr>
            </w:pPr>
            <w:r>
              <w:rPr>
                <w:rFonts w:cstheme="minorHAnsi"/>
              </w:rPr>
              <w:t xml:space="preserve">UK </w:t>
            </w:r>
            <w:r w:rsidRPr="00C56914">
              <w:rPr>
                <w:rFonts w:cstheme="minorHAnsi"/>
              </w:rPr>
              <w:t>Greenhouse Gas Inventories</w:t>
            </w:r>
            <w:r>
              <w:rPr>
                <w:rFonts w:cstheme="minorHAnsi"/>
              </w:rPr>
              <w:t>, 2019</w:t>
            </w:r>
          </w:p>
        </w:tc>
        <w:tc>
          <w:tcPr>
            <w:tcW w:w="1481" w:type="dxa"/>
          </w:tcPr>
          <w:p w14:paraId="5AD2D2DD" w14:textId="77777777" w:rsidR="00DB1227" w:rsidRDefault="00DB1227" w:rsidP="00BB2FC9">
            <w:pPr>
              <w:rPr>
                <w:rFonts w:cstheme="minorHAnsi"/>
              </w:rPr>
            </w:pPr>
            <w:r>
              <w:rPr>
                <w:rFonts w:cstheme="minorHAnsi"/>
              </w:rPr>
              <w:t>High</w:t>
            </w:r>
          </w:p>
        </w:tc>
      </w:tr>
      <w:tr w:rsidR="00DB1227" w:rsidRPr="00D54181" w14:paraId="398674CE" w14:textId="77777777" w:rsidTr="00BB2FC9">
        <w:tc>
          <w:tcPr>
            <w:tcW w:w="1903" w:type="dxa"/>
          </w:tcPr>
          <w:p w14:paraId="72FFB672" w14:textId="77777777" w:rsidR="00DB1227" w:rsidRPr="00D54181" w:rsidRDefault="00DB1227" w:rsidP="00BB2FC9">
            <w:pPr>
              <w:rPr>
                <w:b/>
                <w:bCs/>
              </w:rPr>
            </w:pPr>
            <w:r w:rsidRPr="00D54181">
              <w:rPr>
                <w:b/>
                <w:bCs/>
              </w:rPr>
              <w:t>Total</w:t>
            </w:r>
          </w:p>
        </w:tc>
        <w:tc>
          <w:tcPr>
            <w:tcW w:w="1926" w:type="dxa"/>
          </w:tcPr>
          <w:p w14:paraId="5707283A" w14:textId="77777777" w:rsidR="00DB1227" w:rsidRPr="00D54181" w:rsidRDefault="00DB1227" w:rsidP="00BB2FC9">
            <w:pPr>
              <w:rPr>
                <w:b/>
                <w:bCs/>
              </w:rPr>
            </w:pPr>
          </w:p>
        </w:tc>
        <w:tc>
          <w:tcPr>
            <w:tcW w:w="1812" w:type="dxa"/>
          </w:tcPr>
          <w:p w14:paraId="489F19CD" w14:textId="77777777" w:rsidR="00DB1227" w:rsidRPr="00D54181" w:rsidRDefault="00DB1227" w:rsidP="00BB2FC9">
            <w:pPr>
              <w:rPr>
                <w:rFonts w:ascii="Calibri" w:hAnsi="Calibri" w:cs="Calibri"/>
                <w:b/>
                <w:bCs/>
                <w:lang w:val="en-US"/>
              </w:rPr>
            </w:pPr>
            <w:r w:rsidRPr="00D54181">
              <w:rPr>
                <w:rFonts w:ascii="Calibri" w:hAnsi="Calibri" w:cs="Calibri"/>
                <w:b/>
                <w:bCs/>
                <w:lang w:val="en-US"/>
              </w:rPr>
              <w:t>5.1</w:t>
            </w:r>
          </w:p>
        </w:tc>
        <w:tc>
          <w:tcPr>
            <w:tcW w:w="1894" w:type="dxa"/>
          </w:tcPr>
          <w:p w14:paraId="1AADBA6C" w14:textId="77777777" w:rsidR="00DB1227" w:rsidRPr="00D54181" w:rsidRDefault="00DB1227" w:rsidP="00BB2FC9">
            <w:pPr>
              <w:rPr>
                <w:rFonts w:cstheme="minorHAnsi"/>
              </w:rPr>
            </w:pPr>
          </w:p>
        </w:tc>
        <w:tc>
          <w:tcPr>
            <w:tcW w:w="1481" w:type="dxa"/>
          </w:tcPr>
          <w:p w14:paraId="15D578C2" w14:textId="77777777" w:rsidR="00DB1227" w:rsidRPr="00D54181" w:rsidRDefault="00DB1227" w:rsidP="00BB2FC9">
            <w:pPr>
              <w:rPr>
                <w:rFonts w:cstheme="minorHAnsi"/>
              </w:rPr>
            </w:pPr>
          </w:p>
        </w:tc>
      </w:tr>
    </w:tbl>
    <w:p w14:paraId="3610ADA1" w14:textId="77777777" w:rsidR="00C24683" w:rsidRDefault="00C24683">
      <w:pPr>
        <w:overflowPunct/>
        <w:autoSpaceDE/>
        <w:autoSpaceDN/>
        <w:adjustRightInd/>
        <w:spacing w:after="0"/>
        <w:jc w:val="left"/>
        <w:textAlignment w:val="auto"/>
      </w:pPr>
    </w:p>
    <w:p w14:paraId="41E80E29" w14:textId="62367C70" w:rsidR="00105CDC" w:rsidRDefault="00A81AB5">
      <w:pPr>
        <w:overflowPunct/>
        <w:autoSpaceDE/>
        <w:autoSpaceDN/>
        <w:adjustRightInd/>
        <w:spacing w:after="0"/>
        <w:jc w:val="left"/>
        <w:textAlignment w:val="auto"/>
      </w:pPr>
      <w:r>
        <w:t xml:space="preserve">Total emissions from refrigerants </w:t>
      </w:r>
      <w:r w:rsidR="00EA4349">
        <w:t xml:space="preserve">were </w:t>
      </w:r>
      <w:r>
        <w:t xml:space="preserve">estimated at 5.1 </w:t>
      </w:r>
      <w:r w:rsidRPr="008C1C71">
        <w:t>MtCO</w:t>
      </w:r>
      <w:r w:rsidRPr="008C1C71">
        <w:rPr>
          <w:vertAlign w:val="subscript"/>
        </w:rPr>
        <w:t>2e</w:t>
      </w:r>
      <w:r>
        <w:t>.</w:t>
      </w:r>
    </w:p>
    <w:p w14:paraId="27508D66" w14:textId="27D79AE8" w:rsidR="00105CDC" w:rsidRDefault="00105CDC">
      <w:pPr>
        <w:overflowPunct/>
        <w:autoSpaceDE/>
        <w:autoSpaceDN/>
        <w:adjustRightInd/>
        <w:spacing w:after="0"/>
        <w:jc w:val="left"/>
        <w:textAlignment w:val="auto"/>
      </w:pPr>
    </w:p>
    <w:p w14:paraId="26B93AC1" w14:textId="4059CF76" w:rsidR="005A5A48" w:rsidRDefault="005A5A48" w:rsidP="005A5A48">
      <w:r>
        <w:fldChar w:fldCharType="begin"/>
      </w:r>
      <w:r>
        <w:instrText xml:space="preserve"> REF _Ref89943520 \h </w:instrText>
      </w:r>
      <w:r>
        <w:fldChar w:fldCharType="separate"/>
      </w:r>
      <w:r w:rsidR="004750BB" w:rsidRPr="00105CDC">
        <w:t xml:space="preserve">Figure </w:t>
      </w:r>
      <w:r w:rsidR="004750BB">
        <w:rPr>
          <w:noProof/>
        </w:rPr>
        <w:t>2</w:t>
      </w:r>
      <w:r>
        <w:fldChar w:fldCharType="end"/>
      </w:r>
      <w:r>
        <w:t xml:space="preserve"> shows the refrigerant emissions (</w:t>
      </w:r>
      <w:r w:rsidRPr="008C1C71">
        <w:t>MtCO</w:t>
      </w:r>
      <w:r w:rsidRPr="008C1C71">
        <w:rPr>
          <w:vertAlign w:val="subscript"/>
        </w:rPr>
        <w:t>2e</w:t>
      </w:r>
      <w:r w:rsidRPr="008C1C71">
        <w:t>)</w:t>
      </w:r>
      <w:r>
        <w:t xml:space="preserve"> in</w:t>
      </w:r>
      <w:r w:rsidR="00CA471C">
        <w:t xml:space="preserve"> each of</w:t>
      </w:r>
      <w:r>
        <w:t xml:space="preserve"> the food sectors.  </w:t>
      </w:r>
      <w:r w:rsidR="000A3010">
        <w:t xml:space="preserve">Over half of the emissions (56%) </w:t>
      </w:r>
      <w:r w:rsidR="00CA471C">
        <w:t xml:space="preserve">are </w:t>
      </w:r>
      <w:r w:rsidR="000A3010">
        <w:t>from retail</w:t>
      </w:r>
      <w:r>
        <w:t xml:space="preserve">.  The smallest </w:t>
      </w:r>
      <w:r w:rsidR="00EA4349">
        <w:t xml:space="preserve">emitter </w:t>
      </w:r>
      <w:r>
        <w:t xml:space="preserve">is agriculture and fisheries at </w:t>
      </w:r>
      <w:r w:rsidR="000A3010">
        <w:t>0.9</w:t>
      </w:r>
      <w:r>
        <w:t xml:space="preserve">%.  </w:t>
      </w:r>
    </w:p>
    <w:p w14:paraId="7958A75F" w14:textId="5919D5E1" w:rsidR="000B5A96" w:rsidRDefault="000B5A96">
      <w:pPr>
        <w:overflowPunct/>
        <w:autoSpaceDE/>
        <w:autoSpaceDN/>
        <w:adjustRightInd/>
        <w:spacing w:after="0"/>
        <w:jc w:val="left"/>
        <w:textAlignment w:val="auto"/>
      </w:pPr>
    </w:p>
    <w:p w14:paraId="4F2F0802" w14:textId="28C55855" w:rsidR="000B5A96" w:rsidRDefault="000B5A96">
      <w:pPr>
        <w:overflowPunct/>
        <w:autoSpaceDE/>
        <w:autoSpaceDN/>
        <w:adjustRightInd/>
        <w:spacing w:after="0"/>
        <w:jc w:val="left"/>
        <w:textAlignment w:val="auto"/>
      </w:pPr>
    </w:p>
    <w:p w14:paraId="25397203" w14:textId="77777777" w:rsidR="00105CDC" w:rsidRDefault="00105CDC">
      <w:pPr>
        <w:overflowPunct/>
        <w:autoSpaceDE/>
        <w:autoSpaceDN/>
        <w:adjustRightInd/>
        <w:spacing w:after="0"/>
        <w:jc w:val="left"/>
        <w:textAlignment w:val="auto"/>
      </w:pPr>
    </w:p>
    <w:p w14:paraId="0A3D0D8E" w14:textId="3FB5F8B0" w:rsidR="000B5A96" w:rsidRDefault="000B5A96">
      <w:pPr>
        <w:overflowPunct/>
        <w:autoSpaceDE/>
        <w:autoSpaceDN/>
        <w:adjustRightInd/>
        <w:spacing w:after="0"/>
        <w:jc w:val="left"/>
        <w:textAlignment w:val="auto"/>
      </w:pPr>
    </w:p>
    <w:p w14:paraId="43124F14" w14:textId="46E963F0" w:rsidR="000B5A96" w:rsidRDefault="000B5A96">
      <w:pPr>
        <w:overflowPunct/>
        <w:autoSpaceDE/>
        <w:autoSpaceDN/>
        <w:adjustRightInd/>
        <w:spacing w:after="0"/>
        <w:jc w:val="left"/>
        <w:textAlignment w:val="auto"/>
      </w:pPr>
      <w:r>
        <w:rPr>
          <w:noProof/>
        </w:rPr>
        <w:lastRenderedPageBreak/>
        <w:drawing>
          <wp:inline distT="0" distB="0" distL="0" distR="0" wp14:anchorId="2BAEC9DB" wp14:editId="2CB691FC">
            <wp:extent cx="5638800" cy="3576638"/>
            <wp:effectExtent l="0" t="0" r="0" b="5080"/>
            <wp:docPr id="2" name="Chart 2">
              <a:extLst xmlns:a="http://schemas.openxmlformats.org/drawingml/2006/main">
                <a:ext uri="{FF2B5EF4-FFF2-40B4-BE49-F238E27FC236}">
                  <a16:creationId xmlns:a16="http://schemas.microsoft.com/office/drawing/2014/main" id="{BEC54B28-A954-49A9-9041-6817E1765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50066A" w14:textId="1B828DEB" w:rsidR="00954B0D" w:rsidRPr="004E5545" w:rsidRDefault="000F027A" w:rsidP="004E5545">
      <w:pPr>
        <w:pStyle w:val="Caption"/>
      </w:pPr>
      <w:bookmarkStart w:id="9" w:name="_Ref89943520"/>
      <w:r w:rsidRPr="00105CDC">
        <w:t xml:space="preserve">Figure </w:t>
      </w:r>
      <w:fldSimple w:instr=" SEQ Figure \* ARABIC ">
        <w:r w:rsidR="004750BB">
          <w:rPr>
            <w:noProof/>
          </w:rPr>
          <w:t>2</w:t>
        </w:r>
      </w:fldSimple>
      <w:bookmarkEnd w:id="9"/>
      <w:r w:rsidRPr="00105CDC">
        <w:t xml:space="preserve">. </w:t>
      </w:r>
      <w:r w:rsidR="00B6613E">
        <w:t>E</w:t>
      </w:r>
      <w:r w:rsidR="00B6613E">
        <w:t>missions from refrigerants</w:t>
      </w:r>
      <w:r>
        <w:t xml:space="preserve"> in the food sectors</w:t>
      </w:r>
      <w:r w:rsidR="00B6613E">
        <w:t xml:space="preserve"> </w:t>
      </w:r>
      <w:r w:rsidR="00B6613E" w:rsidRPr="008C1C71">
        <w:t>MtCO</w:t>
      </w:r>
      <w:r w:rsidR="00B6613E" w:rsidRPr="008C1C71">
        <w:rPr>
          <w:vertAlign w:val="subscript"/>
        </w:rPr>
        <w:t>2e</w:t>
      </w:r>
      <w:r>
        <w:t>.</w:t>
      </w:r>
    </w:p>
    <w:p w14:paraId="5712E7A6" w14:textId="77777777" w:rsidR="00D86B4D" w:rsidRPr="001B0826" w:rsidRDefault="00211ABD" w:rsidP="004F44D4">
      <w:pPr>
        <w:pStyle w:val="Heading1"/>
      </w:pPr>
      <w:r w:rsidRPr="001B0826">
        <w:t xml:space="preserve">DISCUSSION AND </w:t>
      </w:r>
      <w:r w:rsidR="00D86B4D" w:rsidRPr="001B0826">
        <w:t>Conclusions</w:t>
      </w:r>
    </w:p>
    <w:p w14:paraId="6A1E8451" w14:textId="3AD7B899" w:rsidR="001B0826" w:rsidRPr="008947CF" w:rsidRDefault="001B0826" w:rsidP="00D86B4D">
      <w:r w:rsidRPr="001B0826">
        <w:t xml:space="preserve">Refrigeration in the food cold chain </w:t>
      </w:r>
      <w:r w:rsidR="00EA4349">
        <w:t>was estimated to consume</w:t>
      </w:r>
      <w:r w:rsidRPr="001B0826">
        <w:t xml:space="preserve"> approximately 28.6 </w:t>
      </w:r>
      <w:proofErr w:type="spellStart"/>
      <w:r w:rsidRPr="001B0826">
        <w:t>TWh</w:t>
      </w:r>
      <w:proofErr w:type="spellEnd"/>
      <w:r w:rsidRPr="001B0826">
        <w:t>/a</w:t>
      </w:r>
      <w:r>
        <w:t xml:space="preserve"> of electrical energy</w:t>
      </w:r>
      <w:r w:rsidRPr="001B0826">
        <w:t xml:space="preserve">.  </w:t>
      </w:r>
      <w:r>
        <w:t xml:space="preserve">Consumption tends to increase </w:t>
      </w:r>
      <w:r w:rsidR="00CA471C">
        <w:t>towards the consumer end of</w:t>
      </w:r>
      <w:r>
        <w:t xml:space="preserve"> the cold chain, with 1.5% in agriculture and fisheries and 38% in domestic refrigeration.  Emissions caused by the generation of the electrical power, using 2019 electrical emissions factors</w:t>
      </w:r>
      <w:r w:rsidR="008947CF">
        <w:t>,</w:t>
      </w:r>
      <w:r>
        <w:t xml:space="preserve"> plus the emissions from road transport vehicles </w:t>
      </w:r>
      <w:r w:rsidR="008947CF">
        <w:t>attributed to the TRUs were between 6.9 a</w:t>
      </w:r>
      <w:r w:rsidR="0058004E">
        <w:t>n</w:t>
      </w:r>
      <w:r w:rsidR="008947CF">
        <w:t xml:space="preserve">d 7.9 </w:t>
      </w:r>
      <w:r w:rsidR="008947CF" w:rsidRPr="008C1C71">
        <w:t>MtCO</w:t>
      </w:r>
      <w:r w:rsidR="008947CF" w:rsidRPr="008C1C71">
        <w:rPr>
          <w:vertAlign w:val="subscript"/>
        </w:rPr>
        <w:t>2e</w:t>
      </w:r>
      <w:r w:rsidR="008947CF">
        <w:t>.</w:t>
      </w:r>
    </w:p>
    <w:p w14:paraId="34112713" w14:textId="2A8E6E7C" w:rsidR="00F0546A" w:rsidRDefault="004A0D49" w:rsidP="00F0546A">
      <w:r w:rsidRPr="004A0D49">
        <w:t xml:space="preserve">Emissions from the refrigerants within the refrigerated equipment </w:t>
      </w:r>
      <w:r w:rsidR="00EA4349" w:rsidRPr="004A0D49">
        <w:t>w</w:t>
      </w:r>
      <w:r w:rsidR="00EA4349">
        <w:t>ere</w:t>
      </w:r>
      <w:r w:rsidR="00EA4349" w:rsidRPr="004A0D49">
        <w:t xml:space="preserve"> </w:t>
      </w:r>
      <w:r w:rsidR="00EA4349">
        <w:t xml:space="preserve">estimated to total </w:t>
      </w:r>
      <w:r w:rsidRPr="004A0D49">
        <w:t>5.4 MtCO</w:t>
      </w:r>
      <w:r w:rsidRPr="004A0D49">
        <w:rPr>
          <w:vertAlign w:val="subscript"/>
        </w:rPr>
        <w:t>2e</w:t>
      </w:r>
      <w:r w:rsidRPr="004A0D49">
        <w:t>.</w:t>
      </w:r>
      <w:r>
        <w:t xml:space="preserve"> More than half (56%) of this was from retail refrigeration.  </w:t>
      </w:r>
      <w:r w:rsidR="002F716F">
        <w:t>A</w:t>
      </w:r>
      <w:r>
        <w:t>griculture and fisheries at 0.9% and domestic at 2.8%</w:t>
      </w:r>
      <w:r w:rsidR="002F716F">
        <w:t xml:space="preserve"> were the sectors with</w:t>
      </w:r>
      <w:r w:rsidR="00EA4349">
        <w:t xml:space="preserve"> the</w:t>
      </w:r>
      <w:r w:rsidR="002F716F">
        <w:t xml:space="preserve"> </w:t>
      </w:r>
      <w:r w:rsidR="00EA4349">
        <w:t xml:space="preserve">lowest </w:t>
      </w:r>
      <w:r w:rsidR="002F716F">
        <w:t>direct emissions</w:t>
      </w:r>
      <w:r>
        <w:t>.</w:t>
      </w:r>
    </w:p>
    <w:p w14:paraId="6293B9D4" w14:textId="7A95F4B4" w:rsidR="004A0D49" w:rsidRPr="004A0D49" w:rsidRDefault="004A0D49" w:rsidP="00F0546A">
      <w:r>
        <w:t xml:space="preserve">Further work will project these emissions to 2050 under different scenarios.  It is clear from these results that energy consumption of domestic refrigeration </w:t>
      </w:r>
      <w:r w:rsidR="004E5545">
        <w:t>and refrigerant emissions from retail refrigeration are the sectors which require the greatest focus.</w:t>
      </w:r>
    </w:p>
    <w:p w14:paraId="1114DCC5" w14:textId="77777777" w:rsidR="00DA1BAF" w:rsidRPr="00D07A2E" w:rsidRDefault="00DA1BAF" w:rsidP="0047430C">
      <w:pPr>
        <w:pStyle w:val="Heading1"/>
      </w:pPr>
      <w:r w:rsidRPr="00D07A2E">
        <w:t>ACKNOWLEDGEMENTS</w:t>
      </w:r>
    </w:p>
    <w:p w14:paraId="47B9B702" w14:textId="51EE0D7D" w:rsidR="00167147" w:rsidRDefault="00834704" w:rsidP="00B37FCF">
      <w:pPr>
        <w:rPr>
          <w:rStyle w:val="Strong"/>
          <w:b w:val="0"/>
          <w:bCs w:val="0"/>
          <w:shd w:val="clear" w:color="auto" w:fill="FFFFFF"/>
        </w:rPr>
      </w:pPr>
      <w:r w:rsidRPr="00D07A2E">
        <w:t xml:space="preserve">This work </w:t>
      </w:r>
      <w:r w:rsidR="009332ED" w:rsidRPr="00D07A2E">
        <w:t xml:space="preserve">was </w:t>
      </w:r>
      <w:r w:rsidRPr="00D07A2E">
        <w:t xml:space="preserve">carried out as part of </w:t>
      </w:r>
      <w:r w:rsidR="00D07A2E" w:rsidRPr="00D07A2E">
        <w:t>an</w:t>
      </w:r>
      <w:r w:rsidRPr="00D07A2E">
        <w:t xml:space="preserve"> EPSRC</w:t>
      </w:r>
      <w:r w:rsidRPr="00D07A2E">
        <w:rPr>
          <w:b/>
          <w:bCs/>
        </w:rPr>
        <w:t xml:space="preserve"> </w:t>
      </w:r>
      <w:r w:rsidR="00D07A2E" w:rsidRPr="00D07A2E">
        <w:rPr>
          <w:bCs/>
        </w:rPr>
        <w:t xml:space="preserve">UK Energy Research Centre </w:t>
      </w:r>
      <w:r w:rsidRPr="00D07A2E">
        <w:rPr>
          <w:rStyle w:val="Strong"/>
          <w:b w:val="0"/>
          <w:bCs w:val="0"/>
          <w:shd w:val="clear" w:color="auto" w:fill="FFFFFF"/>
        </w:rPr>
        <w:t>Project (</w:t>
      </w:r>
      <w:r w:rsidR="00D07A2E" w:rsidRPr="00D07A2E">
        <w:rPr>
          <w:rStyle w:val="Strong"/>
          <w:b w:val="0"/>
          <w:bCs w:val="0"/>
          <w:shd w:val="clear" w:color="auto" w:fill="FFFFFF"/>
        </w:rPr>
        <w:t>EP/S029575/1</w:t>
      </w:r>
      <w:r w:rsidRPr="00D07A2E">
        <w:rPr>
          <w:rStyle w:val="Strong"/>
          <w:b w:val="0"/>
          <w:bCs w:val="0"/>
          <w:shd w:val="clear" w:color="auto" w:fill="FFFFFF"/>
        </w:rPr>
        <w:t>).</w:t>
      </w:r>
    </w:p>
    <w:p w14:paraId="66BB5D85" w14:textId="20AB7B12" w:rsidR="00530792" w:rsidRPr="00387044" w:rsidRDefault="00D766F6" w:rsidP="00387044">
      <w:pPr>
        <w:pStyle w:val="Heading1"/>
      </w:pPr>
      <w:r>
        <w:t>REFERENCES</w:t>
      </w:r>
      <w:r w:rsidR="00E03EDB" w:rsidRPr="00E811CB">
        <w:rPr>
          <w:color w:val="FF0000"/>
          <w:lang w:eastAsia="en-GB"/>
        </w:rPr>
        <w:fldChar w:fldCharType="begin"/>
      </w:r>
      <w:r w:rsidR="00530792" w:rsidRPr="00387044">
        <w:rPr>
          <w:color w:val="FF0000"/>
        </w:rPr>
        <w:instrText>ADDIN RW.BIB</w:instrText>
      </w:r>
      <w:r w:rsidR="00E03EDB" w:rsidRPr="00E811CB">
        <w:rPr>
          <w:color w:val="FF0000"/>
          <w:lang w:eastAsia="en-GB"/>
        </w:rPr>
        <w:fldChar w:fldCharType="separate"/>
      </w:r>
    </w:p>
    <w:p w14:paraId="3CFF9461" w14:textId="6B7FEFE5" w:rsidR="00530792" w:rsidRPr="000D0F5A" w:rsidRDefault="00530792" w:rsidP="00D26464">
      <w:pPr>
        <w:pStyle w:val="NormalWeb"/>
        <w:rPr>
          <w:rFonts w:ascii="Calibri" w:hAnsi="Calibri" w:cs="Calibri"/>
          <w:sz w:val="22"/>
        </w:rPr>
      </w:pPr>
      <w:r w:rsidRPr="000D0F5A">
        <w:rPr>
          <w:rFonts w:ascii="Calibri" w:hAnsi="Calibri" w:cs="Calibri"/>
          <w:sz w:val="22"/>
        </w:rPr>
        <w:t>BEIS</w:t>
      </w:r>
      <w:r w:rsidR="00C7040F" w:rsidRPr="000D0F5A">
        <w:rPr>
          <w:rFonts w:ascii="Calibri" w:hAnsi="Calibri" w:cs="Calibri"/>
          <w:sz w:val="22"/>
        </w:rPr>
        <w:t>,</w:t>
      </w:r>
      <w:r w:rsidRPr="000D0F5A">
        <w:rPr>
          <w:rFonts w:ascii="Calibri" w:hAnsi="Calibri" w:cs="Calibri"/>
          <w:sz w:val="22"/>
        </w:rPr>
        <w:t xml:space="preserve"> 2016</w:t>
      </w:r>
      <w:r w:rsidRPr="000D0F5A">
        <w:rPr>
          <w:rFonts w:ascii="Calibri" w:hAnsi="Calibri" w:cs="Calibri"/>
          <w:i/>
          <w:iCs/>
          <w:sz w:val="22"/>
        </w:rPr>
        <w:t>. Building Energy Efficiency Survey , 2014–15: Overarching Report</w:t>
      </w:r>
      <w:r w:rsidRPr="000D0F5A">
        <w:rPr>
          <w:rFonts w:ascii="Calibri" w:hAnsi="Calibri" w:cs="Calibri"/>
          <w:sz w:val="22"/>
        </w:rPr>
        <w:t>. UK: Department for Business Energy and Industrial Strategy, UK.</w:t>
      </w:r>
    </w:p>
    <w:p w14:paraId="33EC17A5" w14:textId="262305C0" w:rsidR="00530792" w:rsidRPr="000D0F5A" w:rsidRDefault="00D26464" w:rsidP="00D26464">
      <w:pPr>
        <w:pStyle w:val="NormalWeb"/>
        <w:rPr>
          <w:rFonts w:ascii="Calibri" w:hAnsi="Calibri" w:cs="Calibri"/>
          <w:sz w:val="22"/>
        </w:rPr>
      </w:pPr>
      <w:r w:rsidRPr="000D0F5A">
        <w:rPr>
          <w:rFonts w:ascii="Calibri" w:hAnsi="Calibri" w:cs="Calibri"/>
          <w:sz w:val="22"/>
        </w:rPr>
        <w:t>BEIS</w:t>
      </w:r>
      <w:r w:rsidR="00C7040F" w:rsidRPr="000D0F5A">
        <w:rPr>
          <w:rFonts w:ascii="Calibri" w:hAnsi="Calibri" w:cs="Calibri"/>
          <w:sz w:val="22"/>
        </w:rPr>
        <w:t>,</w:t>
      </w:r>
      <w:r w:rsidR="00530792" w:rsidRPr="000D0F5A">
        <w:rPr>
          <w:rFonts w:ascii="Calibri" w:hAnsi="Calibri" w:cs="Calibri"/>
          <w:sz w:val="22"/>
        </w:rPr>
        <w:t xml:space="preserve"> 2020</w:t>
      </w:r>
      <w:r w:rsidR="00530792" w:rsidRPr="000D0F5A">
        <w:rPr>
          <w:rFonts w:ascii="Calibri" w:hAnsi="Calibri" w:cs="Calibri"/>
          <w:i/>
          <w:iCs/>
          <w:sz w:val="22"/>
        </w:rPr>
        <w:t>. Digest of United Kingdom Energy Statistics 2020</w:t>
      </w:r>
      <w:r w:rsidR="00530792" w:rsidRPr="000D0F5A">
        <w:rPr>
          <w:rFonts w:ascii="Calibri" w:hAnsi="Calibri" w:cs="Calibri"/>
          <w:sz w:val="22"/>
        </w:rPr>
        <w:t>: The Department for Business, Energy and Industrial Strategy, UK.</w:t>
      </w:r>
    </w:p>
    <w:p w14:paraId="4CAA79A1" w14:textId="2E0B57C3" w:rsidR="00B2724C" w:rsidRPr="000D0F5A" w:rsidRDefault="00B2724C" w:rsidP="00B2724C">
      <w:pPr>
        <w:pStyle w:val="NormalWeb"/>
        <w:rPr>
          <w:rFonts w:ascii="Calibri" w:hAnsi="Calibri" w:cs="Calibri"/>
          <w:sz w:val="22"/>
        </w:rPr>
      </w:pPr>
      <w:r w:rsidRPr="000D0F5A">
        <w:rPr>
          <w:rFonts w:ascii="Calibri" w:hAnsi="Calibri" w:cs="Calibri"/>
          <w:sz w:val="22"/>
        </w:rPr>
        <w:t>BEIS, 2021</w:t>
      </w:r>
      <w:r w:rsidRPr="000D0F5A">
        <w:rPr>
          <w:rFonts w:ascii="Calibri" w:hAnsi="Calibri" w:cs="Calibri"/>
          <w:i/>
          <w:iCs/>
          <w:sz w:val="22"/>
        </w:rPr>
        <w:t xml:space="preserve">. Green Book supplementary guidance: valuation of energy use and greenhouse gas emissions for appraisal.  </w:t>
      </w:r>
      <w:r w:rsidRPr="000D0F5A">
        <w:rPr>
          <w:rFonts w:ascii="Calibri" w:hAnsi="Calibri" w:cs="Calibri"/>
          <w:sz w:val="22"/>
        </w:rPr>
        <w:t>The Department for Business, Energy and Industrial Strategy, UK.</w:t>
      </w:r>
    </w:p>
    <w:p w14:paraId="1BE21E20" w14:textId="77777777" w:rsidR="00B2724C" w:rsidRPr="000D0F5A" w:rsidRDefault="00B2724C" w:rsidP="00D26464">
      <w:pPr>
        <w:pStyle w:val="NormalWeb"/>
        <w:rPr>
          <w:rFonts w:ascii="Calibri" w:hAnsi="Calibri" w:cs="Calibri"/>
          <w:sz w:val="22"/>
        </w:rPr>
      </w:pPr>
    </w:p>
    <w:p w14:paraId="74F5847A" w14:textId="62CB9115" w:rsidR="00B2724C" w:rsidRPr="000D0F5A" w:rsidRDefault="00530792" w:rsidP="00D26464">
      <w:pPr>
        <w:pStyle w:val="NormalWeb"/>
        <w:rPr>
          <w:rFonts w:ascii="Calibri" w:hAnsi="Calibri" w:cs="Calibri"/>
          <w:sz w:val="22"/>
        </w:rPr>
      </w:pPr>
      <w:r w:rsidRPr="000D0F5A">
        <w:rPr>
          <w:rFonts w:ascii="Calibri" w:hAnsi="Calibri" w:cs="Calibri"/>
          <w:sz w:val="22"/>
        </w:rPr>
        <w:t>BRA. 2018</w:t>
      </w:r>
      <w:r w:rsidRPr="000D0F5A">
        <w:rPr>
          <w:rFonts w:ascii="Calibri" w:hAnsi="Calibri" w:cs="Calibri"/>
          <w:i/>
          <w:iCs/>
          <w:sz w:val="22"/>
        </w:rPr>
        <w:t>. Putting into use Replacement Refrigerants (PURR) - 2nd Edition</w:t>
      </w:r>
      <w:r w:rsidRPr="000D0F5A">
        <w:rPr>
          <w:rFonts w:ascii="Calibri" w:hAnsi="Calibri" w:cs="Calibri"/>
          <w:sz w:val="22"/>
        </w:rPr>
        <w:t>: Federation of Environmental Trade Associations Ltd, UK.</w:t>
      </w:r>
    </w:p>
    <w:p w14:paraId="425BCA1A" w14:textId="6521A1E8" w:rsidR="00530792" w:rsidRPr="000D0F5A" w:rsidRDefault="000B63F0" w:rsidP="00D26464">
      <w:pPr>
        <w:pStyle w:val="NormalWeb"/>
        <w:rPr>
          <w:rFonts w:ascii="Calibri" w:hAnsi="Calibri" w:cs="Calibri"/>
          <w:sz w:val="22"/>
        </w:rPr>
      </w:pPr>
      <w:r w:rsidRPr="000D0F5A">
        <w:rPr>
          <w:rFonts w:ascii="Calibri" w:hAnsi="Calibri" w:cs="Calibri"/>
          <w:sz w:val="22"/>
        </w:rPr>
        <w:t>Brown, P., Cardenas, L., Choudrie, S., Del Vento, S., Karagianni, E., MacCarthy, J., Mullen, P., Passant, N., Richmond, B., Smith, H., Thistlethwaite, G., Thomson, A., Turtle, L., Wakeling, D</w:t>
      </w:r>
      <w:r w:rsidR="00530792" w:rsidRPr="000D0F5A">
        <w:rPr>
          <w:rFonts w:ascii="Calibri" w:hAnsi="Calibri" w:cs="Calibri"/>
          <w:sz w:val="22"/>
        </w:rPr>
        <w:t>.</w:t>
      </w:r>
      <w:r w:rsidRPr="000D0F5A">
        <w:rPr>
          <w:rFonts w:ascii="Calibri" w:hAnsi="Calibri" w:cs="Calibri"/>
          <w:sz w:val="22"/>
        </w:rPr>
        <w:t>,</w:t>
      </w:r>
      <w:r w:rsidR="00530792" w:rsidRPr="000D0F5A">
        <w:rPr>
          <w:rFonts w:ascii="Calibri" w:hAnsi="Calibri" w:cs="Calibri"/>
          <w:sz w:val="22"/>
        </w:rPr>
        <w:t xml:space="preserve"> 2021</w:t>
      </w:r>
      <w:r w:rsidR="00530792" w:rsidRPr="000D0F5A">
        <w:rPr>
          <w:rFonts w:ascii="Calibri" w:hAnsi="Calibri" w:cs="Calibri"/>
          <w:i/>
          <w:iCs/>
          <w:sz w:val="22"/>
        </w:rPr>
        <w:t>. UK Greenhouse Gas</w:t>
      </w:r>
      <w:r w:rsidR="00D26464" w:rsidRPr="000D0F5A">
        <w:rPr>
          <w:rFonts w:ascii="Calibri" w:hAnsi="Calibri" w:cs="Calibri"/>
          <w:i/>
          <w:iCs/>
          <w:sz w:val="22"/>
        </w:rPr>
        <w:t xml:space="preserve"> </w:t>
      </w:r>
      <w:r w:rsidR="00530792" w:rsidRPr="000D0F5A">
        <w:rPr>
          <w:rFonts w:ascii="Calibri" w:hAnsi="Calibri" w:cs="Calibri"/>
          <w:i/>
          <w:iCs/>
          <w:sz w:val="22"/>
        </w:rPr>
        <w:t>Inventory, 1990 to 2019 - Annual Report for Submission Under the Framework</w:t>
      </w:r>
      <w:r w:rsidRPr="000D0F5A">
        <w:rPr>
          <w:rFonts w:ascii="Calibri" w:hAnsi="Calibri" w:cs="Calibri"/>
          <w:i/>
          <w:iCs/>
          <w:sz w:val="22"/>
        </w:rPr>
        <w:t xml:space="preserve"> </w:t>
      </w:r>
      <w:r w:rsidR="00530792" w:rsidRPr="000D0F5A">
        <w:rPr>
          <w:rFonts w:ascii="Calibri" w:hAnsi="Calibri" w:cs="Calibri"/>
          <w:i/>
          <w:iCs/>
          <w:sz w:val="22"/>
        </w:rPr>
        <w:t>Convention on Climate Change</w:t>
      </w:r>
      <w:r w:rsidR="00530792" w:rsidRPr="000D0F5A">
        <w:rPr>
          <w:rFonts w:ascii="Calibri" w:hAnsi="Calibri" w:cs="Calibri"/>
          <w:sz w:val="22"/>
        </w:rPr>
        <w:t>: Department for Business, Energy &amp; Industrial Strategy, UK.</w:t>
      </w:r>
    </w:p>
    <w:p w14:paraId="56651539" w14:textId="227B573B" w:rsidR="00530792" w:rsidRPr="000D0F5A" w:rsidRDefault="00530792" w:rsidP="00D26464">
      <w:pPr>
        <w:pStyle w:val="NormalWeb"/>
        <w:rPr>
          <w:rFonts w:ascii="Calibri" w:hAnsi="Calibri" w:cs="Calibri"/>
          <w:sz w:val="22"/>
        </w:rPr>
      </w:pPr>
      <w:r w:rsidRPr="000D0F5A">
        <w:rPr>
          <w:rFonts w:ascii="Calibri" w:hAnsi="Calibri" w:cs="Calibri"/>
          <w:sz w:val="22"/>
        </w:rPr>
        <w:t>CCF</w:t>
      </w:r>
      <w:r w:rsidR="00456616" w:rsidRPr="000D0F5A">
        <w:rPr>
          <w:rFonts w:ascii="Calibri" w:hAnsi="Calibri" w:cs="Calibri"/>
          <w:sz w:val="22"/>
        </w:rPr>
        <w:t>,</w:t>
      </w:r>
      <w:r w:rsidRPr="000D0F5A">
        <w:rPr>
          <w:rFonts w:ascii="Calibri" w:hAnsi="Calibri" w:cs="Calibri"/>
          <w:sz w:val="22"/>
        </w:rPr>
        <w:t xml:space="preserve"> 2020</w:t>
      </w:r>
      <w:r w:rsidRPr="000D0F5A">
        <w:rPr>
          <w:rFonts w:ascii="Calibri" w:hAnsi="Calibri" w:cs="Calibri"/>
          <w:i/>
          <w:iCs/>
          <w:sz w:val="22"/>
        </w:rPr>
        <w:t>. Energy Efficiency in Cold Stores - A Practical Guide</w:t>
      </w:r>
      <w:r w:rsidRPr="000D0F5A">
        <w:rPr>
          <w:rFonts w:ascii="Calibri" w:hAnsi="Calibri" w:cs="Calibri"/>
          <w:sz w:val="22"/>
        </w:rPr>
        <w:t>: Cold Chain Federation.</w:t>
      </w:r>
    </w:p>
    <w:p w14:paraId="7EEC0B03" w14:textId="38D770B5" w:rsidR="00530792" w:rsidRPr="000D0F5A" w:rsidRDefault="00530792" w:rsidP="00D26464">
      <w:pPr>
        <w:pStyle w:val="NormalWeb"/>
        <w:rPr>
          <w:rFonts w:ascii="Calibri" w:hAnsi="Calibri" w:cs="Calibri"/>
          <w:sz w:val="22"/>
        </w:rPr>
      </w:pPr>
      <w:r w:rsidRPr="000D0F5A">
        <w:rPr>
          <w:rFonts w:ascii="Calibri" w:hAnsi="Calibri" w:cs="Calibri"/>
          <w:sz w:val="22"/>
        </w:rPr>
        <w:t>CCF</w:t>
      </w:r>
      <w:r w:rsidR="00660246" w:rsidRPr="000D0F5A">
        <w:rPr>
          <w:rFonts w:ascii="Calibri" w:hAnsi="Calibri" w:cs="Calibri"/>
          <w:sz w:val="22"/>
        </w:rPr>
        <w:t xml:space="preserve">, </w:t>
      </w:r>
      <w:r w:rsidRPr="000D0F5A">
        <w:rPr>
          <w:rFonts w:ascii="Calibri" w:hAnsi="Calibri" w:cs="Calibri"/>
          <w:sz w:val="22"/>
        </w:rPr>
        <w:t>SCR</w:t>
      </w:r>
      <w:r w:rsidR="00660246" w:rsidRPr="000D0F5A">
        <w:rPr>
          <w:rFonts w:ascii="Calibri" w:hAnsi="Calibri" w:cs="Calibri"/>
          <w:sz w:val="22"/>
        </w:rPr>
        <w:t>,</w:t>
      </w:r>
      <w:r w:rsidRPr="000D0F5A">
        <w:rPr>
          <w:rFonts w:ascii="Calibri" w:hAnsi="Calibri" w:cs="Calibri"/>
          <w:sz w:val="22"/>
        </w:rPr>
        <w:t xml:space="preserve"> 2020</w:t>
      </w:r>
      <w:r w:rsidRPr="000D0F5A">
        <w:rPr>
          <w:rFonts w:ascii="Calibri" w:hAnsi="Calibri" w:cs="Calibri"/>
          <w:i/>
          <w:iCs/>
          <w:sz w:val="22"/>
        </w:rPr>
        <w:t>. UK Cold Storage Sector</w:t>
      </w:r>
      <w:r w:rsidRPr="000D0F5A">
        <w:rPr>
          <w:rFonts w:ascii="Calibri" w:hAnsi="Calibri" w:cs="Calibri"/>
          <w:sz w:val="22"/>
        </w:rPr>
        <w:t>: Cold Chain Federation and Savills Commercial Research.</w:t>
      </w:r>
    </w:p>
    <w:p w14:paraId="3C0BAD0A" w14:textId="387CE645" w:rsidR="00013818" w:rsidRPr="000D0F5A" w:rsidRDefault="00013818" w:rsidP="00D26464">
      <w:pPr>
        <w:pStyle w:val="NormalWeb"/>
        <w:rPr>
          <w:rFonts w:ascii="Calibri" w:hAnsi="Calibri" w:cs="Calibri"/>
          <w:sz w:val="22"/>
        </w:rPr>
      </w:pPr>
      <w:r w:rsidRPr="000D0F5A">
        <w:rPr>
          <w:rFonts w:ascii="Calibri" w:hAnsi="Calibri" w:cs="Calibri"/>
          <w:sz w:val="22"/>
        </w:rPr>
        <w:t>CCF, 2021</w:t>
      </w:r>
      <w:r w:rsidRPr="000D0F5A">
        <w:rPr>
          <w:rFonts w:ascii="Calibri" w:hAnsi="Calibri" w:cs="Calibri"/>
          <w:i/>
          <w:iCs/>
          <w:sz w:val="22"/>
        </w:rPr>
        <w:t>. Shaping The Cold Chain of The Future: The Road To Net Zero - Part Three – The Journey To Emission Free Temperature-Controlled Refrigeration On Road Vehicles</w:t>
      </w:r>
      <w:r w:rsidRPr="000D0F5A">
        <w:rPr>
          <w:rFonts w:ascii="Calibri" w:hAnsi="Calibri" w:cs="Calibri"/>
          <w:sz w:val="22"/>
        </w:rPr>
        <w:t>, Cold Chain Federation, UK.</w:t>
      </w:r>
    </w:p>
    <w:p w14:paraId="406F7417" w14:textId="07276862" w:rsidR="00530792" w:rsidRPr="000D0F5A" w:rsidRDefault="00530792" w:rsidP="00D26464">
      <w:pPr>
        <w:pStyle w:val="NormalWeb"/>
        <w:rPr>
          <w:rFonts w:ascii="Calibri" w:hAnsi="Calibri" w:cs="Calibri"/>
          <w:sz w:val="22"/>
        </w:rPr>
      </w:pPr>
      <w:r w:rsidRPr="000D0F5A">
        <w:rPr>
          <w:rFonts w:ascii="Calibri" w:hAnsi="Calibri" w:cs="Calibri"/>
          <w:sz w:val="22"/>
        </w:rPr>
        <w:t>DECC. 2013</w:t>
      </w:r>
      <w:r w:rsidRPr="000D0F5A">
        <w:rPr>
          <w:rFonts w:ascii="Calibri" w:hAnsi="Calibri" w:cs="Calibri"/>
          <w:i/>
          <w:iCs/>
          <w:sz w:val="22"/>
        </w:rPr>
        <w:t xml:space="preserve">. DECC Non - Domestic Building Energy use </w:t>
      </w:r>
      <w:r w:rsidR="00D26464" w:rsidRPr="000D0F5A">
        <w:rPr>
          <w:rFonts w:ascii="Calibri" w:hAnsi="Calibri" w:cs="Calibri"/>
          <w:i/>
          <w:iCs/>
          <w:sz w:val="22"/>
        </w:rPr>
        <w:t xml:space="preserve"> </w:t>
      </w:r>
      <w:r w:rsidRPr="000D0F5A">
        <w:rPr>
          <w:rFonts w:ascii="Calibri" w:hAnsi="Calibri" w:cs="Calibri"/>
          <w:i/>
          <w:iCs/>
          <w:sz w:val="22"/>
        </w:rPr>
        <w:t>Project Phase - Pilot Study of the Food and Mixed Retail Sector</w:t>
      </w:r>
      <w:r w:rsidRPr="000D0F5A">
        <w:rPr>
          <w:rFonts w:ascii="Calibri" w:hAnsi="Calibri" w:cs="Calibri"/>
          <w:sz w:val="22"/>
        </w:rPr>
        <w:t>: Department of Energy &amp; Climate Change.</w:t>
      </w:r>
    </w:p>
    <w:p w14:paraId="0DDC272F" w14:textId="73769B62" w:rsidR="00C7040F" w:rsidRPr="000D0F5A" w:rsidRDefault="00C7040F" w:rsidP="00D26464">
      <w:pPr>
        <w:pStyle w:val="NormalWeb"/>
        <w:rPr>
          <w:rFonts w:ascii="Calibri" w:hAnsi="Calibri" w:cs="Calibri"/>
          <w:sz w:val="22"/>
        </w:rPr>
      </w:pPr>
      <w:r w:rsidRPr="000D0F5A">
        <w:rPr>
          <w:rFonts w:ascii="Calibri" w:hAnsi="Calibri" w:cs="Calibri"/>
          <w:sz w:val="22"/>
        </w:rPr>
        <w:t>DEFRA. 2014</w:t>
      </w:r>
      <w:r w:rsidRPr="000D0F5A">
        <w:rPr>
          <w:rFonts w:ascii="Calibri" w:hAnsi="Calibri" w:cs="Calibri"/>
          <w:i/>
          <w:iCs/>
          <w:sz w:val="22"/>
        </w:rPr>
        <w:t>. Food Statistics! Pocketbook 2013:</w:t>
      </w:r>
      <w:r w:rsidRPr="000D0F5A">
        <w:rPr>
          <w:rFonts w:ascii="Calibri" w:hAnsi="Calibri" w:cs="Calibri"/>
          <w:sz w:val="22"/>
        </w:rPr>
        <w:t xml:space="preserve"> Department for Environment, Food and Rural Affairs, UK.</w:t>
      </w:r>
    </w:p>
    <w:p w14:paraId="0EC575E4" w14:textId="6F82D179" w:rsidR="00530792" w:rsidRPr="000D0F5A" w:rsidRDefault="00530792" w:rsidP="00D26464">
      <w:pPr>
        <w:pStyle w:val="NormalWeb"/>
        <w:rPr>
          <w:rFonts w:ascii="Calibri" w:hAnsi="Calibri" w:cs="Calibri"/>
          <w:sz w:val="22"/>
        </w:rPr>
      </w:pPr>
      <w:r w:rsidRPr="000D0F5A">
        <w:rPr>
          <w:rFonts w:ascii="Calibri" w:hAnsi="Calibri" w:cs="Calibri"/>
          <w:sz w:val="22"/>
        </w:rPr>
        <w:t>DEFRA. 20</w:t>
      </w:r>
      <w:r w:rsidR="008863CB" w:rsidRPr="000D0F5A">
        <w:rPr>
          <w:rFonts w:ascii="Calibri" w:hAnsi="Calibri" w:cs="Calibri"/>
          <w:sz w:val="22"/>
        </w:rPr>
        <w:t>20</w:t>
      </w:r>
      <w:r w:rsidRPr="000D0F5A">
        <w:rPr>
          <w:rFonts w:ascii="Calibri" w:hAnsi="Calibri" w:cs="Calibri"/>
          <w:i/>
          <w:iCs/>
          <w:sz w:val="22"/>
        </w:rPr>
        <w:t>. Food Statistics!</w:t>
      </w:r>
      <w:r w:rsidR="00D26464" w:rsidRPr="000D0F5A">
        <w:rPr>
          <w:rFonts w:ascii="Calibri" w:hAnsi="Calibri" w:cs="Calibri"/>
          <w:i/>
          <w:iCs/>
          <w:sz w:val="22"/>
        </w:rPr>
        <w:t xml:space="preserve"> </w:t>
      </w:r>
      <w:r w:rsidRPr="000D0F5A">
        <w:rPr>
          <w:rFonts w:ascii="Calibri" w:hAnsi="Calibri" w:cs="Calibri"/>
          <w:i/>
          <w:iCs/>
          <w:sz w:val="22"/>
        </w:rPr>
        <w:t>Pocketbook 20</w:t>
      </w:r>
      <w:r w:rsidR="008863CB" w:rsidRPr="000D0F5A">
        <w:rPr>
          <w:rFonts w:ascii="Calibri" w:hAnsi="Calibri" w:cs="Calibri"/>
          <w:i/>
          <w:iCs/>
          <w:sz w:val="22"/>
        </w:rPr>
        <w:t>20</w:t>
      </w:r>
      <w:r w:rsidRPr="000D0F5A">
        <w:rPr>
          <w:rFonts w:ascii="Calibri" w:hAnsi="Calibri" w:cs="Calibri"/>
          <w:sz w:val="22"/>
        </w:rPr>
        <w:t>: Department for Environment, Food and Rural Affairs</w:t>
      </w:r>
      <w:r w:rsidR="008863CB" w:rsidRPr="000D0F5A">
        <w:rPr>
          <w:rFonts w:ascii="Calibri" w:hAnsi="Calibri" w:cs="Calibri"/>
          <w:sz w:val="22"/>
        </w:rPr>
        <w:t>, UK</w:t>
      </w:r>
      <w:r w:rsidRPr="000D0F5A">
        <w:rPr>
          <w:rFonts w:ascii="Calibri" w:hAnsi="Calibri" w:cs="Calibri"/>
          <w:sz w:val="22"/>
        </w:rPr>
        <w:t>.</w:t>
      </w:r>
    </w:p>
    <w:p w14:paraId="48487602" w14:textId="18D58CBD" w:rsidR="00530792" w:rsidRPr="000D0F5A" w:rsidRDefault="00530792" w:rsidP="00D26464">
      <w:pPr>
        <w:pStyle w:val="NormalWeb"/>
        <w:rPr>
          <w:rFonts w:ascii="Calibri" w:hAnsi="Calibri" w:cs="Calibri"/>
          <w:sz w:val="22"/>
        </w:rPr>
      </w:pPr>
      <w:r w:rsidRPr="000D0F5A">
        <w:rPr>
          <w:rFonts w:ascii="Calibri" w:hAnsi="Calibri" w:cs="Calibri"/>
          <w:sz w:val="22"/>
        </w:rPr>
        <w:t>EC. 2015</w:t>
      </w:r>
      <w:r w:rsidRPr="000D0F5A">
        <w:rPr>
          <w:rFonts w:ascii="Calibri" w:hAnsi="Calibri" w:cs="Calibri"/>
          <w:i/>
          <w:iCs/>
          <w:sz w:val="22"/>
        </w:rPr>
        <w:t>. Commission Staff Working Document Impact Assessment - IMPACT ASSESSMENT - Accompanying the Document - Commission Regulation - Implementing Directive 2009/125/EC of the European Parliament and of the Council</w:t>
      </w:r>
      <w:r w:rsidR="00D26464" w:rsidRPr="000D0F5A">
        <w:rPr>
          <w:rFonts w:ascii="Calibri" w:hAnsi="Calibri" w:cs="Calibri"/>
          <w:i/>
          <w:iCs/>
          <w:sz w:val="22"/>
        </w:rPr>
        <w:t xml:space="preserve"> </w:t>
      </w:r>
      <w:r w:rsidRPr="000D0F5A">
        <w:rPr>
          <w:rFonts w:ascii="Calibri" w:hAnsi="Calibri" w:cs="Calibri"/>
          <w:i/>
          <w:iCs/>
          <w:sz w:val="22"/>
        </w:rPr>
        <w:t>with Regard to Ecodesign Requirements for Professional Refrigerated Storage Cabinets,</w:t>
      </w:r>
      <w:r w:rsidRPr="000D0F5A">
        <w:rPr>
          <w:rFonts w:ascii="Calibri" w:hAnsi="Calibri" w:cs="Calibri"/>
          <w:i/>
          <w:iCs/>
          <w:sz w:val="22"/>
        </w:rPr>
        <w:br/>
        <w:t>Blast Cabinets, Condensing Units and Process Chillers</w:t>
      </w:r>
      <w:r w:rsidRPr="000D0F5A">
        <w:rPr>
          <w:rFonts w:ascii="Calibri" w:hAnsi="Calibri" w:cs="Calibri"/>
          <w:sz w:val="22"/>
        </w:rPr>
        <w:t>: European Commission.</w:t>
      </w:r>
    </w:p>
    <w:p w14:paraId="1EE3FDD3" w14:textId="38582C34" w:rsidR="00530792" w:rsidRPr="000D0F5A" w:rsidRDefault="00530792" w:rsidP="00D26464">
      <w:pPr>
        <w:pStyle w:val="NormalWeb"/>
        <w:rPr>
          <w:rFonts w:ascii="Calibri" w:hAnsi="Calibri" w:cs="Calibri"/>
          <w:sz w:val="22"/>
        </w:rPr>
      </w:pPr>
      <w:r w:rsidRPr="000D0F5A">
        <w:rPr>
          <w:rFonts w:ascii="Calibri" w:hAnsi="Calibri" w:cs="Calibri"/>
          <w:sz w:val="22"/>
        </w:rPr>
        <w:t>Environment Agency</w:t>
      </w:r>
      <w:r w:rsidR="00456616" w:rsidRPr="000D0F5A">
        <w:rPr>
          <w:rFonts w:ascii="Calibri" w:hAnsi="Calibri" w:cs="Calibri"/>
          <w:sz w:val="22"/>
        </w:rPr>
        <w:t>, 2019,</w:t>
      </w:r>
      <w:r w:rsidRPr="000D0F5A">
        <w:rPr>
          <w:rFonts w:ascii="Calibri" w:hAnsi="Calibri" w:cs="Calibri"/>
          <w:sz w:val="22"/>
        </w:rPr>
        <w:t xml:space="preserve"> Climate Change Agreements - Sector Performance Data., last modified 11 June</w:t>
      </w:r>
      <w:r w:rsidR="00D26464" w:rsidRPr="000D0F5A">
        <w:rPr>
          <w:rFonts w:ascii="Calibri" w:hAnsi="Calibri" w:cs="Calibri"/>
          <w:sz w:val="22"/>
        </w:rPr>
        <w:t>.</w:t>
      </w:r>
    </w:p>
    <w:p w14:paraId="2B8D4BFD" w14:textId="3E81A50C" w:rsidR="00530792" w:rsidRPr="000D0F5A" w:rsidRDefault="00530792" w:rsidP="00D26464">
      <w:pPr>
        <w:pStyle w:val="NormalWeb"/>
        <w:rPr>
          <w:rFonts w:ascii="Calibri" w:hAnsi="Calibri" w:cs="Calibri"/>
          <w:sz w:val="22"/>
        </w:rPr>
      </w:pPr>
      <w:r w:rsidRPr="000D0F5A">
        <w:rPr>
          <w:rFonts w:ascii="Calibri" w:hAnsi="Calibri" w:cs="Calibri"/>
          <w:sz w:val="22"/>
        </w:rPr>
        <w:t>Fikiin, K., Foster,</w:t>
      </w:r>
      <w:r w:rsidR="00456616" w:rsidRPr="000D0F5A">
        <w:rPr>
          <w:rFonts w:ascii="Calibri" w:hAnsi="Calibri" w:cs="Calibri"/>
          <w:sz w:val="22"/>
        </w:rPr>
        <w:t xml:space="preserve"> A.,</w:t>
      </w:r>
      <w:r w:rsidRPr="000D0F5A">
        <w:rPr>
          <w:rFonts w:ascii="Calibri" w:hAnsi="Calibri" w:cs="Calibri"/>
          <w:sz w:val="22"/>
        </w:rPr>
        <w:t xml:space="preserve"> Truckell, </w:t>
      </w:r>
      <w:r w:rsidR="00456616" w:rsidRPr="000D0F5A">
        <w:rPr>
          <w:rFonts w:ascii="Calibri" w:hAnsi="Calibri" w:cs="Calibri"/>
          <w:sz w:val="22"/>
        </w:rPr>
        <w:t xml:space="preserve">I. </w:t>
      </w:r>
      <w:r w:rsidRPr="000D0F5A">
        <w:rPr>
          <w:rFonts w:ascii="Calibri" w:hAnsi="Calibri" w:cs="Calibri"/>
          <w:sz w:val="22"/>
        </w:rPr>
        <w:t>Varga</w:t>
      </w:r>
      <w:r w:rsidR="00456616" w:rsidRPr="000D0F5A">
        <w:rPr>
          <w:rFonts w:ascii="Calibri" w:hAnsi="Calibri" w:cs="Calibri"/>
          <w:sz w:val="22"/>
        </w:rPr>
        <w:t>, E</w:t>
      </w:r>
      <w:r w:rsidRPr="000D0F5A">
        <w:rPr>
          <w:rFonts w:ascii="Calibri" w:hAnsi="Calibri" w:cs="Calibri"/>
          <w:sz w:val="22"/>
        </w:rPr>
        <w:t>.</w:t>
      </w:r>
      <w:r w:rsidR="00456616" w:rsidRPr="000D0F5A">
        <w:rPr>
          <w:rFonts w:ascii="Calibri" w:hAnsi="Calibri" w:cs="Calibri"/>
          <w:sz w:val="22"/>
        </w:rPr>
        <w:t>,</w:t>
      </w:r>
      <w:r w:rsidRPr="000D0F5A">
        <w:rPr>
          <w:rFonts w:ascii="Calibri" w:hAnsi="Calibri" w:cs="Calibri"/>
          <w:sz w:val="22"/>
        </w:rPr>
        <w:t xml:space="preserve"> 2017</w:t>
      </w:r>
      <w:r w:rsidRPr="000D0F5A">
        <w:rPr>
          <w:rFonts w:ascii="Calibri" w:hAnsi="Calibri" w:cs="Calibri"/>
          <w:i/>
          <w:iCs/>
          <w:sz w:val="22"/>
        </w:rPr>
        <w:t>. CryoHub: Deliverable D2.1 - Report on Refrigerated Food Facility Mapping</w:t>
      </w:r>
      <w:r w:rsidRPr="000D0F5A">
        <w:rPr>
          <w:rFonts w:ascii="Calibri" w:hAnsi="Calibri" w:cs="Calibri"/>
          <w:sz w:val="22"/>
        </w:rPr>
        <w:t>: London South Bank University</w:t>
      </w:r>
      <w:r w:rsidR="00456616" w:rsidRPr="000D0F5A">
        <w:rPr>
          <w:rFonts w:ascii="Calibri" w:hAnsi="Calibri" w:cs="Calibri"/>
          <w:sz w:val="22"/>
        </w:rPr>
        <w:t>, UK</w:t>
      </w:r>
      <w:r w:rsidRPr="000D0F5A">
        <w:rPr>
          <w:rFonts w:ascii="Calibri" w:hAnsi="Calibri" w:cs="Calibri"/>
          <w:sz w:val="22"/>
        </w:rPr>
        <w:t>.</w:t>
      </w:r>
    </w:p>
    <w:p w14:paraId="66A8F58F" w14:textId="4C1AE736" w:rsidR="00530792" w:rsidRPr="000D0F5A" w:rsidRDefault="00530792" w:rsidP="00D26464">
      <w:pPr>
        <w:pStyle w:val="NormalWeb"/>
        <w:rPr>
          <w:rFonts w:ascii="Calibri" w:hAnsi="Calibri" w:cs="Calibri"/>
          <w:i/>
          <w:iCs/>
          <w:sz w:val="22"/>
        </w:rPr>
      </w:pPr>
      <w:r w:rsidRPr="000D0F5A">
        <w:rPr>
          <w:rFonts w:ascii="Calibri" w:hAnsi="Calibri" w:cs="Calibri"/>
          <w:i/>
          <w:iCs/>
          <w:sz w:val="22"/>
        </w:rPr>
        <w:t xml:space="preserve">Fisher, D., Cowen, </w:t>
      </w:r>
      <w:r w:rsidR="00A86373" w:rsidRPr="000D0F5A">
        <w:rPr>
          <w:rFonts w:ascii="Calibri" w:hAnsi="Calibri" w:cs="Calibri"/>
          <w:i/>
          <w:iCs/>
          <w:sz w:val="22"/>
        </w:rPr>
        <w:t xml:space="preserve">D., </w:t>
      </w:r>
      <w:r w:rsidRPr="000D0F5A">
        <w:rPr>
          <w:rFonts w:ascii="Calibri" w:hAnsi="Calibri" w:cs="Calibri"/>
          <w:i/>
          <w:iCs/>
          <w:sz w:val="22"/>
        </w:rPr>
        <w:t xml:space="preserve">Karas, </w:t>
      </w:r>
      <w:r w:rsidR="00A86373" w:rsidRPr="000D0F5A">
        <w:rPr>
          <w:rFonts w:ascii="Calibri" w:hAnsi="Calibri" w:cs="Calibri"/>
          <w:i/>
          <w:iCs/>
          <w:sz w:val="22"/>
        </w:rPr>
        <w:t xml:space="preserve">A., </w:t>
      </w:r>
      <w:r w:rsidRPr="000D0F5A">
        <w:rPr>
          <w:rFonts w:ascii="Calibri" w:hAnsi="Calibri" w:cs="Calibri"/>
          <w:i/>
          <w:iCs/>
          <w:sz w:val="22"/>
        </w:rPr>
        <w:t>Spoor</w:t>
      </w:r>
      <w:r w:rsidR="00A86373" w:rsidRPr="000D0F5A">
        <w:rPr>
          <w:rFonts w:ascii="Calibri" w:hAnsi="Calibri" w:cs="Calibri"/>
          <w:i/>
          <w:iCs/>
          <w:sz w:val="22"/>
        </w:rPr>
        <w:t>, C.</w:t>
      </w:r>
      <w:r w:rsidR="00013818" w:rsidRPr="000D0F5A">
        <w:rPr>
          <w:rFonts w:ascii="Calibri" w:hAnsi="Calibri" w:cs="Calibri"/>
          <w:i/>
          <w:iCs/>
          <w:sz w:val="22"/>
        </w:rPr>
        <w:t>,</w:t>
      </w:r>
      <w:r w:rsidRPr="000D0F5A">
        <w:rPr>
          <w:rFonts w:ascii="Calibri" w:hAnsi="Calibri" w:cs="Calibri"/>
          <w:i/>
          <w:iCs/>
          <w:sz w:val="22"/>
        </w:rPr>
        <w:t xml:space="preserve"> 2012. "Commercial Ice Machines: The Potential for Energy Efficiency and Demand Response." Proceedings of the ACEEE 2012 Summer Study on Energy Efficiency in Buildings.</w:t>
      </w:r>
    </w:p>
    <w:p w14:paraId="7AE1682E" w14:textId="59D4BC42" w:rsidR="00530792" w:rsidRPr="000D0F5A" w:rsidRDefault="00530792" w:rsidP="00D26464">
      <w:pPr>
        <w:pStyle w:val="NormalWeb"/>
        <w:rPr>
          <w:rFonts w:ascii="Calibri" w:hAnsi="Calibri" w:cs="Calibri"/>
          <w:sz w:val="22"/>
        </w:rPr>
      </w:pPr>
      <w:r w:rsidRPr="000D0F5A">
        <w:rPr>
          <w:rFonts w:ascii="Calibri" w:hAnsi="Calibri" w:cs="Calibri"/>
          <w:sz w:val="22"/>
        </w:rPr>
        <w:t>Gabrielii, C</w:t>
      </w:r>
      <w:r w:rsidR="00013818" w:rsidRPr="000D0F5A">
        <w:rPr>
          <w:rFonts w:ascii="Calibri" w:hAnsi="Calibri" w:cs="Calibri"/>
          <w:sz w:val="22"/>
        </w:rPr>
        <w:t xml:space="preserve">., </w:t>
      </w:r>
      <w:r w:rsidRPr="000D0F5A">
        <w:rPr>
          <w:rFonts w:ascii="Calibri" w:hAnsi="Calibri" w:cs="Calibri"/>
          <w:sz w:val="22"/>
        </w:rPr>
        <w:t>Jafarzadeh</w:t>
      </w:r>
      <w:r w:rsidR="00013818" w:rsidRPr="000D0F5A">
        <w:rPr>
          <w:rFonts w:ascii="Calibri" w:hAnsi="Calibri" w:cs="Calibri"/>
          <w:sz w:val="22"/>
        </w:rPr>
        <w:t>, S.,</w:t>
      </w:r>
      <w:r w:rsidRPr="000D0F5A">
        <w:rPr>
          <w:rFonts w:ascii="Calibri" w:hAnsi="Calibri" w:cs="Calibri"/>
          <w:sz w:val="22"/>
        </w:rPr>
        <w:t xml:space="preserve"> 2020</w:t>
      </w:r>
      <w:r w:rsidRPr="000D0F5A">
        <w:rPr>
          <w:rFonts w:ascii="Calibri" w:hAnsi="Calibri" w:cs="Calibri"/>
          <w:i/>
          <w:iCs/>
          <w:sz w:val="22"/>
        </w:rPr>
        <w:t>. Carbon Footprint of Fisheries</w:t>
      </w:r>
      <w:r w:rsidR="00D26464" w:rsidRPr="000D0F5A">
        <w:rPr>
          <w:rFonts w:ascii="Calibri" w:hAnsi="Calibri" w:cs="Calibri"/>
          <w:i/>
          <w:iCs/>
          <w:sz w:val="22"/>
        </w:rPr>
        <w:t xml:space="preserve"> </w:t>
      </w:r>
      <w:r w:rsidRPr="000D0F5A">
        <w:rPr>
          <w:rFonts w:ascii="Calibri" w:hAnsi="Calibri" w:cs="Calibri"/>
          <w:i/>
          <w:iCs/>
          <w:sz w:val="22"/>
        </w:rPr>
        <w:t>- a Review of Standards, Methods and Tools </w:t>
      </w:r>
      <w:r w:rsidRPr="000D0F5A">
        <w:rPr>
          <w:rFonts w:ascii="Calibri" w:hAnsi="Calibri" w:cs="Calibri"/>
          <w:sz w:val="22"/>
        </w:rPr>
        <w:t>: SINTEF Energi AS.</w:t>
      </w:r>
    </w:p>
    <w:p w14:paraId="3466A8DE" w14:textId="0658FA22" w:rsidR="00530792" w:rsidRPr="000D0F5A" w:rsidRDefault="00530792" w:rsidP="00D26464">
      <w:pPr>
        <w:pStyle w:val="NormalWeb"/>
        <w:rPr>
          <w:rFonts w:ascii="Calibri" w:hAnsi="Calibri" w:cs="Calibri"/>
          <w:sz w:val="22"/>
        </w:rPr>
      </w:pPr>
      <w:r w:rsidRPr="000D0F5A">
        <w:rPr>
          <w:rFonts w:ascii="Calibri" w:hAnsi="Calibri" w:cs="Calibri"/>
          <w:sz w:val="22"/>
        </w:rPr>
        <w:t>ICF</w:t>
      </w:r>
      <w:r w:rsidR="00A86373" w:rsidRPr="000D0F5A">
        <w:rPr>
          <w:rFonts w:ascii="Calibri" w:hAnsi="Calibri" w:cs="Calibri"/>
          <w:sz w:val="22"/>
        </w:rPr>
        <w:t>,</w:t>
      </w:r>
      <w:r w:rsidRPr="000D0F5A">
        <w:rPr>
          <w:rFonts w:ascii="Calibri" w:hAnsi="Calibri" w:cs="Calibri"/>
          <w:sz w:val="22"/>
        </w:rPr>
        <w:t xml:space="preserve"> 2011</w:t>
      </w:r>
      <w:r w:rsidRPr="000D0F5A">
        <w:rPr>
          <w:rFonts w:ascii="Calibri" w:hAnsi="Calibri" w:cs="Calibri"/>
          <w:i/>
          <w:iCs/>
          <w:sz w:val="22"/>
        </w:rPr>
        <w:t>. Development of the GHG Refrigeration and Air Conditioning Model - Final Report</w:t>
      </w:r>
      <w:r w:rsidRPr="000D0F5A">
        <w:rPr>
          <w:rFonts w:ascii="Calibri" w:hAnsi="Calibri" w:cs="Calibri"/>
          <w:sz w:val="22"/>
        </w:rPr>
        <w:t>: ICF</w:t>
      </w:r>
      <w:r w:rsidR="00D26464" w:rsidRPr="000D0F5A">
        <w:rPr>
          <w:rFonts w:ascii="Calibri" w:hAnsi="Calibri" w:cs="Calibri"/>
          <w:sz w:val="22"/>
        </w:rPr>
        <w:t xml:space="preserve"> </w:t>
      </w:r>
      <w:r w:rsidRPr="000D0F5A">
        <w:rPr>
          <w:rFonts w:ascii="Calibri" w:hAnsi="Calibri" w:cs="Calibri"/>
          <w:sz w:val="22"/>
        </w:rPr>
        <w:t>International.</w:t>
      </w:r>
    </w:p>
    <w:p w14:paraId="616925BD" w14:textId="4AA11DDE" w:rsidR="00530792" w:rsidRPr="000D0F5A" w:rsidRDefault="00530792" w:rsidP="00D26464">
      <w:pPr>
        <w:pStyle w:val="NormalWeb"/>
        <w:rPr>
          <w:rFonts w:ascii="Calibri" w:hAnsi="Calibri" w:cs="Calibri"/>
          <w:i/>
          <w:iCs/>
          <w:sz w:val="22"/>
        </w:rPr>
      </w:pPr>
      <w:r w:rsidRPr="000D0F5A">
        <w:rPr>
          <w:rFonts w:ascii="Calibri" w:hAnsi="Calibri" w:cs="Calibri"/>
          <w:i/>
          <w:iCs/>
          <w:sz w:val="22"/>
        </w:rPr>
        <w:t xml:space="preserve">Kemna, R., Wesselman, </w:t>
      </w:r>
      <w:r w:rsidR="00A86373" w:rsidRPr="000D0F5A">
        <w:rPr>
          <w:rFonts w:ascii="Calibri" w:hAnsi="Calibri" w:cs="Calibri"/>
          <w:i/>
          <w:iCs/>
          <w:sz w:val="22"/>
        </w:rPr>
        <w:t xml:space="preserve">P., </w:t>
      </w:r>
      <w:r w:rsidRPr="000D0F5A">
        <w:rPr>
          <w:rFonts w:ascii="Calibri" w:hAnsi="Calibri" w:cs="Calibri"/>
          <w:i/>
          <w:iCs/>
          <w:sz w:val="22"/>
        </w:rPr>
        <w:t xml:space="preserve">van den Boorn, </w:t>
      </w:r>
      <w:r w:rsidR="00A86373" w:rsidRPr="000D0F5A">
        <w:rPr>
          <w:rFonts w:ascii="Calibri" w:hAnsi="Calibri" w:cs="Calibri"/>
          <w:i/>
          <w:iCs/>
          <w:sz w:val="22"/>
        </w:rPr>
        <w:t xml:space="preserve">R., </w:t>
      </w:r>
      <w:r w:rsidRPr="000D0F5A">
        <w:rPr>
          <w:rFonts w:ascii="Calibri" w:hAnsi="Calibri" w:cs="Calibri"/>
          <w:i/>
          <w:iCs/>
          <w:sz w:val="22"/>
        </w:rPr>
        <w:t xml:space="preserve">van Elburg, </w:t>
      </w:r>
      <w:r w:rsidR="00A86373" w:rsidRPr="000D0F5A">
        <w:rPr>
          <w:rFonts w:ascii="Calibri" w:hAnsi="Calibri" w:cs="Calibri"/>
          <w:i/>
          <w:iCs/>
          <w:sz w:val="22"/>
        </w:rPr>
        <w:t xml:space="preserve">M., </w:t>
      </w:r>
      <w:r w:rsidRPr="000D0F5A">
        <w:rPr>
          <w:rFonts w:ascii="Calibri" w:hAnsi="Calibri" w:cs="Calibri"/>
          <w:i/>
          <w:iCs/>
          <w:sz w:val="22"/>
        </w:rPr>
        <w:t xml:space="preserve">Tait, </w:t>
      </w:r>
      <w:r w:rsidR="00A86373" w:rsidRPr="000D0F5A">
        <w:rPr>
          <w:rFonts w:ascii="Calibri" w:hAnsi="Calibri" w:cs="Calibri"/>
          <w:i/>
          <w:iCs/>
          <w:sz w:val="22"/>
        </w:rPr>
        <w:t xml:space="preserve">J., </w:t>
      </w:r>
      <w:r w:rsidRPr="000D0F5A">
        <w:rPr>
          <w:rFonts w:ascii="Calibri" w:hAnsi="Calibri" w:cs="Calibri"/>
          <w:i/>
          <w:iCs/>
          <w:sz w:val="22"/>
        </w:rPr>
        <w:t xml:space="preserve">Barthel, </w:t>
      </w:r>
      <w:r w:rsidR="00A86373" w:rsidRPr="000D0F5A">
        <w:rPr>
          <w:rFonts w:ascii="Calibri" w:hAnsi="Calibri" w:cs="Calibri"/>
          <w:i/>
          <w:iCs/>
          <w:sz w:val="22"/>
        </w:rPr>
        <w:t xml:space="preserve">C., </w:t>
      </w:r>
      <w:r w:rsidRPr="000D0F5A">
        <w:rPr>
          <w:rFonts w:ascii="Calibri" w:hAnsi="Calibri" w:cs="Calibri"/>
          <w:i/>
          <w:iCs/>
          <w:sz w:val="22"/>
        </w:rPr>
        <w:t>Jensen</w:t>
      </w:r>
      <w:r w:rsidR="00A86373" w:rsidRPr="000D0F5A">
        <w:rPr>
          <w:rFonts w:ascii="Calibri" w:hAnsi="Calibri" w:cs="Calibri"/>
          <w:i/>
          <w:iCs/>
          <w:sz w:val="22"/>
        </w:rPr>
        <w:t>, C</w:t>
      </w:r>
      <w:r w:rsidRPr="000D0F5A">
        <w:rPr>
          <w:rFonts w:ascii="Calibri" w:hAnsi="Calibri" w:cs="Calibri"/>
          <w:i/>
          <w:iCs/>
          <w:sz w:val="22"/>
        </w:rPr>
        <w:t>.</w:t>
      </w:r>
      <w:r w:rsidR="00A86373" w:rsidRPr="000D0F5A">
        <w:rPr>
          <w:rFonts w:ascii="Calibri" w:hAnsi="Calibri" w:cs="Calibri"/>
          <w:i/>
          <w:iCs/>
          <w:sz w:val="22"/>
        </w:rPr>
        <w:t>,</w:t>
      </w:r>
      <w:r w:rsidRPr="000D0F5A">
        <w:rPr>
          <w:rFonts w:ascii="Calibri" w:hAnsi="Calibri" w:cs="Calibri"/>
          <w:i/>
          <w:iCs/>
          <w:sz w:val="22"/>
        </w:rPr>
        <w:t xml:space="preserve"> 2021.</w:t>
      </w:r>
      <w:r w:rsidR="00D26464" w:rsidRPr="000D0F5A">
        <w:rPr>
          <w:rFonts w:ascii="Calibri" w:hAnsi="Calibri" w:cs="Calibri"/>
          <w:i/>
          <w:iCs/>
          <w:sz w:val="22"/>
        </w:rPr>
        <w:t xml:space="preserve"> </w:t>
      </w:r>
      <w:r w:rsidRPr="000D0F5A">
        <w:rPr>
          <w:rFonts w:ascii="Calibri" w:hAnsi="Calibri" w:cs="Calibri"/>
          <w:i/>
          <w:iCs/>
          <w:sz w:val="22"/>
        </w:rPr>
        <w:t>Professional Refrigeration</w:t>
      </w:r>
      <w:r w:rsidR="00D26464" w:rsidRPr="000D0F5A">
        <w:rPr>
          <w:rFonts w:ascii="Calibri" w:hAnsi="Calibri" w:cs="Calibri"/>
          <w:i/>
          <w:iCs/>
          <w:sz w:val="22"/>
        </w:rPr>
        <w:t xml:space="preserve"> </w:t>
      </w:r>
      <w:r w:rsidRPr="000D0F5A">
        <w:rPr>
          <w:rFonts w:ascii="Calibri" w:hAnsi="Calibri" w:cs="Calibri"/>
          <w:i/>
          <w:iCs/>
          <w:sz w:val="22"/>
        </w:rPr>
        <w:t>Ecodesign and Energy Labelling - Review Study</w:t>
      </w:r>
      <w:r w:rsidR="00D26464" w:rsidRPr="000D0F5A">
        <w:rPr>
          <w:rFonts w:ascii="Calibri" w:hAnsi="Calibri" w:cs="Calibri"/>
          <w:i/>
          <w:iCs/>
          <w:sz w:val="22"/>
        </w:rPr>
        <w:t xml:space="preserve"> </w:t>
      </w:r>
      <w:r w:rsidRPr="000D0F5A">
        <w:rPr>
          <w:rFonts w:ascii="Calibri" w:hAnsi="Calibri" w:cs="Calibri"/>
          <w:i/>
          <w:iCs/>
          <w:sz w:val="22"/>
        </w:rPr>
        <w:t>Phase 1.1 &amp; 1.2</w:t>
      </w:r>
      <w:r w:rsidR="00D26464" w:rsidRPr="000D0F5A">
        <w:rPr>
          <w:rFonts w:ascii="Calibri" w:hAnsi="Calibri" w:cs="Calibri"/>
          <w:i/>
          <w:iCs/>
          <w:sz w:val="22"/>
        </w:rPr>
        <w:t xml:space="preserve"> </w:t>
      </w:r>
      <w:r w:rsidRPr="000D0F5A">
        <w:rPr>
          <w:rFonts w:ascii="Calibri" w:hAnsi="Calibri" w:cs="Calibri"/>
          <w:i/>
          <w:iCs/>
          <w:sz w:val="22"/>
        </w:rPr>
        <w:t>Technical Analysis</w:t>
      </w:r>
      <w:r w:rsidRPr="000D0F5A">
        <w:rPr>
          <w:rFonts w:ascii="Calibri" w:hAnsi="Calibri" w:cs="Calibri"/>
          <w:i/>
          <w:iCs/>
          <w:sz w:val="22"/>
        </w:rPr>
        <w:br/>
      </w:r>
      <w:r w:rsidR="00A86373" w:rsidRPr="000D0F5A">
        <w:rPr>
          <w:rFonts w:ascii="Calibri" w:hAnsi="Calibri" w:cs="Calibri"/>
          <w:i/>
          <w:iCs/>
          <w:sz w:val="22"/>
        </w:rPr>
        <w:t>Preliminary Draft Interim Report</w:t>
      </w:r>
      <w:r w:rsidRPr="000D0F5A">
        <w:rPr>
          <w:rFonts w:ascii="Calibri" w:hAnsi="Calibri" w:cs="Calibri"/>
          <w:i/>
          <w:iCs/>
          <w:sz w:val="22"/>
        </w:rPr>
        <w:t>: European Commission.</w:t>
      </w:r>
    </w:p>
    <w:p w14:paraId="19D99C61" w14:textId="77777777" w:rsidR="00530792" w:rsidRPr="000D0F5A" w:rsidRDefault="00530792" w:rsidP="00D26464">
      <w:pPr>
        <w:pStyle w:val="NormalWeb"/>
        <w:rPr>
          <w:rFonts w:ascii="Calibri" w:hAnsi="Calibri" w:cs="Calibri"/>
          <w:sz w:val="22"/>
        </w:rPr>
      </w:pPr>
      <w:r w:rsidRPr="000D0F5A">
        <w:rPr>
          <w:rFonts w:ascii="Calibri" w:hAnsi="Calibri" w:cs="Calibri"/>
          <w:sz w:val="22"/>
        </w:rPr>
        <w:t>Lamb, R. 2021. "The Journey to Net Zero."Institute of Refrigeration, 4 November 2021.</w:t>
      </w:r>
    </w:p>
    <w:p w14:paraId="4C50EB1C" w14:textId="6C58D064" w:rsidR="00530792" w:rsidRPr="000D0F5A" w:rsidRDefault="00530792" w:rsidP="00D26464">
      <w:pPr>
        <w:pStyle w:val="NormalWeb"/>
        <w:rPr>
          <w:rFonts w:ascii="Calibri" w:hAnsi="Calibri" w:cs="Calibri"/>
          <w:sz w:val="22"/>
        </w:rPr>
      </w:pPr>
      <w:r w:rsidRPr="000D0F5A">
        <w:rPr>
          <w:rFonts w:ascii="Calibri" w:hAnsi="Calibri" w:cs="Calibri"/>
          <w:sz w:val="22"/>
        </w:rPr>
        <w:t>McGinlay, J.</w:t>
      </w:r>
      <w:r w:rsidR="00013818" w:rsidRPr="000D0F5A">
        <w:rPr>
          <w:rFonts w:ascii="Calibri" w:hAnsi="Calibri" w:cs="Calibri"/>
          <w:sz w:val="22"/>
        </w:rPr>
        <w:t>,</w:t>
      </w:r>
      <w:r w:rsidRPr="000D0F5A">
        <w:rPr>
          <w:rFonts w:ascii="Calibri" w:hAnsi="Calibri" w:cs="Calibri"/>
          <w:sz w:val="22"/>
        </w:rPr>
        <w:t xml:space="preserve"> 2004</w:t>
      </w:r>
      <w:r w:rsidRPr="000D0F5A">
        <w:rPr>
          <w:rFonts w:ascii="Calibri" w:hAnsi="Calibri" w:cs="Calibri"/>
          <w:i/>
          <w:iCs/>
          <w:sz w:val="22"/>
        </w:rPr>
        <w:t>. Non-Road Mobile Machinery Usage, Life and</w:t>
      </w:r>
      <w:r w:rsidR="00D26464" w:rsidRPr="000D0F5A">
        <w:rPr>
          <w:rFonts w:ascii="Calibri" w:hAnsi="Calibri" w:cs="Calibri"/>
          <w:i/>
          <w:iCs/>
          <w:sz w:val="22"/>
        </w:rPr>
        <w:t xml:space="preserve"> </w:t>
      </w:r>
      <w:r w:rsidRPr="000D0F5A">
        <w:rPr>
          <w:rFonts w:ascii="Calibri" w:hAnsi="Calibri" w:cs="Calibri"/>
          <w:i/>
          <w:iCs/>
          <w:sz w:val="22"/>
        </w:rPr>
        <w:t>Correction Factors</w:t>
      </w:r>
      <w:r w:rsidRPr="000D0F5A">
        <w:rPr>
          <w:rFonts w:ascii="Calibri" w:hAnsi="Calibri" w:cs="Calibri"/>
          <w:sz w:val="22"/>
        </w:rPr>
        <w:t>: Department for Transport, UK.</w:t>
      </w:r>
    </w:p>
    <w:p w14:paraId="57588203" w14:textId="3845DA7D" w:rsidR="00530792" w:rsidRPr="000D0F5A" w:rsidRDefault="00530792" w:rsidP="00D26464">
      <w:pPr>
        <w:pStyle w:val="NormalWeb"/>
        <w:rPr>
          <w:rFonts w:ascii="Calibri" w:hAnsi="Calibri" w:cs="Calibri"/>
          <w:sz w:val="22"/>
        </w:rPr>
      </w:pPr>
      <w:r w:rsidRPr="000D0F5A">
        <w:rPr>
          <w:rFonts w:ascii="Calibri" w:hAnsi="Calibri" w:cs="Calibri"/>
          <w:sz w:val="22"/>
        </w:rPr>
        <w:lastRenderedPageBreak/>
        <w:t xml:space="preserve">Mudie, S., Essah, </w:t>
      </w:r>
      <w:r w:rsidR="00A86373" w:rsidRPr="000D0F5A">
        <w:rPr>
          <w:rFonts w:ascii="Calibri" w:hAnsi="Calibri" w:cs="Calibri"/>
          <w:sz w:val="22"/>
        </w:rPr>
        <w:t xml:space="preserve">E., </w:t>
      </w:r>
      <w:r w:rsidRPr="000D0F5A">
        <w:rPr>
          <w:rFonts w:ascii="Calibri" w:hAnsi="Calibri" w:cs="Calibri"/>
          <w:sz w:val="22"/>
        </w:rPr>
        <w:t>Grandison,</w:t>
      </w:r>
      <w:r w:rsidR="00A86373" w:rsidRPr="000D0F5A">
        <w:rPr>
          <w:rFonts w:ascii="Calibri" w:hAnsi="Calibri" w:cs="Calibri"/>
          <w:sz w:val="22"/>
        </w:rPr>
        <w:t xml:space="preserve"> A., </w:t>
      </w:r>
      <w:r w:rsidRPr="000D0F5A">
        <w:rPr>
          <w:rFonts w:ascii="Calibri" w:hAnsi="Calibri" w:cs="Calibri"/>
          <w:sz w:val="22"/>
        </w:rPr>
        <w:t>Felgate</w:t>
      </w:r>
      <w:r w:rsidR="00A86373" w:rsidRPr="000D0F5A">
        <w:rPr>
          <w:rFonts w:ascii="Calibri" w:hAnsi="Calibri" w:cs="Calibri"/>
          <w:sz w:val="22"/>
        </w:rPr>
        <w:t>, R.,</w:t>
      </w:r>
      <w:r w:rsidRPr="000D0F5A">
        <w:rPr>
          <w:rFonts w:ascii="Calibri" w:hAnsi="Calibri" w:cs="Calibri"/>
          <w:sz w:val="22"/>
        </w:rPr>
        <w:t xml:space="preserve"> 2016. "Electricity use in the Commercial Kitchen."</w:t>
      </w:r>
      <w:r w:rsidR="00D26464" w:rsidRPr="000D0F5A">
        <w:rPr>
          <w:rFonts w:ascii="Calibri" w:hAnsi="Calibri" w:cs="Calibri"/>
          <w:sz w:val="22"/>
        </w:rPr>
        <w:t xml:space="preserve"> </w:t>
      </w:r>
      <w:r w:rsidRPr="000D0F5A">
        <w:rPr>
          <w:rFonts w:ascii="Calibri" w:hAnsi="Calibri" w:cs="Calibri"/>
          <w:i/>
          <w:iCs/>
          <w:sz w:val="22"/>
        </w:rPr>
        <w:t>International Journal of Low-Carbon Technologies</w:t>
      </w:r>
      <w:r w:rsidRPr="000D0F5A">
        <w:rPr>
          <w:rFonts w:ascii="Calibri" w:hAnsi="Calibri" w:cs="Calibri"/>
          <w:sz w:val="22"/>
        </w:rPr>
        <w:t xml:space="preserve"> 11 (1): 66-74.</w:t>
      </w:r>
    </w:p>
    <w:p w14:paraId="79809C0E" w14:textId="42D75AFE" w:rsidR="00530792" w:rsidRPr="000D0F5A" w:rsidRDefault="00530792" w:rsidP="00D26464">
      <w:pPr>
        <w:pStyle w:val="NormalWeb"/>
        <w:rPr>
          <w:rFonts w:ascii="Calibri" w:hAnsi="Calibri" w:cs="Calibri"/>
          <w:sz w:val="22"/>
        </w:rPr>
      </w:pPr>
      <w:r w:rsidRPr="000D0F5A">
        <w:rPr>
          <w:rFonts w:ascii="Calibri" w:hAnsi="Calibri" w:cs="Calibri"/>
          <w:sz w:val="22"/>
        </w:rPr>
        <w:t>Oko-Institut, Ricardo, and Oko-Recherche. 2021</w:t>
      </w:r>
      <w:r w:rsidRPr="000D0F5A">
        <w:rPr>
          <w:rFonts w:ascii="Calibri" w:hAnsi="Calibri" w:cs="Calibri"/>
          <w:i/>
          <w:iCs/>
          <w:sz w:val="22"/>
        </w:rPr>
        <w:t>. Evaluation and Impact Assessment for Amending</w:t>
      </w:r>
      <w:r w:rsidR="00D26464" w:rsidRPr="000D0F5A">
        <w:rPr>
          <w:rFonts w:ascii="Calibri" w:hAnsi="Calibri" w:cs="Calibri"/>
          <w:i/>
          <w:iCs/>
          <w:sz w:val="22"/>
        </w:rPr>
        <w:t xml:space="preserve"> </w:t>
      </w:r>
      <w:r w:rsidRPr="000D0F5A">
        <w:rPr>
          <w:rFonts w:ascii="Calibri" w:hAnsi="Calibri" w:cs="Calibri"/>
          <w:i/>
          <w:iCs/>
          <w:sz w:val="22"/>
        </w:rPr>
        <w:t>Regulation (EU) no 517/2014 on Fluorinated Greenhouse</w:t>
      </w:r>
      <w:r w:rsidR="00D26464" w:rsidRPr="000D0F5A">
        <w:rPr>
          <w:rFonts w:ascii="Calibri" w:hAnsi="Calibri" w:cs="Calibri"/>
          <w:i/>
          <w:iCs/>
          <w:sz w:val="22"/>
        </w:rPr>
        <w:t xml:space="preserve"> </w:t>
      </w:r>
      <w:r w:rsidRPr="000D0F5A">
        <w:rPr>
          <w:rFonts w:ascii="Calibri" w:hAnsi="Calibri" w:cs="Calibri"/>
          <w:i/>
          <w:iCs/>
          <w:sz w:val="22"/>
        </w:rPr>
        <w:t>Gases - Briefing Paper for the Stakeholder Workshop: Preliminary Findings</w:t>
      </w:r>
      <w:r w:rsidRPr="000D0F5A">
        <w:rPr>
          <w:rFonts w:ascii="Calibri" w:hAnsi="Calibri" w:cs="Calibri"/>
          <w:sz w:val="22"/>
        </w:rPr>
        <w:t>: Oko-Institut.</w:t>
      </w:r>
    </w:p>
    <w:p w14:paraId="55EFC5A9" w14:textId="77777777" w:rsidR="00530792" w:rsidRPr="000D0F5A" w:rsidRDefault="00530792" w:rsidP="00D26464">
      <w:pPr>
        <w:pStyle w:val="NormalWeb"/>
        <w:rPr>
          <w:rFonts w:ascii="Calibri" w:hAnsi="Calibri" w:cs="Calibri"/>
          <w:sz w:val="22"/>
        </w:rPr>
      </w:pPr>
      <w:r w:rsidRPr="000D0F5A">
        <w:rPr>
          <w:rFonts w:ascii="Calibri" w:hAnsi="Calibri" w:cs="Calibri"/>
          <w:sz w:val="22"/>
        </w:rPr>
        <w:t>Pentland. 2021.</w:t>
      </w:r>
      <w:r w:rsidRPr="000D0F5A">
        <w:rPr>
          <w:rFonts w:ascii="Calibri" w:hAnsi="Calibri" w:cs="Calibri"/>
          <w:i/>
          <w:iCs/>
          <w:sz w:val="22"/>
        </w:rPr>
        <w:t xml:space="preserve"> Commercial Refrigeration and Catering Equipment - 2021/22 Product Guide</w:t>
      </w:r>
      <w:r w:rsidRPr="000D0F5A">
        <w:rPr>
          <w:rFonts w:ascii="Calibri" w:hAnsi="Calibri" w:cs="Calibri"/>
          <w:sz w:val="22"/>
        </w:rPr>
        <w:t xml:space="preserve"> Pentland Wholesale Limited.</w:t>
      </w:r>
    </w:p>
    <w:p w14:paraId="6A7ED8E8" w14:textId="1F38B8D6" w:rsidR="00530792" w:rsidRPr="000D0F5A" w:rsidRDefault="00530792" w:rsidP="00D26464">
      <w:pPr>
        <w:pStyle w:val="NormalWeb"/>
        <w:rPr>
          <w:rFonts w:ascii="Calibri" w:hAnsi="Calibri" w:cs="Calibri"/>
          <w:sz w:val="22"/>
        </w:rPr>
      </w:pPr>
      <w:r w:rsidRPr="000D0F5A">
        <w:rPr>
          <w:rFonts w:ascii="Calibri" w:hAnsi="Calibri" w:cs="Calibri"/>
          <w:sz w:val="22"/>
        </w:rPr>
        <w:t>Ravishanka, M</w:t>
      </w:r>
      <w:r w:rsidR="00B85845" w:rsidRPr="000D0F5A">
        <w:rPr>
          <w:rFonts w:ascii="Calibri" w:hAnsi="Calibri" w:cs="Calibri"/>
          <w:sz w:val="22"/>
        </w:rPr>
        <w:t>.</w:t>
      </w:r>
      <w:r w:rsidRPr="000D0F5A">
        <w:rPr>
          <w:rFonts w:ascii="Calibri" w:hAnsi="Calibri" w:cs="Calibri"/>
          <w:sz w:val="22"/>
        </w:rPr>
        <w:t>, Bordat,</w:t>
      </w:r>
      <w:r w:rsidR="00B85845" w:rsidRPr="000D0F5A">
        <w:rPr>
          <w:rFonts w:ascii="Calibri" w:hAnsi="Calibri" w:cs="Calibri"/>
          <w:sz w:val="22"/>
        </w:rPr>
        <w:t xml:space="preserve"> S,</w:t>
      </w:r>
      <w:r w:rsidRPr="000D0F5A">
        <w:rPr>
          <w:rFonts w:ascii="Calibri" w:hAnsi="Calibri" w:cs="Calibri"/>
          <w:sz w:val="22"/>
        </w:rPr>
        <w:t xml:space="preserve"> Aitken</w:t>
      </w:r>
      <w:r w:rsidR="00B85845" w:rsidRPr="000D0F5A">
        <w:rPr>
          <w:rFonts w:ascii="Calibri" w:hAnsi="Calibri" w:cs="Calibri"/>
          <w:sz w:val="22"/>
        </w:rPr>
        <w:t>, D</w:t>
      </w:r>
      <w:r w:rsidRPr="000D0F5A">
        <w:rPr>
          <w:rFonts w:ascii="Calibri" w:hAnsi="Calibri" w:cs="Calibri"/>
          <w:sz w:val="22"/>
        </w:rPr>
        <w:t>.</w:t>
      </w:r>
      <w:r w:rsidR="005C6A0F" w:rsidRPr="000D0F5A">
        <w:rPr>
          <w:rFonts w:ascii="Calibri" w:hAnsi="Calibri" w:cs="Calibri"/>
          <w:sz w:val="22"/>
        </w:rPr>
        <w:t>,</w:t>
      </w:r>
      <w:r w:rsidRPr="000D0F5A">
        <w:rPr>
          <w:rFonts w:ascii="Calibri" w:hAnsi="Calibri" w:cs="Calibri"/>
          <w:sz w:val="22"/>
        </w:rPr>
        <w:t xml:space="preserve"> 2020</w:t>
      </w:r>
      <w:r w:rsidRPr="000D0F5A">
        <w:rPr>
          <w:rFonts w:ascii="Calibri" w:hAnsi="Calibri" w:cs="Calibri"/>
          <w:i/>
          <w:iCs/>
          <w:sz w:val="22"/>
        </w:rPr>
        <w:t>. Net Zero Cold Chains for Food - a Discussion</w:t>
      </w:r>
      <w:r w:rsidR="00D26464" w:rsidRPr="000D0F5A">
        <w:rPr>
          <w:rFonts w:ascii="Calibri" w:hAnsi="Calibri" w:cs="Calibri"/>
          <w:i/>
          <w:iCs/>
          <w:sz w:val="22"/>
        </w:rPr>
        <w:t xml:space="preserve"> </w:t>
      </w:r>
      <w:r w:rsidRPr="000D0F5A">
        <w:rPr>
          <w:rFonts w:ascii="Calibri" w:hAnsi="Calibri" w:cs="Calibri"/>
          <w:i/>
          <w:iCs/>
          <w:sz w:val="22"/>
        </w:rPr>
        <w:t>Document on a Case for Philanthropic Action</w:t>
      </w:r>
      <w:r w:rsidRPr="000D0F5A">
        <w:rPr>
          <w:rFonts w:ascii="Calibri" w:hAnsi="Calibri" w:cs="Calibri"/>
          <w:sz w:val="22"/>
        </w:rPr>
        <w:t>.</w:t>
      </w:r>
    </w:p>
    <w:p w14:paraId="1F54276E" w14:textId="7B128DA4" w:rsidR="00530792" w:rsidRPr="000D0F5A" w:rsidRDefault="00530792" w:rsidP="00D26464">
      <w:pPr>
        <w:pStyle w:val="NormalWeb"/>
        <w:rPr>
          <w:rFonts w:ascii="Calibri" w:hAnsi="Calibri" w:cs="Calibri"/>
          <w:sz w:val="22"/>
        </w:rPr>
      </w:pPr>
      <w:r w:rsidRPr="000D0F5A">
        <w:rPr>
          <w:rFonts w:ascii="Calibri" w:hAnsi="Calibri" w:cs="Calibri"/>
          <w:sz w:val="22"/>
        </w:rPr>
        <w:t>SKM Enviros</w:t>
      </w:r>
      <w:r w:rsidR="00C7040F" w:rsidRPr="000D0F5A">
        <w:rPr>
          <w:rFonts w:ascii="Calibri" w:hAnsi="Calibri" w:cs="Calibri"/>
          <w:sz w:val="22"/>
        </w:rPr>
        <w:t>,</w:t>
      </w:r>
      <w:r w:rsidRPr="000D0F5A">
        <w:rPr>
          <w:rFonts w:ascii="Calibri" w:hAnsi="Calibri" w:cs="Calibri"/>
          <w:sz w:val="22"/>
        </w:rPr>
        <w:t xml:space="preserve"> 2011</w:t>
      </w:r>
      <w:r w:rsidRPr="000D0F5A">
        <w:rPr>
          <w:rFonts w:ascii="Calibri" w:hAnsi="Calibri" w:cs="Calibri"/>
          <w:i/>
          <w:iCs/>
          <w:sz w:val="22"/>
        </w:rPr>
        <w:t>. Examination of the Global Warming</w:t>
      </w:r>
      <w:r w:rsidR="00D26464" w:rsidRPr="000D0F5A">
        <w:rPr>
          <w:rFonts w:ascii="Calibri" w:hAnsi="Calibri" w:cs="Calibri"/>
          <w:i/>
          <w:iCs/>
          <w:sz w:val="22"/>
        </w:rPr>
        <w:t xml:space="preserve"> </w:t>
      </w:r>
      <w:r w:rsidRPr="000D0F5A">
        <w:rPr>
          <w:rFonts w:ascii="Calibri" w:hAnsi="Calibri" w:cs="Calibri"/>
          <w:i/>
          <w:iCs/>
          <w:sz w:val="22"/>
        </w:rPr>
        <w:t>Potential of Refrigeration in the</w:t>
      </w:r>
      <w:r w:rsidR="00D26464" w:rsidRPr="000D0F5A">
        <w:rPr>
          <w:rFonts w:ascii="Calibri" w:hAnsi="Calibri" w:cs="Calibri"/>
          <w:i/>
          <w:iCs/>
          <w:sz w:val="22"/>
        </w:rPr>
        <w:t xml:space="preserve"> </w:t>
      </w:r>
      <w:r w:rsidRPr="000D0F5A">
        <w:rPr>
          <w:rFonts w:ascii="Calibri" w:hAnsi="Calibri" w:cs="Calibri"/>
          <w:i/>
          <w:iCs/>
          <w:sz w:val="22"/>
        </w:rPr>
        <w:t>Food Chain </w:t>
      </w:r>
      <w:r w:rsidRPr="000D0F5A">
        <w:rPr>
          <w:rFonts w:ascii="Calibri" w:hAnsi="Calibri" w:cs="Calibri"/>
          <w:sz w:val="22"/>
        </w:rPr>
        <w:t>: Sinclair Knight Merz (Europe) Ltd.</w:t>
      </w:r>
    </w:p>
    <w:p w14:paraId="7A79770E" w14:textId="4FFE609B" w:rsidR="00530792" w:rsidRPr="000D0F5A" w:rsidRDefault="00D26464" w:rsidP="00D26464">
      <w:pPr>
        <w:pStyle w:val="NormalWeb"/>
        <w:rPr>
          <w:rFonts w:ascii="Calibri" w:hAnsi="Calibri" w:cs="Calibri"/>
          <w:sz w:val="22"/>
        </w:rPr>
      </w:pPr>
      <w:r w:rsidRPr="000D0F5A">
        <w:rPr>
          <w:rFonts w:ascii="Calibri" w:hAnsi="Calibri" w:cs="Calibri"/>
          <w:sz w:val="22"/>
        </w:rPr>
        <w:t>SKM</w:t>
      </w:r>
      <w:r w:rsidR="00530792" w:rsidRPr="000D0F5A">
        <w:rPr>
          <w:rFonts w:ascii="Calibri" w:hAnsi="Calibri" w:cs="Calibri"/>
          <w:sz w:val="22"/>
        </w:rPr>
        <w:t xml:space="preserve"> </w:t>
      </w:r>
      <w:r w:rsidR="00C7040F" w:rsidRPr="000D0F5A">
        <w:rPr>
          <w:rFonts w:ascii="Calibri" w:hAnsi="Calibri" w:cs="Calibri"/>
          <w:sz w:val="22"/>
        </w:rPr>
        <w:t xml:space="preserve">Enviros, </w:t>
      </w:r>
      <w:r w:rsidR="00530792" w:rsidRPr="000D0F5A">
        <w:rPr>
          <w:rFonts w:ascii="Calibri" w:hAnsi="Calibri" w:cs="Calibri"/>
          <w:sz w:val="22"/>
        </w:rPr>
        <w:t>2014</w:t>
      </w:r>
      <w:r w:rsidR="00530792" w:rsidRPr="000D0F5A">
        <w:rPr>
          <w:rFonts w:ascii="Calibri" w:hAnsi="Calibri" w:cs="Calibri"/>
          <w:i/>
          <w:iCs/>
          <w:sz w:val="22"/>
        </w:rPr>
        <w:t>. Use of Refrigeration in UK Soft</w:t>
      </w:r>
      <w:r w:rsidR="00A86373" w:rsidRPr="000D0F5A">
        <w:rPr>
          <w:rFonts w:ascii="Calibri" w:hAnsi="Calibri" w:cs="Calibri"/>
          <w:i/>
          <w:iCs/>
          <w:sz w:val="22"/>
        </w:rPr>
        <w:t xml:space="preserve"> </w:t>
      </w:r>
      <w:r w:rsidR="00530792" w:rsidRPr="000D0F5A">
        <w:rPr>
          <w:rFonts w:ascii="Calibri" w:hAnsi="Calibri" w:cs="Calibri"/>
          <w:i/>
          <w:iCs/>
          <w:sz w:val="22"/>
        </w:rPr>
        <w:t>Drinks Supply Chain</w:t>
      </w:r>
      <w:r w:rsidR="00530792" w:rsidRPr="000D0F5A">
        <w:rPr>
          <w:rFonts w:ascii="Calibri" w:hAnsi="Calibri" w:cs="Calibri"/>
          <w:sz w:val="22"/>
        </w:rPr>
        <w:t>: Sinclair Knight Merz (Europe) Ltd.</w:t>
      </w:r>
    </w:p>
    <w:p w14:paraId="20D95AF6" w14:textId="78A82D6D" w:rsidR="00530792" w:rsidRPr="000D0F5A" w:rsidRDefault="00530792" w:rsidP="00D26464">
      <w:pPr>
        <w:pStyle w:val="NormalWeb"/>
        <w:rPr>
          <w:rFonts w:ascii="Calibri" w:hAnsi="Calibri" w:cs="Calibri"/>
          <w:sz w:val="22"/>
        </w:rPr>
      </w:pPr>
      <w:r w:rsidRPr="000D0F5A">
        <w:rPr>
          <w:rFonts w:ascii="Calibri" w:hAnsi="Calibri" w:cs="Calibri"/>
          <w:sz w:val="22"/>
        </w:rPr>
        <w:t>VHK</w:t>
      </w:r>
      <w:r w:rsidR="000D0F5A" w:rsidRPr="000D0F5A">
        <w:rPr>
          <w:rFonts w:ascii="Calibri" w:hAnsi="Calibri" w:cs="Calibri"/>
          <w:sz w:val="22"/>
        </w:rPr>
        <w:t xml:space="preserve">, </w:t>
      </w:r>
      <w:r w:rsidRPr="000D0F5A">
        <w:rPr>
          <w:rFonts w:ascii="Calibri" w:hAnsi="Calibri" w:cs="Calibri"/>
          <w:sz w:val="22"/>
        </w:rPr>
        <w:t>ARMINES. 2015</w:t>
      </w:r>
      <w:r w:rsidRPr="000D0F5A">
        <w:rPr>
          <w:rFonts w:ascii="Calibri" w:hAnsi="Calibri" w:cs="Calibri"/>
          <w:i/>
          <w:iCs/>
          <w:sz w:val="22"/>
        </w:rPr>
        <w:t>. Ecodesign &amp; Labelling Review</w:t>
      </w:r>
      <w:r w:rsidR="00D26464" w:rsidRPr="000D0F5A">
        <w:rPr>
          <w:rFonts w:ascii="Calibri" w:hAnsi="Calibri" w:cs="Calibri"/>
          <w:i/>
          <w:iCs/>
          <w:sz w:val="22"/>
        </w:rPr>
        <w:t xml:space="preserve"> </w:t>
      </w:r>
      <w:r w:rsidRPr="000D0F5A">
        <w:rPr>
          <w:rFonts w:ascii="Calibri" w:hAnsi="Calibri" w:cs="Calibri"/>
          <w:i/>
          <w:iCs/>
          <w:sz w:val="22"/>
        </w:rPr>
        <w:t>Household Refrigeration</w:t>
      </w:r>
      <w:r w:rsidRPr="000D0F5A">
        <w:rPr>
          <w:rFonts w:ascii="Calibri" w:hAnsi="Calibri" w:cs="Calibri"/>
          <w:i/>
          <w:iCs/>
          <w:sz w:val="22"/>
        </w:rPr>
        <w:br/>
        <w:t xml:space="preserve">Preparatory/Review Study </w:t>
      </w:r>
      <w:r w:rsidR="00D26464" w:rsidRPr="000D0F5A">
        <w:rPr>
          <w:rFonts w:ascii="Calibri" w:hAnsi="Calibri" w:cs="Calibri"/>
          <w:i/>
          <w:iCs/>
          <w:sz w:val="22"/>
        </w:rPr>
        <w:t xml:space="preserve"> </w:t>
      </w:r>
      <w:r w:rsidRPr="000D0F5A">
        <w:rPr>
          <w:rFonts w:ascii="Calibri" w:hAnsi="Calibri" w:cs="Calibri"/>
          <w:i/>
          <w:iCs/>
          <w:sz w:val="22"/>
        </w:rPr>
        <w:t xml:space="preserve">Commission Regulation (EC) no. 643/2009 and </w:t>
      </w:r>
      <w:r w:rsidR="00D26464" w:rsidRPr="000D0F5A">
        <w:rPr>
          <w:rFonts w:ascii="Calibri" w:hAnsi="Calibri" w:cs="Calibri"/>
          <w:i/>
          <w:iCs/>
          <w:sz w:val="22"/>
        </w:rPr>
        <w:t xml:space="preserve"> </w:t>
      </w:r>
      <w:r w:rsidRPr="000D0F5A">
        <w:rPr>
          <w:rFonts w:ascii="Calibri" w:hAnsi="Calibri" w:cs="Calibri"/>
          <w:i/>
          <w:iCs/>
          <w:sz w:val="22"/>
        </w:rPr>
        <w:t xml:space="preserve">Commission (Delegated) Regulation (EU) 1060/2010 </w:t>
      </w:r>
      <w:r w:rsidR="00D26464" w:rsidRPr="000D0F5A">
        <w:rPr>
          <w:rFonts w:ascii="Calibri" w:hAnsi="Calibri" w:cs="Calibri"/>
          <w:i/>
          <w:iCs/>
          <w:sz w:val="22"/>
        </w:rPr>
        <w:t xml:space="preserve"> </w:t>
      </w:r>
      <w:r w:rsidRPr="000D0F5A">
        <w:rPr>
          <w:rFonts w:ascii="Calibri" w:hAnsi="Calibri" w:cs="Calibri"/>
          <w:i/>
          <w:iCs/>
          <w:sz w:val="22"/>
        </w:rPr>
        <w:t>Interim Report </w:t>
      </w:r>
      <w:r w:rsidRPr="000D0F5A">
        <w:rPr>
          <w:rFonts w:ascii="Calibri" w:hAnsi="Calibri" w:cs="Calibri"/>
          <w:sz w:val="22"/>
        </w:rPr>
        <w:t>: European Commission.</w:t>
      </w:r>
    </w:p>
    <w:p w14:paraId="4D83410B" w14:textId="77C4EC19" w:rsidR="00530792" w:rsidRPr="000D0F5A" w:rsidRDefault="00530792" w:rsidP="00D26464">
      <w:pPr>
        <w:pStyle w:val="NormalWeb"/>
        <w:rPr>
          <w:rFonts w:ascii="Calibri" w:hAnsi="Calibri" w:cs="Calibri"/>
          <w:sz w:val="22"/>
        </w:rPr>
      </w:pPr>
      <w:r w:rsidRPr="000D0F5A">
        <w:rPr>
          <w:rFonts w:ascii="Calibri" w:hAnsi="Calibri" w:cs="Calibri"/>
          <w:sz w:val="22"/>
        </w:rPr>
        <w:t>Warwick, HRI</w:t>
      </w:r>
      <w:r w:rsidR="00C7040F" w:rsidRPr="000D0F5A">
        <w:rPr>
          <w:rFonts w:ascii="Calibri" w:hAnsi="Calibri" w:cs="Calibri"/>
          <w:sz w:val="22"/>
        </w:rPr>
        <w:t>,</w:t>
      </w:r>
      <w:r w:rsidRPr="000D0F5A">
        <w:rPr>
          <w:rFonts w:ascii="Calibri" w:hAnsi="Calibri" w:cs="Calibri"/>
          <w:sz w:val="22"/>
        </w:rPr>
        <w:t xml:space="preserve"> FEC Services. 2007</w:t>
      </w:r>
      <w:r w:rsidRPr="000D0F5A">
        <w:rPr>
          <w:rFonts w:ascii="Calibri" w:hAnsi="Calibri" w:cs="Calibri"/>
          <w:i/>
          <w:iCs/>
          <w:sz w:val="22"/>
        </w:rPr>
        <w:t>. AC0401: Direct Energy use in Agriculture: Opportunities for Reducing Fossil Fuel Inputs</w:t>
      </w:r>
      <w:r w:rsidRPr="000D0F5A">
        <w:rPr>
          <w:rFonts w:ascii="Calibri" w:hAnsi="Calibri" w:cs="Calibri"/>
          <w:sz w:val="22"/>
        </w:rPr>
        <w:t>: Warwick HRI.</w:t>
      </w:r>
    </w:p>
    <w:p w14:paraId="58E66490" w14:textId="410985CD" w:rsidR="006553D1" w:rsidRPr="00973A80" w:rsidRDefault="00530792" w:rsidP="001A7671">
      <w:pPr>
        <w:pStyle w:val="NormalWeb"/>
        <w:rPr>
          <w:color w:val="FF0000"/>
        </w:rPr>
      </w:pPr>
      <w:r w:rsidRPr="000D0F5A">
        <w:rPr>
          <w:rFonts w:ascii="Calibri" w:hAnsi="Calibri" w:cs="Calibri"/>
          <w:sz w:val="22"/>
        </w:rPr>
        <w:t>Ziegler, F., Winther,</w:t>
      </w:r>
      <w:r w:rsidR="001A7671" w:rsidRPr="000D0F5A">
        <w:rPr>
          <w:rFonts w:ascii="Calibri" w:hAnsi="Calibri" w:cs="Calibri"/>
          <w:sz w:val="22"/>
        </w:rPr>
        <w:t xml:space="preserve"> U.,</w:t>
      </w:r>
      <w:r w:rsidRPr="000D0F5A">
        <w:rPr>
          <w:rFonts w:ascii="Calibri" w:hAnsi="Calibri" w:cs="Calibri"/>
          <w:sz w:val="22"/>
        </w:rPr>
        <w:t xml:space="preserve"> Hognes,</w:t>
      </w:r>
      <w:r w:rsidR="001A7671" w:rsidRPr="000D0F5A">
        <w:rPr>
          <w:rFonts w:ascii="Calibri" w:hAnsi="Calibri" w:cs="Calibri"/>
          <w:sz w:val="22"/>
        </w:rPr>
        <w:t xml:space="preserve"> E.,</w:t>
      </w:r>
      <w:r w:rsidRPr="000D0F5A">
        <w:rPr>
          <w:rFonts w:ascii="Calibri" w:hAnsi="Calibri" w:cs="Calibri"/>
          <w:sz w:val="22"/>
        </w:rPr>
        <w:t xml:space="preserve"> Emanuelsson, </w:t>
      </w:r>
      <w:r w:rsidR="001A7671" w:rsidRPr="000D0F5A">
        <w:rPr>
          <w:rFonts w:ascii="Calibri" w:hAnsi="Calibri" w:cs="Calibri"/>
          <w:sz w:val="22"/>
        </w:rPr>
        <w:t xml:space="preserve">A., </w:t>
      </w:r>
      <w:r w:rsidRPr="000D0F5A">
        <w:rPr>
          <w:rFonts w:ascii="Calibri" w:hAnsi="Calibri" w:cs="Calibri"/>
          <w:sz w:val="22"/>
        </w:rPr>
        <w:t xml:space="preserve">Sund, </w:t>
      </w:r>
      <w:r w:rsidR="001A7671" w:rsidRPr="000D0F5A">
        <w:rPr>
          <w:rFonts w:ascii="Calibri" w:hAnsi="Calibri" w:cs="Calibri"/>
          <w:sz w:val="22"/>
        </w:rPr>
        <w:t xml:space="preserve">NV., </w:t>
      </w:r>
      <w:r w:rsidRPr="000D0F5A">
        <w:rPr>
          <w:rFonts w:ascii="Calibri" w:hAnsi="Calibri" w:cs="Calibri"/>
          <w:sz w:val="22"/>
        </w:rPr>
        <w:t>Ellingsen</w:t>
      </w:r>
      <w:r w:rsidR="001A7671" w:rsidRPr="000D0F5A">
        <w:rPr>
          <w:rFonts w:ascii="Calibri" w:hAnsi="Calibri" w:cs="Calibri"/>
          <w:sz w:val="22"/>
        </w:rPr>
        <w:t>, H.,</w:t>
      </w:r>
      <w:r w:rsidRPr="000D0F5A">
        <w:rPr>
          <w:rFonts w:ascii="Calibri" w:hAnsi="Calibri" w:cs="Calibri"/>
          <w:sz w:val="22"/>
        </w:rPr>
        <w:t xml:space="preserve"> 2013. "The Carbon Footprint of Norwegian Seafood Products on the Global Seafood Market." </w:t>
      </w:r>
      <w:r w:rsidRPr="000D0F5A">
        <w:rPr>
          <w:rFonts w:ascii="Calibri" w:hAnsi="Calibri" w:cs="Calibri"/>
          <w:i/>
          <w:iCs/>
          <w:sz w:val="22"/>
        </w:rPr>
        <w:t>Journal of Industrial Ecology</w:t>
      </w:r>
      <w:r w:rsidRPr="000D0F5A">
        <w:rPr>
          <w:rFonts w:ascii="Calibri" w:hAnsi="Calibri" w:cs="Calibri"/>
          <w:sz w:val="22"/>
        </w:rPr>
        <w:t xml:space="preserve"> 17 (1): 103-116.</w:t>
      </w:r>
      <w:r w:rsidRPr="000D0F5A">
        <w:rPr>
          <w:rFonts w:ascii="Calibri" w:hAnsi="Calibri" w:cs="Calibri"/>
        </w:rPr>
        <w:t> </w:t>
      </w:r>
      <w:r w:rsidR="00E03EDB" w:rsidRPr="00E811CB">
        <w:rPr>
          <w:color w:val="FF0000"/>
        </w:rPr>
        <w:fldChar w:fldCharType="end"/>
      </w:r>
    </w:p>
    <w:sectPr w:rsidR="006553D1" w:rsidRPr="00973A80" w:rsidSect="00735D97">
      <w:footerReference w:type="default" r:id="rId11"/>
      <w:pgSz w:w="11906" w:h="16838" w:code="9"/>
      <w:pgMar w:top="1134" w:right="1134" w:bottom="1418" w:left="1134" w:header="680"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C6" w14:textId="77777777" w:rsidR="00E373CF" w:rsidRDefault="00E373CF">
      <w:r>
        <w:separator/>
      </w:r>
    </w:p>
  </w:endnote>
  <w:endnote w:type="continuationSeparator" w:id="0">
    <w:p w14:paraId="45060079" w14:textId="77777777" w:rsidR="00E373CF" w:rsidRDefault="00E3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E6B3" w14:textId="0E9384DA" w:rsidR="00C31618" w:rsidRPr="00BE59EB" w:rsidRDefault="00DA051F" w:rsidP="00B05FBF">
    <w:pPr>
      <w:rPr>
        <w:szCs w:val="22"/>
      </w:rPr>
    </w:pPr>
    <w:r>
      <w:rPr>
        <w:szCs w:val="22"/>
      </w:rPr>
      <w:t>The</w:t>
    </w:r>
    <w:r w:rsidR="00BE63DF">
      <w:rPr>
        <w:szCs w:val="22"/>
      </w:rPr>
      <w:t xml:space="preserve"> 7</w:t>
    </w:r>
    <w:r w:rsidR="00C31618" w:rsidRPr="00BE59EB">
      <w:rPr>
        <w:szCs w:val="22"/>
        <w:vertAlign w:val="superscript"/>
      </w:rPr>
      <w:t>th</w:t>
    </w:r>
    <w:r w:rsidR="00C31618" w:rsidRPr="00BE59EB">
      <w:rPr>
        <w:szCs w:val="22"/>
      </w:rPr>
      <w:t xml:space="preserve"> IIR </w:t>
    </w:r>
    <w:r w:rsidR="00BE63DF">
      <w:rPr>
        <w:szCs w:val="22"/>
      </w:rPr>
      <w:t>Conference on Sustainability and the Cold Chain</w:t>
    </w:r>
    <w:r w:rsidR="00C31618" w:rsidRPr="00BE59EB">
      <w:rPr>
        <w:szCs w:val="22"/>
      </w:rPr>
      <w:t xml:space="preserve">, </w:t>
    </w:r>
    <w:r w:rsidR="00BE63DF">
      <w:rPr>
        <w:szCs w:val="22"/>
      </w:rPr>
      <w:t>On-line</w:t>
    </w:r>
    <w:r>
      <w:rPr>
        <w:szCs w:val="22"/>
      </w:rPr>
      <w:t>, 20</w:t>
    </w:r>
    <w:r w:rsidR="00BE63DF">
      <w:rPr>
        <w:szCs w:val="22"/>
      </w:rPr>
      <w:t>22</w:t>
    </w:r>
    <w:r w:rsidR="00C31618" w:rsidRPr="00BE59EB">
      <w:rPr>
        <w:szCs w:val="22"/>
      </w:rPr>
      <w:t>.</w:t>
    </w:r>
    <w:r w:rsidR="007760B7">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AC92" w14:textId="77777777" w:rsidR="00E373CF" w:rsidRDefault="00E373CF">
      <w:r>
        <w:separator/>
      </w:r>
    </w:p>
  </w:footnote>
  <w:footnote w:type="continuationSeparator" w:id="0">
    <w:p w14:paraId="3E246050" w14:textId="77777777" w:rsidR="00E373CF" w:rsidRDefault="00E3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9F8"/>
    <w:multiLevelType w:val="hybridMultilevel"/>
    <w:tmpl w:val="1846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75403"/>
    <w:multiLevelType w:val="hybridMultilevel"/>
    <w:tmpl w:val="75E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C19E6"/>
    <w:multiLevelType w:val="hybridMultilevel"/>
    <w:tmpl w:val="81E2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D7785"/>
    <w:multiLevelType w:val="multilevel"/>
    <w:tmpl w:val="0194E032"/>
    <w:styleLink w:val="Alansheadings"/>
    <w:lvl w:ilvl="0">
      <w:start w:val="1"/>
      <w:numFmt w:val="decimal"/>
      <w:lvlText w:val="%1"/>
      <w:lvlJc w:val="left"/>
      <w:pPr>
        <w:ind w:left="0" w:firstLine="0"/>
      </w:pPr>
      <w:rPr>
        <w:rFonts w:hint="default"/>
      </w:rPr>
    </w:lvl>
    <w:lvl w:ilvl="1">
      <w:start w:val="1"/>
      <w:numFmt w:val="decimal"/>
      <w:lvlText w:val="%2.%1"/>
      <w:lvlJc w:val="left"/>
      <w:pPr>
        <w:ind w:left="0" w:firstLine="1080"/>
      </w:pPr>
      <w:rPr>
        <w:rFonts w:hint="default"/>
      </w:rPr>
    </w:lvl>
    <w:lvl w:ilvl="2">
      <w:start w:val="1"/>
      <w:numFmt w:val="none"/>
      <w:lvlText w:val=""/>
      <w:lvlJc w:val="right"/>
      <w:pPr>
        <w:ind w:left="0" w:firstLine="19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2AB7B3F"/>
    <w:multiLevelType w:val="hybridMultilevel"/>
    <w:tmpl w:val="C1427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6F0609"/>
    <w:multiLevelType w:val="hybridMultilevel"/>
    <w:tmpl w:val="866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7E56A6"/>
    <w:multiLevelType w:val="multilevel"/>
    <w:tmpl w:val="9E72FB4C"/>
    <w:lvl w:ilvl="0">
      <w:start w:val="1"/>
      <w:numFmt w:val="decimal"/>
      <w:pStyle w:val="Heading1"/>
      <w:lvlText w:val="%1"/>
      <w:lvlJc w:val="left"/>
      <w:pPr>
        <w:ind w:left="312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6626F27"/>
    <w:multiLevelType w:val="hybridMultilevel"/>
    <w:tmpl w:val="EA508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82205"/>
    <w:multiLevelType w:val="hybridMultilevel"/>
    <w:tmpl w:val="8A38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AB26CD"/>
    <w:multiLevelType w:val="hybridMultilevel"/>
    <w:tmpl w:val="61465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754415">
    <w:abstractNumId w:val="3"/>
  </w:num>
  <w:num w:numId="2" w16cid:durableId="200745516">
    <w:abstractNumId w:val="6"/>
  </w:num>
  <w:num w:numId="3" w16cid:durableId="896932695">
    <w:abstractNumId w:val="5"/>
  </w:num>
  <w:num w:numId="4" w16cid:durableId="2027903895">
    <w:abstractNumId w:val="0"/>
  </w:num>
  <w:num w:numId="5" w16cid:durableId="754130798">
    <w:abstractNumId w:val="9"/>
  </w:num>
  <w:num w:numId="6" w16cid:durableId="1087382325">
    <w:abstractNumId w:val="8"/>
  </w:num>
  <w:num w:numId="7" w16cid:durableId="1911111818">
    <w:abstractNumId w:val="2"/>
  </w:num>
  <w:num w:numId="8" w16cid:durableId="1245841363">
    <w:abstractNumId w:val="4"/>
  </w:num>
  <w:num w:numId="9" w16cid:durableId="1227912247">
    <w:abstractNumId w:val="7"/>
  </w:num>
  <w:num w:numId="10" w16cid:durableId="197578777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BA3"/>
    <w:rsid w:val="000015FE"/>
    <w:rsid w:val="000031C0"/>
    <w:rsid w:val="00003888"/>
    <w:rsid w:val="00004730"/>
    <w:rsid w:val="00004B81"/>
    <w:rsid w:val="00005D96"/>
    <w:rsid w:val="000061FF"/>
    <w:rsid w:val="0001156D"/>
    <w:rsid w:val="00011D3C"/>
    <w:rsid w:val="00012D75"/>
    <w:rsid w:val="00013818"/>
    <w:rsid w:val="00013B45"/>
    <w:rsid w:val="00013E8F"/>
    <w:rsid w:val="00014406"/>
    <w:rsid w:val="00014E99"/>
    <w:rsid w:val="00016AC2"/>
    <w:rsid w:val="00016D39"/>
    <w:rsid w:val="000231EF"/>
    <w:rsid w:val="00023C2B"/>
    <w:rsid w:val="00023C9F"/>
    <w:rsid w:val="00024B66"/>
    <w:rsid w:val="0002562D"/>
    <w:rsid w:val="000256E4"/>
    <w:rsid w:val="000275A1"/>
    <w:rsid w:val="00027795"/>
    <w:rsid w:val="00030708"/>
    <w:rsid w:val="00032929"/>
    <w:rsid w:val="00032C53"/>
    <w:rsid w:val="00036CA1"/>
    <w:rsid w:val="00037901"/>
    <w:rsid w:val="00040694"/>
    <w:rsid w:val="00042D93"/>
    <w:rsid w:val="00044200"/>
    <w:rsid w:val="0004490D"/>
    <w:rsid w:val="00044CC8"/>
    <w:rsid w:val="00045C6C"/>
    <w:rsid w:val="000479EC"/>
    <w:rsid w:val="00050119"/>
    <w:rsid w:val="00052D1B"/>
    <w:rsid w:val="00053A5F"/>
    <w:rsid w:val="00054819"/>
    <w:rsid w:val="000550AF"/>
    <w:rsid w:val="000556F9"/>
    <w:rsid w:val="00056983"/>
    <w:rsid w:val="000573D0"/>
    <w:rsid w:val="000640F4"/>
    <w:rsid w:val="00064AF7"/>
    <w:rsid w:val="00066A61"/>
    <w:rsid w:val="00067F81"/>
    <w:rsid w:val="00073841"/>
    <w:rsid w:val="00075E85"/>
    <w:rsid w:val="00076D32"/>
    <w:rsid w:val="000803AF"/>
    <w:rsid w:val="00081C77"/>
    <w:rsid w:val="000828C9"/>
    <w:rsid w:val="00083C3E"/>
    <w:rsid w:val="00090483"/>
    <w:rsid w:val="00091006"/>
    <w:rsid w:val="0009110C"/>
    <w:rsid w:val="00092529"/>
    <w:rsid w:val="00094027"/>
    <w:rsid w:val="000952BF"/>
    <w:rsid w:val="00095D49"/>
    <w:rsid w:val="0009612F"/>
    <w:rsid w:val="000A0931"/>
    <w:rsid w:val="000A1947"/>
    <w:rsid w:val="000A1D4C"/>
    <w:rsid w:val="000A3010"/>
    <w:rsid w:val="000A401B"/>
    <w:rsid w:val="000A6E16"/>
    <w:rsid w:val="000A7A7C"/>
    <w:rsid w:val="000A7C54"/>
    <w:rsid w:val="000B13CE"/>
    <w:rsid w:val="000B18A5"/>
    <w:rsid w:val="000B43B0"/>
    <w:rsid w:val="000B513B"/>
    <w:rsid w:val="000B552A"/>
    <w:rsid w:val="000B5A96"/>
    <w:rsid w:val="000B63F0"/>
    <w:rsid w:val="000C10C1"/>
    <w:rsid w:val="000C17B2"/>
    <w:rsid w:val="000C3E1F"/>
    <w:rsid w:val="000C4BEC"/>
    <w:rsid w:val="000C6F70"/>
    <w:rsid w:val="000D0F5A"/>
    <w:rsid w:val="000D4113"/>
    <w:rsid w:val="000D5C55"/>
    <w:rsid w:val="000D797C"/>
    <w:rsid w:val="000D7B2E"/>
    <w:rsid w:val="000E0AD1"/>
    <w:rsid w:val="000E1A43"/>
    <w:rsid w:val="000E3037"/>
    <w:rsid w:val="000E6E7C"/>
    <w:rsid w:val="000E72B5"/>
    <w:rsid w:val="000F027A"/>
    <w:rsid w:val="000F0373"/>
    <w:rsid w:val="000F2216"/>
    <w:rsid w:val="000F3F80"/>
    <w:rsid w:val="000F42E8"/>
    <w:rsid w:val="000F52B2"/>
    <w:rsid w:val="000F649D"/>
    <w:rsid w:val="00104E61"/>
    <w:rsid w:val="00105CDC"/>
    <w:rsid w:val="001060FD"/>
    <w:rsid w:val="001143E2"/>
    <w:rsid w:val="0011683E"/>
    <w:rsid w:val="0012200F"/>
    <w:rsid w:val="00122F43"/>
    <w:rsid w:val="00123A3A"/>
    <w:rsid w:val="0012454B"/>
    <w:rsid w:val="00125795"/>
    <w:rsid w:val="00127845"/>
    <w:rsid w:val="001315EA"/>
    <w:rsid w:val="00131A5F"/>
    <w:rsid w:val="00131CD3"/>
    <w:rsid w:val="00131D66"/>
    <w:rsid w:val="00132DA9"/>
    <w:rsid w:val="001335DE"/>
    <w:rsid w:val="00134854"/>
    <w:rsid w:val="001370EF"/>
    <w:rsid w:val="00140414"/>
    <w:rsid w:val="0014087F"/>
    <w:rsid w:val="0014219D"/>
    <w:rsid w:val="00144D9A"/>
    <w:rsid w:val="00145809"/>
    <w:rsid w:val="00145FE7"/>
    <w:rsid w:val="00146814"/>
    <w:rsid w:val="00146B34"/>
    <w:rsid w:val="00147EA4"/>
    <w:rsid w:val="00150178"/>
    <w:rsid w:val="00150BF9"/>
    <w:rsid w:val="00151EEE"/>
    <w:rsid w:val="0015265C"/>
    <w:rsid w:val="0015298F"/>
    <w:rsid w:val="00153FE2"/>
    <w:rsid w:val="0015421F"/>
    <w:rsid w:val="00154D97"/>
    <w:rsid w:val="00155178"/>
    <w:rsid w:val="0015605A"/>
    <w:rsid w:val="00157B52"/>
    <w:rsid w:val="00160A9B"/>
    <w:rsid w:val="00161823"/>
    <w:rsid w:val="00161EAC"/>
    <w:rsid w:val="0016271E"/>
    <w:rsid w:val="0016385B"/>
    <w:rsid w:val="001645E6"/>
    <w:rsid w:val="0016606B"/>
    <w:rsid w:val="0016611C"/>
    <w:rsid w:val="00166689"/>
    <w:rsid w:val="00167147"/>
    <w:rsid w:val="0017094A"/>
    <w:rsid w:val="00171501"/>
    <w:rsid w:val="00172307"/>
    <w:rsid w:val="00173B17"/>
    <w:rsid w:val="00173D50"/>
    <w:rsid w:val="00175A61"/>
    <w:rsid w:val="00175B38"/>
    <w:rsid w:val="0017766B"/>
    <w:rsid w:val="00181768"/>
    <w:rsid w:val="00181AF9"/>
    <w:rsid w:val="00182F4B"/>
    <w:rsid w:val="00184465"/>
    <w:rsid w:val="00184891"/>
    <w:rsid w:val="00186A39"/>
    <w:rsid w:val="00190C08"/>
    <w:rsid w:val="00193775"/>
    <w:rsid w:val="00195044"/>
    <w:rsid w:val="0019654D"/>
    <w:rsid w:val="001A7671"/>
    <w:rsid w:val="001B0826"/>
    <w:rsid w:val="001B1243"/>
    <w:rsid w:val="001B2590"/>
    <w:rsid w:val="001B2BDC"/>
    <w:rsid w:val="001B3BDA"/>
    <w:rsid w:val="001B5CFE"/>
    <w:rsid w:val="001B6249"/>
    <w:rsid w:val="001B75FE"/>
    <w:rsid w:val="001B7B01"/>
    <w:rsid w:val="001C60FB"/>
    <w:rsid w:val="001C719C"/>
    <w:rsid w:val="001C73FF"/>
    <w:rsid w:val="001C7E6D"/>
    <w:rsid w:val="001D10A9"/>
    <w:rsid w:val="001D18F3"/>
    <w:rsid w:val="001D2C14"/>
    <w:rsid w:val="001D418F"/>
    <w:rsid w:val="001D4463"/>
    <w:rsid w:val="001D4E45"/>
    <w:rsid w:val="001D6DFF"/>
    <w:rsid w:val="001D7E56"/>
    <w:rsid w:val="001D7FA7"/>
    <w:rsid w:val="001E02A2"/>
    <w:rsid w:val="001E1D03"/>
    <w:rsid w:val="001E5449"/>
    <w:rsid w:val="001E7E5B"/>
    <w:rsid w:val="001F1583"/>
    <w:rsid w:val="001F1A5F"/>
    <w:rsid w:val="001F3082"/>
    <w:rsid w:val="001F392E"/>
    <w:rsid w:val="001F3FC5"/>
    <w:rsid w:val="001F4C67"/>
    <w:rsid w:val="001F6CA7"/>
    <w:rsid w:val="001F6FAA"/>
    <w:rsid w:val="00201A16"/>
    <w:rsid w:val="0020387A"/>
    <w:rsid w:val="00205E4E"/>
    <w:rsid w:val="002078CE"/>
    <w:rsid w:val="00211556"/>
    <w:rsid w:val="0021185B"/>
    <w:rsid w:val="00211ABD"/>
    <w:rsid w:val="002123CC"/>
    <w:rsid w:val="00214A67"/>
    <w:rsid w:val="0021570E"/>
    <w:rsid w:val="00216C03"/>
    <w:rsid w:val="00226BF3"/>
    <w:rsid w:val="00230C4C"/>
    <w:rsid w:val="0023117F"/>
    <w:rsid w:val="002311B4"/>
    <w:rsid w:val="00232269"/>
    <w:rsid w:val="002345D4"/>
    <w:rsid w:val="0023795D"/>
    <w:rsid w:val="00237A37"/>
    <w:rsid w:val="00240BE1"/>
    <w:rsid w:val="00241159"/>
    <w:rsid w:val="00241427"/>
    <w:rsid w:val="002415F4"/>
    <w:rsid w:val="00243260"/>
    <w:rsid w:val="00246B72"/>
    <w:rsid w:val="00246C47"/>
    <w:rsid w:val="002470D1"/>
    <w:rsid w:val="0025234D"/>
    <w:rsid w:val="00252C03"/>
    <w:rsid w:val="00252E00"/>
    <w:rsid w:val="002532E2"/>
    <w:rsid w:val="002564AD"/>
    <w:rsid w:val="00257E21"/>
    <w:rsid w:val="00257EA6"/>
    <w:rsid w:val="00261A8A"/>
    <w:rsid w:val="00263674"/>
    <w:rsid w:val="00263F03"/>
    <w:rsid w:val="00264EFC"/>
    <w:rsid w:val="00265336"/>
    <w:rsid w:val="00266084"/>
    <w:rsid w:val="002666C3"/>
    <w:rsid w:val="00271913"/>
    <w:rsid w:val="00273746"/>
    <w:rsid w:val="00275C48"/>
    <w:rsid w:val="002772E0"/>
    <w:rsid w:val="0027794D"/>
    <w:rsid w:val="00280AD5"/>
    <w:rsid w:val="00283CE6"/>
    <w:rsid w:val="00284EEA"/>
    <w:rsid w:val="002902A8"/>
    <w:rsid w:val="0029059B"/>
    <w:rsid w:val="002910E8"/>
    <w:rsid w:val="002919A4"/>
    <w:rsid w:val="00291AE7"/>
    <w:rsid w:val="00292FF5"/>
    <w:rsid w:val="002934F3"/>
    <w:rsid w:val="00294B25"/>
    <w:rsid w:val="00296925"/>
    <w:rsid w:val="002A00CE"/>
    <w:rsid w:val="002A0D76"/>
    <w:rsid w:val="002A3170"/>
    <w:rsid w:val="002A4C25"/>
    <w:rsid w:val="002A5D1E"/>
    <w:rsid w:val="002A66C8"/>
    <w:rsid w:val="002A7E35"/>
    <w:rsid w:val="002A7E7D"/>
    <w:rsid w:val="002B2D46"/>
    <w:rsid w:val="002B30F5"/>
    <w:rsid w:val="002B4DD4"/>
    <w:rsid w:val="002B6010"/>
    <w:rsid w:val="002B6374"/>
    <w:rsid w:val="002C09E0"/>
    <w:rsid w:val="002C2263"/>
    <w:rsid w:val="002C25D8"/>
    <w:rsid w:val="002C2CE5"/>
    <w:rsid w:val="002C43B1"/>
    <w:rsid w:val="002C47B8"/>
    <w:rsid w:val="002C6546"/>
    <w:rsid w:val="002C6922"/>
    <w:rsid w:val="002C6961"/>
    <w:rsid w:val="002C6A63"/>
    <w:rsid w:val="002C6D2E"/>
    <w:rsid w:val="002C7E32"/>
    <w:rsid w:val="002D0BFA"/>
    <w:rsid w:val="002D1FD3"/>
    <w:rsid w:val="002D2854"/>
    <w:rsid w:val="002D341B"/>
    <w:rsid w:val="002D36C9"/>
    <w:rsid w:val="002D452F"/>
    <w:rsid w:val="002D4780"/>
    <w:rsid w:val="002D65BA"/>
    <w:rsid w:val="002D7726"/>
    <w:rsid w:val="002D7CDA"/>
    <w:rsid w:val="002D7F87"/>
    <w:rsid w:val="002E03D8"/>
    <w:rsid w:val="002E163A"/>
    <w:rsid w:val="002E1FD7"/>
    <w:rsid w:val="002E2C75"/>
    <w:rsid w:val="002E3BA3"/>
    <w:rsid w:val="002E5B2D"/>
    <w:rsid w:val="002E61F6"/>
    <w:rsid w:val="002E70BE"/>
    <w:rsid w:val="002E770C"/>
    <w:rsid w:val="002E77CF"/>
    <w:rsid w:val="002F203E"/>
    <w:rsid w:val="002F387F"/>
    <w:rsid w:val="002F3BEF"/>
    <w:rsid w:val="002F46BC"/>
    <w:rsid w:val="002F5004"/>
    <w:rsid w:val="002F6A45"/>
    <w:rsid w:val="002F716F"/>
    <w:rsid w:val="002F743B"/>
    <w:rsid w:val="00301358"/>
    <w:rsid w:val="0030286D"/>
    <w:rsid w:val="00302A52"/>
    <w:rsid w:val="00302B2D"/>
    <w:rsid w:val="00302E63"/>
    <w:rsid w:val="003037E7"/>
    <w:rsid w:val="00304951"/>
    <w:rsid w:val="0030675C"/>
    <w:rsid w:val="00307718"/>
    <w:rsid w:val="003127EA"/>
    <w:rsid w:val="003128C4"/>
    <w:rsid w:val="00312F54"/>
    <w:rsid w:val="0032222C"/>
    <w:rsid w:val="00322416"/>
    <w:rsid w:val="00323D10"/>
    <w:rsid w:val="003248D4"/>
    <w:rsid w:val="0033128C"/>
    <w:rsid w:val="003316E1"/>
    <w:rsid w:val="00332238"/>
    <w:rsid w:val="00333955"/>
    <w:rsid w:val="00334D9F"/>
    <w:rsid w:val="0033713A"/>
    <w:rsid w:val="00337B0D"/>
    <w:rsid w:val="00340340"/>
    <w:rsid w:val="00340374"/>
    <w:rsid w:val="003403C8"/>
    <w:rsid w:val="003433F1"/>
    <w:rsid w:val="00345009"/>
    <w:rsid w:val="0034695B"/>
    <w:rsid w:val="00351185"/>
    <w:rsid w:val="00351F64"/>
    <w:rsid w:val="00354AB6"/>
    <w:rsid w:val="0035507D"/>
    <w:rsid w:val="00361148"/>
    <w:rsid w:val="00362388"/>
    <w:rsid w:val="00363541"/>
    <w:rsid w:val="00364AF6"/>
    <w:rsid w:val="00364BE8"/>
    <w:rsid w:val="003654D6"/>
    <w:rsid w:val="00365556"/>
    <w:rsid w:val="00365DCB"/>
    <w:rsid w:val="00365E63"/>
    <w:rsid w:val="003663CA"/>
    <w:rsid w:val="0036687A"/>
    <w:rsid w:val="00366C16"/>
    <w:rsid w:val="00370B25"/>
    <w:rsid w:val="003751C3"/>
    <w:rsid w:val="00382D78"/>
    <w:rsid w:val="00383479"/>
    <w:rsid w:val="00387044"/>
    <w:rsid w:val="00390156"/>
    <w:rsid w:val="00390775"/>
    <w:rsid w:val="00391405"/>
    <w:rsid w:val="00395436"/>
    <w:rsid w:val="00396ECD"/>
    <w:rsid w:val="003A306A"/>
    <w:rsid w:val="003A47AC"/>
    <w:rsid w:val="003A6051"/>
    <w:rsid w:val="003B44C0"/>
    <w:rsid w:val="003B55BB"/>
    <w:rsid w:val="003B7CAC"/>
    <w:rsid w:val="003C228C"/>
    <w:rsid w:val="003C40F0"/>
    <w:rsid w:val="003C44A0"/>
    <w:rsid w:val="003C462B"/>
    <w:rsid w:val="003C4903"/>
    <w:rsid w:val="003C4DE7"/>
    <w:rsid w:val="003C65E8"/>
    <w:rsid w:val="003C66C9"/>
    <w:rsid w:val="003C7F3F"/>
    <w:rsid w:val="003D291A"/>
    <w:rsid w:val="003D2ACC"/>
    <w:rsid w:val="003D310D"/>
    <w:rsid w:val="003D4D16"/>
    <w:rsid w:val="003D69EC"/>
    <w:rsid w:val="003D7E54"/>
    <w:rsid w:val="003D7FD9"/>
    <w:rsid w:val="003E033A"/>
    <w:rsid w:val="003E0B18"/>
    <w:rsid w:val="003E1294"/>
    <w:rsid w:val="003E1E2A"/>
    <w:rsid w:val="003E201D"/>
    <w:rsid w:val="003E3830"/>
    <w:rsid w:val="003E6604"/>
    <w:rsid w:val="003E68C5"/>
    <w:rsid w:val="003F663D"/>
    <w:rsid w:val="003F6C55"/>
    <w:rsid w:val="003F7691"/>
    <w:rsid w:val="003F76DC"/>
    <w:rsid w:val="003F77CC"/>
    <w:rsid w:val="00400C28"/>
    <w:rsid w:val="0040256A"/>
    <w:rsid w:val="00404210"/>
    <w:rsid w:val="00404493"/>
    <w:rsid w:val="00404A95"/>
    <w:rsid w:val="004078AB"/>
    <w:rsid w:val="0041027A"/>
    <w:rsid w:val="00410F85"/>
    <w:rsid w:val="004141CB"/>
    <w:rsid w:val="00414DA2"/>
    <w:rsid w:val="004230E7"/>
    <w:rsid w:val="004243A9"/>
    <w:rsid w:val="00424D9C"/>
    <w:rsid w:val="00427AD0"/>
    <w:rsid w:val="0043199D"/>
    <w:rsid w:val="00431CEB"/>
    <w:rsid w:val="00433B63"/>
    <w:rsid w:val="0043428B"/>
    <w:rsid w:val="00440DD3"/>
    <w:rsid w:val="004430A8"/>
    <w:rsid w:val="00444FCC"/>
    <w:rsid w:val="004475C7"/>
    <w:rsid w:val="004531FA"/>
    <w:rsid w:val="0045375E"/>
    <w:rsid w:val="00453F08"/>
    <w:rsid w:val="00456616"/>
    <w:rsid w:val="00457106"/>
    <w:rsid w:val="00460A31"/>
    <w:rsid w:val="0046281F"/>
    <w:rsid w:val="00463BBE"/>
    <w:rsid w:val="00464227"/>
    <w:rsid w:val="0046558D"/>
    <w:rsid w:val="0046694A"/>
    <w:rsid w:val="00470BD4"/>
    <w:rsid w:val="00473BBC"/>
    <w:rsid w:val="0047430C"/>
    <w:rsid w:val="004750BB"/>
    <w:rsid w:val="00482412"/>
    <w:rsid w:val="004829BF"/>
    <w:rsid w:val="00483043"/>
    <w:rsid w:val="0048365F"/>
    <w:rsid w:val="00487258"/>
    <w:rsid w:val="00487F6C"/>
    <w:rsid w:val="004909CD"/>
    <w:rsid w:val="00490B74"/>
    <w:rsid w:val="00492F3E"/>
    <w:rsid w:val="00493578"/>
    <w:rsid w:val="004948C5"/>
    <w:rsid w:val="00494EA9"/>
    <w:rsid w:val="0049503B"/>
    <w:rsid w:val="004953EE"/>
    <w:rsid w:val="00496AA9"/>
    <w:rsid w:val="00497C89"/>
    <w:rsid w:val="004A0D49"/>
    <w:rsid w:val="004A1A45"/>
    <w:rsid w:val="004A24FF"/>
    <w:rsid w:val="004A490D"/>
    <w:rsid w:val="004A5D8B"/>
    <w:rsid w:val="004A6497"/>
    <w:rsid w:val="004A6A3F"/>
    <w:rsid w:val="004B0C90"/>
    <w:rsid w:val="004B129C"/>
    <w:rsid w:val="004B16CA"/>
    <w:rsid w:val="004B3168"/>
    <w:rsid w:val="004B373F"/>
    <w:rsid w:val="004B38C6"/>
    <w:rsid w:val="004B6E4C"/>
    <w:rsid w:val="004B70F9"/>
    <w:rsid w:val="004B7253"/>
    <w:rsid w:val="004C0F4C"/>
    <w:rsid w:val="004C2B6E"/>
    <w:rsid w:val="004C3610"/>
    <w:rsid w:val="004C3997"/>
    <w:rsid w:val="004C3E95"/>
    <w:rsid w:val="004C4353"/>
    <w:rsid w:val="004C799E"/>
    <w:rsid w:val="004C7F46"/>
    <w:rsid w:val="004D02F6"/>
    <w:rsid w:val="004D17F2"/>
    <w:rsid w:val="004D27E8"/>
    <w:rsid w:val="004D27EA"/>
    <w:rsid w:val="004D2C75"/>
    <w:rsid w:val="004D4CA7"/>
    <w:rsid w:val="004D683B"/>
    <w:rsid w:val="004D7503"/>
    <w:rsid w:val="004E080F"/>
    <w:rsid w:val="004E0925"/>
    <w:rsid w:val="004E3E2C"/>
    <w:rsid w:val="004E5545"/>
    <w:rsid w:val="004F0A71"/>
    <w:rsid w:val="004F142E"/>
    <w:rsid w:val="004F44C8"/>
    <w:rsid w:val="004F44D4"/>
    <w:rsid w:val="004F556C"/>
    <w:rsid w:val="004F6268"/>
    <w:rsid w:val="004F7F87"/>
    <w:rsid w:val="00500808"/>
    <w:rsid w:val="005012DB"/>
    <w:rsid w:val="00502665"/>
    <w:rsid w:val="00503518"/>
    <w:rsid w:val="005049CE"/>
    <w:rsid w:val="00504CFD"/>
    <w:rsid w:val="00507BBB"/>
    <w:rsid w:val="0051091E"/>
    <w:rsid w:val="00510A0E"/>
    <w:rsid w:val="005120A6"/>
    <w:rsid w:val="00512D3D"/>
    <w:rsid w:val="00513093"/>
    <w:rsid w:val="00513845"/>
    <w:rsid w:val="00514A3F"/>
    <w:rsid w:val="00514F45"/>
    <w:rsid w:val="0051523B"/>
    <w:rsid w:val="00515EC0"/>
    <w:rsid w:val="00516FB6"/>
    <w:rsid w:val="005231B6"/>
    <w:rsid w:val="00524748"/>
    <w:rsid w:val="00525315"/>
    <w:rsid w:val="005260F4"/>
    <w:rsid w:val="005269C5"/>
    <w:rsid w:val="00527371"/>
    <w:rsid w:val="00530705"/>
    <w:rsid w:val="00530792"/>
    <w:rsid w:val="005313E8"/>
    <w:rsid w:val="00531761"/>
    <w:rsid w:val="005322A0"/>
    <w:rsid w:val="00533137"/>
    <w:rsid w:val="005333E2"/>
    <w:rsid w:val="00534BDA"/>
    <w:rsid w:val="005356FB"/>
    <w:rsid w:val="00535DD1"/>
    <w:rsid w:val="00536611"/>
    <w:rsid w:val="005405E3"/>
    <w:rsid w:val="00540F76"/>
    <w:rsid w:val="00541417"/>
    <w:rsid w:val="00541EEA"/>
    <w:rsid w:val="00542028"/>
    <w:rsid w:val="005420F3"/>
    <w:rsid w:val="00542165"/>
    <w:rsid w:val="00543BA3"/>
    <w:rsid w:val="00544915"/>
    <w:rsid w:val="005466B8"/>
    <w:rsid w:val="00550908"/>
    <w:rsid w:val="0055107D"/>
    <w:rsid w:val="00552878"/>
    <w:rsid w:val="00553ADF"/>
    <w:rsid w:val="00554404"/>
    <w:rsid w:val="00557AD3"/>
    <w:rsid w:val="0056183F"/>
    <w:rsid w:val="0056255E"/>
    <w:rsid w:val="005637F1"/>
    <w:rsid w:val="005644D9"/>
    <w:rsid w:val="00570BA6"/>
    <w:rsid w:val="00571BBC"/>
    <w:rsid w:val="0057237C"/>
    <w:rsid w:val="00573E83"/>
    <w:rsid w:val="00574B03"/>
    <w:rsid w:val="00574C2F"/>
    <w:rsid w:val="00577AEB"/>
    <w:rsid w:val="00577B73"/>
    <w:rsid w:val="00577C4B"/>
    <w:rsid w:val="00577F46"/>
    <w:rsid w:val="0058004E"/>
    <w:rsid w:val="00580919"/>
    <w:rsid w:val="00581100"/>
    <w:rsid w:val="00581498"/>
    <w:rsid w:val="00581524"/>
    <w:rsid w:val="005819C4"/>
    <w:rsid w:val="00581B0F"/>
    <w:rsid w:val="00581C50"/>
    <w:rsid w:val="00582237"/>
    <w:rsid w:val="00582689"/>
    <w:rsid w:val="00583F71"/>
    <w:rsid w:val="00584C64"/>
    <w:rsid w:val="00585C28"/>
    <w:rsid w:val="0058737C"/>
    <w:rsid w:val="00590A14"/>
    <w:rsid w:val="00593C34"/>
    <w:rsid w:val="00594519"/>
    <w:rsid w:val="00594FC6"/>
    <w:rsid w:val="00595811"/>
    <w:rsid w:val="00596F2C"/>
    <w:rsid w:val="005A4A75"/>
    <w:rsid w:val="005A57BA"/>
    <w:rsid w:val="005A5A48"/>
    <w:rsid w:val="005A5FB7"/>
    <w:rsid w:val="005A60A8"/>
    <w:rsid w:val="005A6191"/>
    <w:rsid w:val="005B0DF9"/>
    <w:rsid w:val="005B1398"/>
    <w:rsid w:val="005B2071"/>
    <w:rsid w:val="005B275E"/>
    <w:rsid w:val="005B28EE"/>
    <w:rsid w:val="005B2F14"/>
    <w:rsid w:val="005B31F2"/>
    <w:rsid w:val="005B46B3"/>
    <w:rsid w:val="005B52A5"/>
    <w:rsid w:val="005B59AB"/>
    <w:rsid w:val="005B640A"/>
    <w:rsid w:val="005B6653"/>
    <w:rsid w:val="005B7924"/>
    <w:rsid w:val="005C067A"/>
    <w:rsid w:val="005C2B9E"/>
    <w:rsid w:val="005C51D4"/>
    <w:rsid w:val="005C57BA"/>
    <w:rsid w:val="005C584E"/>
    <w:rsid w:val="005C5D62"/>
    <w:rsid w:val="005C5D6E"/>
    <w:rsid w:val="005C631D"/>
    <w:rsid w:val="005C6A0F"/>
    <w:rsid w:val="005D039D"/>
    <w:rsid w:val="005D0C7D"/>
    <w:rsid w:val="005D1540"/>
    <w:rsid w:val="005D1791"/>
    <w:rsid w:val="005D1883"/>
    <w:rsid w:val="005D7816"/>
    <w:rsid w:val="005E0202"/>
    <w:rsid w:val="005E1679"/>
    <w:rsid w:val="005E3D8D"/>
    <w:rsid w:val="005E5490"/>
    <w:rsid w:val="005E780A"/>
    <w:rsid w:val="005F0694"/>
    <w:rsid w:val="005F2D90"/>
    <w:rsid w:val="005F51B4"/>
    <w:rsid w:val="005F72F1"/>
    <w:rsid w:val="005F776A"/>
    <w:rsid w:val="00601240"/>
    <w:rsid w:val="00601D87"/>
    <w:rsid w:val="00604379"/>
    <w:rsid w:val="006047E1"/>
    <w:rsid w:val="00606560"/>
    <w:rsid w:val="00612EAA"/>
    <w:rsid w:val="00613664"/>
    <w:rsid w:val="00613D2E"/>
    <w:rsid w:val="00614931"/>
    <w:rsid w:val="00614EEA"/>
    <w:rsid w:val="00616D04"/>
    <w:rsid w:val="00616F54"/>
    <w:rsid w:val="00617B37"/>
    <w:rsid w:val="00622A70"/>
    <w:rsid w:val="006260DD"/>
    <w:rsid w:val="00630D0A"/>
    <w:rsid w:val="00631BD6"/>
    <w:rsid w:val="00632F05"/>
    <w:rsid w:val="0063319A"/>
    <w:rsid w:val="00633931"/>
    <w:rsid w:val="00635AB2"/>
    <w:rsid w:val="00637B68"/>
    <w:rsid w:val="006408E2"/>
    <w:rsid w:val="0064157A"/>
    <w:rsid w:val="00642C97"/>
    <w:rsid w:val="00645556"/>
    <w:rsid w:val="00645599"/>
    <w:rsid w:val="00645B0D"/>
    <w:rsid w:val="00645E87"/>
    <w:rsid w:val="00647929"/>
    <w:rsid w:val="00650C31"/>
    <w:rsid w:val="00652D52"/>
    <w:rsid w:val="00653B26"/>
    <w:rsid w:val="006553D1"/>
    <w:rsid w:val="00655884"/>
    <w:rsid w:val="00657091"/>
    <w:rsid w:val="00657486"/>
    <w:rsid w:val="00657E84"/>
    <w:rsid w:val="00660246"/>
    <w:rsid w:val="006638C3"/>
    <w:rsid w:val="006649CD"/>
    <w:rsid w:val="00667607"/>
    <w:rsid w:val="00670546"/>
    <w:rsid w:val="00673D06"/>
    <w:rsid w:val="0067407D"/>
    <w:rsid w:val="006742A6"/>
    <w:rsid w:val="00675222"/>
    <w:rsid w:val="00675AFB"/>
    <w:rsid w:val="006760A7"/>
    <w:rsid w:val="006763A6"/>
    <w:rsid w:val="00677241"/>
    <w:rsid w:val="00682544"/>
    <w:rsid w:val="00684D4B"/>
    <w:rsid w:val="00690408"/>
    <w:rsid w:val="00690B1B"/>
    <w:rsid w:val="00691003"/>
    <w:rsid w:val="00693128"/>
    <w:rsid w:val="00693D5F"/>
    <w:rsid w:val="006959C0"/>
    <w:rsid w:val="006966C1"/>
    <w:rsid w:val="006979B1"/>
    <w:rsid w:val="006A14D7"/>
    <w:rsid w:val="006A30FC"/>
    <w:rsid w:val="006A5AF5"/>
    <w:rsid w:val="006A5D7F"/>
    <w:rsid w:val="006A6632"/>
    <w:rsid w:val="006B0533"/>
    <w:rsid w:val="006B2FE7"/>
    <w:rsid w:val="006B3950"/>
    <w:rsid w:val="006B46C1"/>
    <w:rsid w:val="006B5173"/>
    <w:rsid w:val="006B6B78"/>
    <w:rsid w:val="006C16C4"/>
    <w:rsid w:val="006C1EFC"/>
    <w:rsid w:val="006C2CB1"/>
    <w:rsid w:val="006C64C3"/>
    <w:rsid w:val="006C681D"/>
    <w:rsid w:val="006D24BE"/>
    <w:rsid w:val="006D2DF1"/>
    <w:rsid w:val="006D39D0"/>
    <w:rsid w:val="006D447D"/>
    <w:rsid w:val="006E4FC1"/>
    <w:rsid w:val="006E7C98"/>
    <w:rsid w:val="006F0BF5"/>
    <w:rsid w:val="006F166B"/>
    <w:rsid w:val="006F63DF"/>
    <w:rsid w:val="006F788B"/>
    <w:rsid w:val="007027B2"/>
    <w:rsid w:val="0070633E"/>
    <w:rsid w:val="0070717C"/>
    <w:rsid w:val="00710364"/>
    <w:rsid w:val="00710C42"/>
    <w:rsid w:val="00711F14"/>
    <w:rsid w:val="00713061"/>
    <w:rsid w:val="00716D18"/>
    <w:rsid w:val="00723CED"/>
    <w:rsid w:val="00724BE1"/>
    <w:rsid w:val="007303D7"/>
    <w:rsid w:val="0073219F"/>
    <w:rsid w:val="00732652"/>
    <w:rsid w:val="00732C4D"/>
    <w:rsid w:val="007343D6"/>
    <w:rsid w:val="0073453B"/>
    <w:rsid w:val="00735A8A"/>
    <w:rsid w:val="00735D97"/>
    <w:rsid w:val="00740395"/>
    <w:rsid w:val="00741965"/>
    <w:rsid w:val="007425E3"/>
    <w:rsid w:val="00742AD2"/>
    <w:rsid w:val="007430F4"/>
    <w:rsid w:val="00747506"/>
    <w:rsid w:val="007504F0"/>
    <w:rsid w:val="0075271C"/>
    <w:rsid w:val="00753866"/>
    <w:rsid w:val="00754C45"/>
    <w:rsid w:val="00754DCE"/>
    <w:rsid w:val="007576FF"/>
    <w:rsid w:val="00761556"/>
    <w:rsid w:val="00761AF7"/>
    <w:rsid w:val="007620D5"/>
    <w:rsid w:val="00762C02"/>
    <w:rsid w:val="00764899"/>
    <w:rsid w:val="00764992"/>
    <w:rsid w:val="00766346"/>
    <w:rsid w:val="007669DC"/>
    <w:rsid w:val="00767D37"/>
    <w:rsid w:val="00774A4C"/>
    <w:rsid w:val="007760B7"/>
    <w:rsid w:val="00777BD4"/>
    <w:rsid w:val="00780CD2"/>
    <w:rsid w:val="007818A9"/>
    <w:rsid w:val="00782728"/>
    <w:rsid w:val="00786A7B"/>
    <w:rsid w:val="007904AB"/>
    <w:rsid w:val="00790A20"/>
    <w:rsid w:val="00791EFE"/>
    <w:rsid w:val="007924F0"/>
    <w:rsid w:val="007939AB"/>
    <w:rsid w:val="00793F57"/>
    <w:rsid w:val="007945B6"/>
    <w:rsid w:val="00794E2F"/>
    <w:rsid w:val="007A4D17"/>
    <w:rsid w:val="007A6811"/>
    <w:rsid w:val="007B0384"/>
    <w:rsid w:val="007B043A"/>
    <w:rsid w:val="007B1915"/>
    <w:rsid w:val="007B1BF4"/>
    <w:rsid w:val="007B2471"/>
    <w:rsid w:val="007B2494"/>
    <w:rsid w:val="007B284D"/>
    <w:rsid w:val="007B2FDA"/>
    <w:rsid w:val="007B4144"/>
    <w:rsid w:val="007B4C65"/>
    <w:rsid w:val="007B6515"/>
    <w:rsid w:val="007B6C72"/>
    <w:rsid w:val="007C0628"/>
    <w:rsid w:val="007C1E89"/>
    <w:rsid w:val="007C3560"/>
    <w:rsid w:val="007C39B6"/>
    <w:rsid w:val="007C6190"/>
    <w:rsid w:val="007C731A"/>
    <w:rsid w:val="007C7708"/>
    <w:rsid w:val="007D048D"/>
    <w:rsid w:val="007D6893"/>
    <w:rsid w:val="007E139A"/>
    <w:rsid w:val="007E6862"/>
    <w:rsid w:val="007E7C56"/>
    <w:rsid w:val="007F0052"/>
    <w:rsid w:val="007F0090"/>
    <w:rsid w:val="007F1A49"/>
    <w:rsid w:val="007F1BC7"/>
    <w:rsid w:val="007F53D2"/>
    <w:rsid w:val="008029AE"/>
    <w:rsid w:val="0080321A"/>
    <w:rsid w:val="00803F69"/>
    <w:rsid w:val="008040F4"/>
    <w:rsid w:val="008073E6"/>
    <w:rsid w:val="00810288"/>
    <w:rsid w:val="008114EE"/>
    <w:rsid w:val="00816135"/>
    <w:rsid w:val="00816C0A"/>
    <w:rsid w:val="0081735A"/>
    <w:rsid w:val="0082084C"/>
    <w:rsid w:val="008300E9"/>
    <w:rsid w:val="00832B5D"/>
    <w:rsid w:val="00833506"/>
    <w:rsid w:val="00834704"/>
    <w:rsid w:val="00835106"/>
    <w:rsid w:val="008378A5"/>
    <w:rsid w:val="00841245"/>
    <w:rsid w:val="0084257D"/>
    <w:rsid w:val="008429A2"/>
    <w:rsid w:val="008429DC"/>
    <w:rsid w:val="00842F69"/>
    <w:rsid w:val="008456EA"/>
    <w:rsid w:val="008462ED"/>
    <w:rsid w:val="00846353"/>
    <w:rsid w:val="00854E77"/>
    <w:rsid w:val="00856342"/>
    <w:rsid w:val="00856747"/>
    <w:rsid w:val="00857688"/>
    <w:rsid w:val="008608CC"/>
    <w:rsid w:val="00860D4F"/>
    <w:rsid w:val="00860EC5"/>
    <w:rsid w:val="008615FE"/>
    <w:rsid w:val="008620C3"/>
    <w:rsid w:val="00863CF2"/>
    <w:rsid w:val="00864B47"/>
    <w:rsid w:val="00864C37"/>
    <w:rsid w:val="00865CC3"/>
    <w:rsid w:val="0087103D"/>
    <w:rsid w:val="00873453"/>
    <w:rsid w:val="00873AC8"/>
    <w:rsid w:val="00877A1B"/>
    <w:rsid w:val="00877B1F"/>
    <w:rsid w:val="0088109C"/>
    <w:rsid w:val="00884190"/>
    <w:rsid w:val="00884403"/>
    <w:rsid w:val="0088459D"/>
    <w:rsid w:val="008863CB"/>
    <w:rsid w:val="00890B33"/>
    <w:rsid w:val="00891AB7"/>
    <w:rsid w:val="0089267E"/>
    <w:rsid w:val="00893B8C"/>
    <w:rsid w:val="008947CF"/>
    <w:rsid w:val="00895211"/>
    <w:rsid w:val="00896D2C"/>
    <w:rsid w:val="008977BF"/>
    <w:rsid w:val="008A301F"/>
    <w:rsid w:val="008A3D8F"/>
    <w:rsid w:val="008A4FC5"/>
    <w:rsid w:val="008A64CE"/>
    <w:rsid w:val="008B2C0D"/>
    <w:rsid w:val="008B331C"/>
    <w:rsid w:val="008B4FC6"/>
    <w:rsid w:val="008B522E"/>
    <w:rsid w:val="008B66F4"/>
    <w:rsid w:val="008B7C9D"/>
    <w:rsid w:val="008C127A"/>
    <w:rsid w:val="008C2D1D"/>
    <w:rsid w:val="008C31C0"/>
    <w:rsid w:val="008C3751"/>
    <w:rsid w:val="008C399B"/>
    <w:rsid w:val="008C49C7"/>
    <w:rsid w:val="008C572F"/>
    <w:rsid w:val="008C5926"/>
    <w:rsid w:val="008C7B42"/>
    <w:rsid w:val="008D08ED"/>
    <w:rsid w:val="008D2823"/>
    <w:rsid w:val="008D374C"/>
    <w:rsid w:val="008D4162"/>
    <w:rsid w:val="008D49EA"/>
    <w:rsid w:val="008E41B1"/>
    <w:rsid w:val="008E58C3"/>
    <w:rsid w:val="008E60F4"/>
    <w:rsid w:val="008F048B"/>
    <w:rsid w:val="008F10DA"/>
    <w:rsid w:val="008F6AC6"/>
    <w:rsid w:val="0090342A"/>
    <w:rsid w:val="0090408E"/>
    <w:rsid w:val="009062E5"/>
    <w:rsid w:val="00906AEE"/>
    <w:rsid w:val="00911914"/>
    <w:rsid w:val="00913BF2"/>
    <w:rsid w:val="00916B9A"/>
    <w:rsid w:val="009177F1"/>
    <w:rsid w:val="00920C55"/>
    <w:rsid w:val="00921642"/>
    <w:rsid w:val="0092276C"/>
    <w:rsid w:val="00922D5B"/>
    <w:rsid w:val="00923052"/>
    <w:rsid w:val="00925293"/>
    <w:rsid w:val="009252E7"/>
    <w:rsid w:val="00925600"/>
    <w:rsid w:val="00926954"/>
    <w:rsid w:val="009304D3"/>
    <w:rsid w:val="00930768"/>
    <w:rsid w:val="009332ED"/>
    <w:rsid w:val="00936377"/>
    <w:rsid w:val="009366E0"/>
    <w:rsid w:val="00936B47"/>
    <w:rsid w:val="00937A7A"/>
    <w:rsid w:val="00937D68"/>
    <w:rsid w:val="00937E83"/>
    <w:rsid w:val="009407D2"/>
    <w:rsid w:val="0094225E"/>
    <w:rsid w:val="00944309"/>
    <w:rsid w:val="009450F2"/>
    <w:rsid w:val="009465CD"/>
    <w:rsid w:val="0094684D"/>
    <w:rsid w:val="00947265"/>
    <w:rsid w:val="00951F25"/>
    <w:rsid w:val="0095265B"/>
    <w:rsid w:val="00952FF6"/>
    <w:rsid w:val="00953713"/>
    <w:rsid w:val="0095493A"/>
    <w:rsid w:val="00954B0D"/>
    <w:rsid w:val="0095531F"/>
    <w:rsid w:val="00955805"/>
    <w:rsid w:val="00956645"/>
    <w:rsid w:val="009569A4"/>
    <w:rsid w:val="00960059"/>
    <w:rsid w:val="00960FFA"/>
    <w:rsid w:val="00961CA6"/>
    <w:rsid w:val="0096680C"/>
    <w:rsid w:val="009669FE"/>
    <w:rsid w:val="009701ED"/>
    <w:rsid w:val="0097039E"/>
    <w:rsid w:val="009721B9"/>
    <w:rsid w:val="00972A51"/>
    <w:rsid w:val="00973A80"/>
    <w:rsid w:val="00974D12"/>
    <w:rsid w:val="0097611A"/>
    <w:rsid w:val="00976316"/>
    <w:rsid w:val="009763FD"/>
    <w:rsid w:val="00976609"/>
    <w:rsid w:val="00976D37"/>
    <w:rsid w:val="00976D49"/>
    <w:rsid w:val="009775F5"/>
    <w:rsid w:val="00977C12"/>
    <w:rsid w:val="00980581"/>
    <w:rsid w:val="0098376F"/>
    <w:rsid w:val="00986041"/>
    <w:rsid w:val="0099005E"/>
    <w:rsid w:val="009907A8"/>
    <w:rsid w:val="00992D45"/>
    <w:rsid w:val="009934E9"/>
    <w:rsid w:val="00993D2A"/>
    <w:rsid w:val="00993DD7"/>
    <w:rsid w:val="0099484C"/>
    <w:rsid w:val="009955A3"/>
    <w:rsid w:val="009955B9"/>
    <w:rsid w:val="009958D0"/>
    <w:rsid w:val="0099791C"/>
    <w:rsid w:val="00997F45"/>
    <w:rsid w:val="009A2B30"/>
    <w:rsid w:val="009A596E"/>
    <w:rsid w:val="009B0268"/>
    <w:rsid w:val="009B1DAF"/>
    <w:rsid w:val="009B3BF1"/>
    <w:rsid w:val="009B5243"/>
    <w:rsid w:val="009C1BDC"/>
    <w:rsid w:val="009C2EFA"/>
    <w:rsid w:val="009C2EFC"/>
    <w:rsid w:val="009C6624"/>
    <w:rsid w:val="009D1DE9"/>
    <w:rsid w:val="009D2FFF"/>
    <w:rsid w:val="009D3504"/>
    <w:rsid w:val="009D44B9"/>
    <w:rsid w:val="009D4EDF"/>
    <w:rsid w:val="009D578C"/>
    <w:rsid w:val="009D63C2"/>
    <w:rsid w:val="009D74F9"/>
    <w:rsid w:val="009D7D98"/>
    <w:rsid w:val="009D7E08"/>
    <w:rsid w:val="009E0F37"/>
    <w:rsid w:val="009E2943"/>
    <w:rsid w:val="009E2A3D"/>
    <w:rsid w:val="009E748D"/>
    <w:rsid w:val="009E7CA8"/>
    <w:rsid w:val="009E7EE4"/>
    <w:rsid w:val="009F2597"/>
    <w:rsid w:val="009F648D"/>
    <w:rsid w:val="009F6DCC"/>
    <w:rsid w:val="009F7DA7"/>
    <w:rsid w:val="00A02594"/>
    <w:rsid w:val="00A035C9"/>
    <w:rsid w:val="00A04D63"/>
    <w:rsid w:val="00A05113"/>
    <w:rsid w:val="00A065C7"/>
    <w:rsid w:val="00A07719"/>
    <w:rsid w:val="00A11572"/>
    <w:rsid w:val="00A14A92"/>
    <w:rsid w:val="00A14D72"/>
    <w:rsid w:val="00A203CD"/>
    <w:rsid w:val="00A2099C"/>
    <w:rsid w:val="00A20D63"/>
    <w:rsid w:val="00A21A3E"/>
    <w:rsid w:val="00A230F6"/>
    <w:rsid w:val="00A24A2E"/>
    <w:rsid w:val="00A25DC9"/>
    <w:rsid w:val="00A3264A"/>
    <w:rsid w:val="00A330C3"/>
    <w:rsid w:val="00A330DE"/>
    <w:rsid w:val="00A35706"/>
    <w:rsid w:val="00A359E3"/>
    <w:rsid w:val="00A36902"/>
    <w:rsid w:val="00A36D58"/>
    <w:rsid w:val="00A40C16"/>
    <w:rsid w:val="00A41E98"/>
    <w:rsid w:val="00A41F5D"/>
    <w:rsid w:val="00A42A1C"/>
    <w:rsid w:val="00A44309"/>
    <w:rsid w:val="00A46AD3"/>
    <w:rsid w:val="00A46FE1"/>
    <w:rsid w:val="00A471EB"/>
    <w:rsid w:val="00A4746D"/>
    <w:rsid w:val="00A50717"/>
    <w:rsid w:val="00A52835"/>
    <w:rsid w:val="00A52E5C"/>
    <w:rsid w:val="00A55C1B"/>
    <w:rsid w:val="00A55D10"/>
    <w:rsid w:val="00A619B1"/>
    <w:rsid w:val="00A621A4"/>
    <w:rsid w:val="00A646DE"/>
    <w:rsid w:val="00A6474B"/>
    <w:rsid w:val="00A66C96"/>
    <w:rsid w:val="00A66EDE"/>
    <w:rsid w:val="00A675EA"/>
    <w:rsid w:val="00A743D4"/>
    <w:rsid w:val="00A744F0"/>
    <w:rsid w:val="00A74F7C"/>
    <w:rsid w:val="00A75368"/>
    <w:rsid w:val="00A75503"/>
    <w:rsid w:val="00A77886"/>
    <w:rsid w:val="00A81AB5"/>
    <w:rsid w:val="00A8460E"/>
    <w:rsid w:val="00A84AA9"/>
    <w:rsid w:val="00A8571F"/>
    <w:rsid w:val="00A86373"/>
    <w:rsid w:val="00A87E31"/>
    <w:rsid w:val="00A90855"/>
    <w:rsid w:val="00A910B9"/>
    <w:rsid w:val="00A944EC"/>
    <w:rsid w:val="00A95E71"/>
    <w:rsid w:val="00A97D86"/>
    <w:rsid w:val="00AA0300"/>
    <w:rsid w:val="00AA0848"/>
    <w:rsid w:val="00AA410B"/>
    <w:rsid w:val="00AA51D9"/>
    <w:rsid w:val="00AA599E"/>
    <w:rsid w:val="00AA7A0B"/>
    <w:rsid w:val="00AB3C17"/>
    <w:rsid w:val="00AB4D2D"/>
    <w:rsid w:val="00AB6EA4"/>
    <w:rsid w:val="00AB776A"/>
    <w:rsid w:val="00AB7DAE"/>
    <w:rsid w:val="00AB7DD6"/>
    <w:rsid w:val="00AC0844"/>
    <w:rsid w:val="00AC2D30"/>
    <w:rsid w:val="00AC2ED3"/>
    <w:rsid w:val="00AC2F97"/>
    <w:rsid w:val="00AC44E6"/>
    <w:rsid w:val="00AC69BF"/>
    <w:rsid w:val="00AD1308"/>
    <w:rsid w:val="00AD3472"/>
    <w:rsid w:val="00AD5226"/>
    <w:rsid w:val="00AD5485"/>
    <w:rsid w:val="00AD5E11"/>
    <w:rsid w:val="00AE1FC7"/>
    <w:rsid w:val="00AE284C"/>
    <w:rsid w:val="00AE2A55"/>
    <w:rsid w:val="00AE2F86"/>
    <w:rsid w:val="00AE7239"/>
    <w:rsid w:val="00AF0C90"/>
    <w:rsid w:val="00AF0D2C"/>
    <w:rsid w:val="00AF2284"/>
    <w:rsid w:val="00AF44EE"/>
    <w:rsid w:val="00AF49F6"/>
    <w:rsid w:val="00AF5F36"/>
    <w:rsid w:val="00AF6009"/>
    <w:rsid w:val="00AF7BCC"/>
    <w:rsid w:val="00B048C4"/>
    <w:rsid w:val="00B05FBF"/>
    <w:rsid w:val="00B114CB"/>
    <w:rsid w:val="00B11910"/>
    <w:rsid w:val="00B13251"/>
    <w:rsid w:val="00B14B24"/>
    <w:rsid w:val="00B14B80"/>
    <w:rsid w:val="00B2145F"/>
    <w:rsid w:val="00B22A87"/>
    <w:rsid w:val="00B25EAC"/>
    <w:rsid w:val="00B261E5"/>
    <w:rsid w:val="00B264CC"/>
    <w:rsid w:val="00B26675"/>
    <w:rsid w:val="00B2724C"/>
    <w:rsid w:val="00B27CE4"/>
    <w:rsid w:val="00B3004D"/>
    <w:rsid w:val="00B305EA"/>
    <w:rsid w:val="00B30923"/>
    <w:rsid w:val="00B309EF"/>
    <w:rsid w:val="00B317AA"/>
    <w:rsid w:val="00B32581"/>
    <w:rsid w:val="00B32C5A"/>
    <w:rsid w:val="00B32F03"/>
    <w:rsid w:val="00B34229"/>
    <w:rsid w:val="00B3535B"/>
    <w:rsid w:val="00B3611E"/>
    <w:rsid w:val="00B36E69"/>
    <w:rsid w:val="00B37E9C"/>
    <w:rsid w:val="00B37FCF"/>
    <w:rsid w:val="00B4030A"/>
    <w:rsid w:val="00B44647"/>
    <w:rsid w:val="00B4646B"/>
    <w:rsid w:val="00B47171"/>
    <w:rsid w:val="00B4755B"/>
    <w:rsid w:val="00B479B4"/>
    <w:rsid w:val="00B50FBF"/>
    <w:rsid w:val="00B518CE"/>
    <w:rsid w:val="00B51DB6"/>
    <w:rsid w:val="00B532B5"/>
    <w:rsid w:val="00B5487D"/>
    <w:rsid w:val="00B57058"/>
    <w:rsid w:val="00B5767A"/>
    <w:rsid w:val="00B6015E"/>
    <w:rsid w:val="00B60444"/>
    <w:rsid w:val="00B636BF"/>
    <w:rsid w:val="00B64605"/>
    <w:rsid w:val="00B6530A"/>
    <w:rsid w:val="00B65F07"/>
    <w:rsid w:val="00B6613E"/>
    <w:rsid w:val="00B719BD"/>
    <w:rsid w:val="00B72FC9"/>
    <w:rsid w:val="00B7505F"/>
    <w:rsid w:val="00B7582A"/>
    <w:rsid w:val="00B76783"/>
    <w:rsid w:val="00B77774"/>
    <w:rsid w:val="00B80050"/>
    <w:rsid w:val="00B8120F"/>
    <w:rsid w:val="00B82EDF"/>
    <w:rsid w:val="00B85845"/>
    <w:rsid w:val="00B8638C"/>
    <w:rsid w:val="00B86BE2"/>
    <w:rsid w:val="00B933D1"/>
    <w:rsid w:val="00B93CD0"/>
    <w:rsid w:val="00B9560F"/>
    <w:rsid w:val="00B97842"/>
    <w:rsid w:val="00B97A5C"/>
    <w:rsid w:val="00BA144A"/>
    <w:rsid w:val="00BA1A89"/>
    <w:rsid w:val="00BA275C"/>
    <w:rsid w:val="00BA32C0"/>
    <w:rsid w:val="00BA47CD"/>
    <w:rsid w:val="00BA4F79"/>
    <w:rsid w:val="00BA741F"/>
    <w:rsid w:val="00BA7988"/>
    <w:rsid w:val="00BB0BAB"/>
    <w:rsid w:val="00BB11FE"/>
    <w:rsid w:val="00BB1AB6"/>
    <w:rsid w:val="00BB2B7F"/>
    <w:rsid w:val="00BB3490"/>
    <w:rsid w:val="00BB4EB6"/>
    <w:rsid w:val="00BB5452"/>
    <w:rsid w:val="00BB5DF6"/>
    <w:rsid w:val="00BB6C02"/>
    <w:rsid w:val="00BB7759"/>
    <w:rsid w:val="00BB7C4B"/>
    <w:rsid w:val="00BC1255"/>
    <w:rsid w:val="00BC33C8"/>
    <w:rsid w:val="00BC414E"/>
    <w:rsid w:val="00BC6B97"/>
    <w:rsid w:val="00BC780F"/>
    <w:rsid w:val="00BC7B7D"/>
    <w:rsid w:val="00BD1676"/>
    <w:rsid w:val="00BD1C8A"/>
    <w:rsid w:val="00BD259C"/>
    <w:rsid w:val="00BD330B"/>
    <w:rsid w:val="00BD395D"/>
    <w:rsid w:val="00BD422C"/>
    <w:rsid w:val="00BD4AEE"/>
    <w:rsid w:val="00BD57BC"/>
    <w:rsid w:val="00BE011B"/>
    <w:rsid w:val="00BE0F77"/>
    <w:rsid w:val="00BE1033"/>
    <w:rsid w:val="00BE1C6A"/>
    <w:rsid w:val="00BE2392"/>
    <w:rsid w:val="00BE3502"/>
    <w:rsid w:val="00BE3C09"/>
    <w:rsid w:val="00BE3F5F"/>
    <w:rsid w:val="00BE51CC"/>
    <w:rsid w:val="00BE59EB"/>
    <w:rsid w:val="00BE63DF"/>
    <w:rsid w:val="00BF0284"/>
    <w:rsid w:val="00BF0A4C"/>
    <w:rsid w:val="00BF1DD9"/>
    <w:rsid w:val="00BF3E20"/>
    <w:rsid w:val="00BF4B79"/>
    <w:rsid w:val="00BF4E41"/>
    <w:rsid w:val="00BF4E92"/>
    <w:rsid w:val="00BF6216"/>
    <w:rsid w:val="00BF6578"/>
    <w:rsid w:val="00BF7C99"/>
    <w:rsid w:val="00C01ABA"/>
    <w:rsid w:val="00C027D5"/>
    <w:rsid w:val="00C03D31"/>
    <w:rsid w:val="00C04C66"/>
    <w:rsid w:val="00C052F8"/>
    <w:rsid w:val="00C1537F"/>
    <w:rsid w:val="00C15E72"/>
    <w:rsid w:val="00C17AFC"/>
    <w:rsid w:val="00C17D47"/>
    <w:rsid w:val="00C20ECD"/>
    <w:rsid w:val="00C24683"/>
    <w:rsid w:val="00C24B30"/>
    <w:rsid w:val="00C24BB0"/>
    <w:rsid w:val="00C255C3"/>
    <w:rsid w:val="00C2617F"/>
    <w:rsid w:val="00C30ADC"/>
    <w:rsid w:val="00C31618"/>
    <w:rsid w:val="00C356E9"/>
    <w:rsid w:val="00C405C4"/>
    <w:rsid w:val="00C413D3"/>
    <w:rsid w:val="00C42D79"/>
    <w:rsid w:val="00C433E7"/>
    <w:rsid w:val="00C522BC"/>
    <w:rsid w:val="00C53201"/>
    <w:rsid w:val="00C5334E"/>
    <w:rsid w:val="00C53C49"/>
    <w:rsid w:val="00C55499"/>
    <w:rsid w:val="00C6225C"/>
    <w:rsid w:val="00C63899"/>
    <w:rsid w:val="00C63AC9"/>
    <w:rsid w:val="00C654C4"/>
    <w:rsid w:val="00C66A17"/>
    <w:rsid w:val="00C66AC5"/>
    <w:rsid w:val="00C7040F"/>
    <w:rsid w:val="00C705F5"/>
    <w:rsid w:val="00C70778"/>
    <w:rsid w:val="00C723EE"/>
    <w:rsid w:val="00C73B08"/>
    <w:rsid w:val="00C7796B"/>
    <w:rsid w:val="00C80E30"/>
    <w:rsid w:val="00C821AB"/>
    <w:rsid w:val="00C82314"/>
    <w:rsid w:val="00C82D66"/>
    <w:rsid w:val="00C83A7F"/>
    <w:rsid w:val="00C84CFC"/>
    <w:rsid w:val="00C87485"/>
    <w:rsid w:val="00C91242"/>
    <w:rsid w:val="00C931A9"/>
    <w:rsid w:val="00C94708"/>
    <w:rsid w:val="00C94D39"/>
    <w:rsid w:val="00C97F1B"/>
    <w:rsid w:val="00CA295C"/>
    <w:rsid w:val="00CA3F4E"/>
    <w:rsid w:val="00CA471C"/>
    <w:rsid w:val="00CA6C7A"/>
    <w:rsid w:val="00CA6F1A"/>
    <w:rsid w:val="00CB07DD"/>
    <w:rsid w:val="00CB0B2C"/>
    <w:rsid w:val="00CB11AD"/>
    <w:rsid w:val="00CB13A5"/>
    <w:rsid w:val="00CB3456"/>
    <w:rsid w:val="00CB3F9C"/>
    <w:rsid w:val="00CB5809"/>
    <w:rsid w:val="00CB6E46"/>
    <w:rsid w:val="00CB71FC"/>
    <w:rsid w:val="00CB74BD"/>
    <w:rsid w:val="00CB780B"/>
    <w:rsid w:val="00CC043F"/>
    <w:rsid w:val="00CC1388"/>
    <w:rsid w:val="00CC18DD"/>
    <w:rsid w:val="00CC1DDC"/>
    <w:rsid w:val="00CC3314"/>
    <w:rsid w:val="00CC3752"/>
    <w:rsid w:val="00CC3860"/>
    <w:rsid w:val="00CC51B8"/>
    <w:rsid w:val="00CC58B5"/>
    <w:rsid w:val="00CC68E0"/>
    <w:rsid w:val="00CC68F5"/>
    <w:rsid w:val="00CC7252"/>
    <w:rsid w:val="00CC7E32"/>
    <w:rsid w:val="00CD0E48"/>
    <w:rsid w:val="00CD1EFD"/>
    <w:rsid w:val="00CD1F58"/>
    <w:rsid w:val="00CD3AC8"/>
    <w:rsid w:val="00CD3C5C"/>
    <w:rsid w:val="00CD4344"/>
    <w:rsid w:val="00CD6570"/>
    <w:rsid w:val="00CD7516"/>
    <w:rsid w:val="00CD760D"/>
    <w:rsid w:val="00CD7ACB"/>
    <w:rsid w:val="00CE09C0"/>
    <w:rsid w:val="00CE293A"/>
    <w:rsid w:val="00CE2A71"/>
    <w:rsid w:val="00CE414E"/>
    <w:rsid w:val="00CE4A96"/>
    <w:rsid w:val="00CE6D69"/>
    <w:rsid w:val="00CF0356"/>
    <w:rsid w:val="00CF1310"/>
    <w:rsid w:val="00CF296F"/>
    <w:rsid w:val="00CF4A7E"/>
    <w:rsid w:val="00CF4AC8"/>
    <w:rsid w:val="00CF691F"/>
    <w:rsid w:val="00CF7389"/>
    <w:rsid w:val="00D011B8"/>
    <w:rsid w:val="00D01995"/>
    <w:rsid w:val="00D023DC"/>
    <w:rsid w:val="00D03B8F"/>
    <w:rsid w:val="00D03E10"/>
    <w:rsid w:val="00D04609"/>
    <w:rsid w:val="00D055E8"/>
    <w:rsid w:val="00D071BC"/>
    <w:rsid w:val="00D07A2E"/>
    <w:rsid w:val="00D11ABE"/>
    <w:rsid w:val="00D137C0"/>
    <w:rsid w:val="00D143C6"/>
    <w:rsid w:val="00D14DB4"/>
    <w:rsid w:val="00D15E53"/>
    <w:rsid w:val="00D165C9"/>
    <w:rsid w:val="00D16B58"/>
    <w:rsid w:val="00D16D97"/>
    <w:rsid w:val="00D21734"/>
    <w:rsid w:val="00D21776"/>
    <w:rsid w:val="00D23337"/>
    <w:rsid w:val="00D25F63"/>
    <w:rsid w:val="00D26095"/>
    <w:rsid w:val="00D26401"/>
    <w:rsid w:val="00D26464"/>
    <w:rsid w:val="00D277A9"/>
    <w:rsid w:val="00D32B71"/>
    <w:rsid w:val="00D34F70"/>
    <w:rsid w:val="00D355A6"/>
    <w:rsid w:val="00D35645"/>
    <w:rsid w:val="00D368CD"/>
    <w:rsid w:val="00D37362"/>
    <w:rsid w:val="00D377C9"/>
    <w:rsid w:val="00D37CB0"/>
    <w:rsid w:val="00D4266C"/>
    <w:rsid w:val="00D43615"/>
    <w:rsid w:val="00D43C1E"/>
    <w:rsid w:val="00D44778"/>
    <w:rsid w:val="00D47641"/>
    <w:rsid w:val="00D50924"/>
    <w:rsid w:val="00D5432D"/>
    <w:rsid w:val="00D55EDC"/>
    <w:rsid w:val="00D565C5"/>
    <w:rsid w:val="00D617B0"/>
    <w:rsid w:val="00D61F10"/>
    <w:rsid w:val="00D63767"/>
    <w:rsid w:val="00D6415A"/>
    <w:rsid w:val="00D71C9D"/>
    <w:rsid w:val="00D7435A"/>
    <w:rsid w:val="00D7582B"/>
    <w:rsid w:val="00D759AE"/>
    <w:rsid w:val="00D766F6"/>
    <w:rsid w:val="00D7770F"/>
    <w:rsid w:val="00D77CBF"/>
    <w:rsid w:val="00D81D30"/>
    <w:rsid w:val="00D83B3A"/>
    <w:rsid w:val="00D841C8"/>
    <w:rsid w:val="00D842E0"/>
    <w:rsid w:val="00D84560"/>
    <w:rsid w:val="00D85476"/>
    <w:rsid w:val="00D86B4D"/>
    <w:rsid w:val="00D86EBD"/>
    <w:rsid w:val="00D87599"/>
    <w:rsid w:val="00D903E9"/>
    <w:rsid w:val="00D91E6F"/>
    <w:rsid w:val="00D94CB8"/>
    <w:rsid w:val="00D96281"/>
    <w:rsid w:val="00DA051F"/>
    <w:rsid w:val="00DA060E"/>
    <w:rsid w:val="00DA1176"/>
    <w:rsid w:val="00DA1BAF"/>
    <w:rsid w:val="00DA1F6D"/>
    <w:rsid w:val="00DA6EE3"/>
    <w:rsid w:val="00DB02C7"/>
    <w:rsid w:val="00DB1227"/>
    <w:rsid w:val="00DB2561"/>
    <w:rsid w:val="00DB2A50"/>
    <w:rsid w:val="00DB6DE8"/>
    <w:rsid w:val="00DC1964"/>
    <w:rsid w:val="00DC2254"/>
    <w:rsid w:val="00DC34AB"/>
    <w:rsid w:val="00DC3ADE"/>
    <w:rsid w:val="00DC5FC3"/>
    <w:rsid w:val="00DC6014"/>
    <w:rsid w:val="00DC6DBA"/>
    <w:rsid w:val="00DD0730"/>
    <w:rsid w:val="00DD1DD5"/>
    <w:rsid w:val="00DD2EB1"/>
    <w:rsid w:val="00DD421B"/>
    <w:rsid w:val="00DE10CB"/>
    <w:rsid w:val="00DE2BB1"/>
    <w:rsid w:val="00DE3F77"/>
    <w:rsid w:val="00DE50D6"/>
    <w:rsid w:val="00DE7A90"/>
    <w:rsid w:val="00DF209F"/>
    <w:rsid w:val="00DF5802"/>
    <w:rsid w:val="00DF5B91"/>
    <w:rsid w:val="00E0111D"/>
    <w:rsid w:val="00E02B22"/>
    <w:rsid w:val="00E02C1A"/>
    <w:rsid w:val="00E03E7A"/>
    <w:rsid w:val="00E03EDB"/>
    <w:rsid w:val="00E04D3B"/>
    <w:rsid w:val="00E06EAF"/>
    <w:rsid w:val="00E120C7"/>
    <w:rsid w:val="00E15CF1"/>
    <w:rsid w:val="00E16857"/>
    <w:rsid w:val="00E229DE"/>
    <w:rsid w:val="00E22BFB"/>
    <w:rsid w:val="00E23E98"/>
    <w:rsid w:val="00E24B95"/>
    <w:rsid w:val="00E24F42"/>
    <w:rsid w:val="00E25832"/>
    <w:rsid w:val="00E25A8C"/>
    <w:rsid w:val="00E30F31"/>
    <w:rsid w:val="00E319A7"/>
    <w:rsid w:val="00E31A69"/>
    <w:rsid w:val="00E31A8E"/>
    <w:rsid w:val="00E31E65"/>
    <w:rsid w:val="00E332A1"/>
    <w:rsid w:val="00E366E1"/>
    <w:rsid w:val="00E36EEE"/>
    <w:rsid w:val="00E373CF"/>
    <w:rsid w:val="00E37CCE"/>
    <w:rsid w:val="00E41546"/>
    <w:rsid w:val="00E42399"/>
    <w:rsid w:val="00E42FF3"/>
    <w:rsid w:val="00E43792"/>
    <w:rsid w:val="00E43A7B"/>
    <w:rsid w:val="00E44400"/>
    <w:rsid w:val="00E46B97"/>
    <w:rsid w:val="00E50595"/>
    <w:rsid w:val="00E51F06"/>
    <w:rsid w:val="00E5320E"/>
    <w:rsid w:val="00E54331"/>
    <w:rsid w:val="00E54BB4"/>
    <w:rsid w:val="00E56DC8"/>
    <w:rsid w:val="00E6039D"/>
    <w:rsid w:val="00E61C75"/>
    <w:rsid w:val="00E63336"/>
    <w:rsid w:val="00E648B7"/>
    <w:rsid w:val="00E7331D"/>
    <w:rsid w:val="00E73329"/>
    <w:rsid w:val="00E7557A"/>
    <w:rsid w:val="00E75A6B"/>
    <w:rsid w:val="00E76F77"/>
    <w:rsid w:val="00E811CB"/>
    <w:rsid w:val="00E83169"/>
    <w:rsid w:val="00E83243"/>
    <w:rsid w:val="00E83616"/>
    <w:rsid w:val="00E84313"/>
    <w:rsid w:val="00E84CDC"/>
    <w:rsid w:val="00E90C73"/>
    <w:rsid w:val="00E913A9"/>
    <w:rsid w:val="00E91474"/>
    <w:rsid w:val="00E91590"/>
    <w:rsid w:val="00E920E6"/>
    <w:rsid w:val="00E92AB1"/>
    <w:rsid w:val="00E92C38"/>
    <w:rsid w:val="00E92FDD"/>
    <w:rsid w:val="00E96F77"/>
    <w:rsid w:val="00E9715B"/>
    <w:rsid w:val="00EA0061"/>
    <w:rsid w:val="00EA0DD0"/>
    <w:rsid w:val="00EA4349"/>
    <w:rsid w:val="00EA6B8D"/>
    <w:rsid w:val="00EA7004"/>
    <w:rsid w:val="00EA77E7"/>
    <w:rsid w:val="00EA7E2D"/>
    <w:rsid w:val="00EB1A44"/>
    <w:rsid w:val="00EB1C67"/>
    <w:rsid w:val="00EB2081"/>
    <w:rsid w:val="00EB6A30"/>
    <w:rsid w:val="00EB6C9C"/>
    <w:rsid w:val="00EC1F67"/>
    <w:rsid w:val="00EC3801"/>
    <w:rsid w:val="00EC42A2"/>
    <w:rsid w:val="00ED3407"/>
    <w:rsid w:val="00EE191E"/>
    <w:rsid w:val="00EE292C"/>
    <w:rsid w:val="00EE30F3"/>
    <w:rsid w:val="00EE3D96"/>
    <w:rsid w:val="00EE4FBC"/>
    <w:rsid w:val="00EF21EE"/>
    <w:rsid w:val="00EF4851"/>
    <w:rsid w:val="00EF48C9"/>
    <w:rsid w:val="00F0097E"/>
    <w:rsid w:val="00F02D73"/>
    <w:rsid w:val="00F03CF1"/>
    <w:rsid w:val="00F03D6D"/>
    <w:rsid w:val="00F0546A"/>
    <w:rsid w:val="00F05B8B"/>
    <w:rsid w:val="00F10B5A"/>
    <w:rsid w:val="00F11E1E"/>
    <w:rsid w:val="00F12C08"/>
    <w:rsid w:val="00F12D47"/>
    <w:rsid w:val="00F14235"/>
    <w:rsid w:val="00F17500"/>
    <w:rsid w:val="00F17B81"/>
    <w:rsid w:val="00F17F96"/>
    <w:rsid w:val="00F20F76"/>
    <w:rsid w:val="00F24267"/>
    <w:rsid w:val="00F24369"/>
    <w:rsid w:val="00F307DF"/>
    <w:rsid w:val="00F30E11"/>
    <w:rsid w:val="00F329C0"/>
    <w:rsid w:val="00F32B71"/>
    <w:rsid w:val="00F350FF"/>
    <w:rsid w:val="00F35B50"/>
    <w:rsid w:val="00F42064"/>
    <w:rsid w:val="00F42D0C"/>
    <w:rsid w:val="00F43EB9"/>
    <w:rsid w:val="00F45AFA"/>
    <w:rsid w:val="00F46A6A"/>
    <w:rsid w:val="00F4708C"/>
    <w:rsid w:val="00F51469"/>
    <w:rsid w:val="00F521BC"/>
    <w:rsid w:val="00F549DA"/>
    <w:rsid w:val="00F550FE"/>
    <w:rsid w:val="00F552CB"/>
    <w:rsid w:val="00F601BB"/>
    <w:rsid w:val="00F6035C"/>
    <w:rsid w:val="00F62498"/>
    <w:rsid w:val="00F62590"/>
    <w:rsid w:val="00F65B50"/>
    <w:rsid w:val="00F672AA"/>
    <w:rsid w:val="00F700BC"/>
    <w:rsid w:val="00F70684"/>
    <w:rsid w:val="00F72E2F"/>
    <w:rsid w:val="00F7396F"/>
    <w:rsid w:val="00F752E8"/>
    <w:rsid w:val="00F75643"/>
    <w:rsid w:val="00F75976"/>
    <w:rsid w:val="00F75CDA"/>
    <w:rsid w:val="00F76C3B"/>
    <w:rsid w:val="00F7790C"/>
    <w:rsid w:val="00F81A72"/>
    <w:rsid w:val="00F830F0"/>
    <w:rsid w:val="00F85872"/>
    <w:rsid w:val="00F85BF2"/>
    <w:rsid w:val="00F8687A"/>
    <w:rsid w:val="00F90DBA"/>
    <w:rsid w:val="00F9247A"/>
    <w:rsid w:val="00F94C5A"/>
    <w:rsid w:val="00FA1D54"/>
    <w:rsid w:val="00FA1E02"/>
    <w:rsid w:val="00FA46EE"/>
    <w:rsid w:val="00FA6DCD"/>
    <w:rsid w:val="00FB0B8D"/>
    <w:rsid w:val="00FB0C6E"/>
    <w:rsid w:val="00FB1CC8"/>
    <w:rsid w:val="00FB3ABC"/>
    <w:rsid w:val="00FB478E"/>
    <w:rsid w:val="00FC00B4"/>
    <w:rsid w:val="00FC0FE1"/>
    <w:rsid w:val="00FC1563"/>
    <w:rsid w:val="00FC1C83"/>
    <w:rsid w:val="00FC2761"/>
    <w:rsid w:val="00FC30BD"/>
    <w:rsid w:val="00FC3136"/>
    <w:rsid w:val="00FC4FD4"/>
    <w:rsid w:val="00FC5DDA"/>
    <w:rsid w:val="00FD2269"/>
    <w:rsid w:val="00FD2450"/>
    <w:rsid w:val="00FD2D3E"/>
    <w:rsid w:val="00FD3A39"/>
    <w:rsid w:val="00FD3DDD"/>
    <w:rsid w:val="00FD450B"/>
    <w:rsid w:val="00FD535B"/>
    <w:rsid w:val="00FD5C66"/>
    <w:rsid w:val="00FD737B"/>
    <w:rsid w:val="00FE0002"/>
    <w:rsid w:val="00FE21D8"/>
    <w:rsid w:val="00FE297C"/>
    <w:rsid w:val="00FE4FC5"/>
    <w:rsid w:val="00FE5C17"/>
    <w:rsid w:val="00FE7504"/>
    <w:rsid w:val="00FF0C0C"/>
    <w:rsid w:val="00FF1FD5"/>
    <w:rsid w:val="00FF3679"/>
    <w:rsid w:val="00FF4673"/>
    <w:rsid w:val="00FF581D"/>
    <w:rsid w:val="00FF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8CA914E"/>
  <w15:docId w15:val="{F92D98D1-EECD-4AC9-9400-D465BD78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CD"/>
    <w:pPr>
      <w:overflowPunct w:val="0"/>
      <w:autoSpaceDE w:val="0"/>
      <w:autoSpaceDN w:val="0"/>
      <w:adjustRightInd w:val="0"/>
      <w:spacing w:after="120"/>
      <w:jc w:val="both"/>
      <w:textAlignment w:val="baseline"/>
    </w:pPr>
    <w:rPr>
      <w:rFonts w:asciiTheme="minorHAnsi" w:hAnsiTheme="minorHAnsi" w:cs="Arial"/>
      <w:sz w:val="22"/>
      <w:lang w:eastAsia="fr-BE"/>
    </w:rPr>
  </w:style>
  <w:style w:type="paragraph" w:styleId="Heading1">
    <w:name w:val="heading 1"/>
    <w:aliases w:val="Del Level 1"/>
    <w:basedOn w:val="Normal"/>
    <w:next w:val="Normal"/>
    <w:link w:val="Heading1Char"/>
    <w:uiPriority w:val="9"/>
    <w:qFormat/>
    <w:rsid w:val="00816135"/>
    <w:pPr>
      <w:keepNext/>
      <w:numPr>
        <w:numId w:val="2"/>
      </w:numPr>
      <w:spacing w:before="240" w:after="240"/>
      <w:ind w:left="431" w:hanging="431"/>
      <w:jc w:val="center"/>
      <w:outlineLvl w:val="0"/>
    </w:pPr>
    <w:rPr>
      <w:b/>
      <w:bCs/>
      <w:caps/>
      <w:kern w:val="28"/>
      <w:sz w:val="24"/>
      <w:szCs w:val="28"/>
    </w:rPr>
  </w:style>
  <w:style w:type="paragraph" w:styleId="Heading2">
    <w:name w:val="heading 2"/>
    <w:aliases w:val="Del Level 2"/>
    <w:basedOn w:val="Heading1"/>
    <w:next w:val="Normal"/>
    <w:link w:val="Heading2Char"/>
    <w:uiPriority w:val="9"/>
    <w:qFormat/>
    <w:rsid w:val="005E1679"/>
    <w:pPr>
      <w:numPr>
        <w:ilvl w:val="1"/>
      </w:numPr>
      <w:spacing w:before="0" w:after="120"/>
      <w:ind w:left="578" w:hanging="578"/>
      <w:jc w:val="left"/>
      <w:outlineLvl w:val="1"/>
    </w:pPr>
    <w:rPr>
      <w:bCs w:val="0"/>
      <w:iCs/>
      <w:caps w:val="0"/>
      <w:sz w:val="22"/>
      <w:szCs w:val="24"/>
    </w:rPr>
  </w:style>
  <w:style w:type="paragraph" w:styleId="Heading3">
    <w:name w:val="heading 3"/>
    <w:aliases w:val="Del Level 3"/>
    <w:basedOn w:val="Heading2"/>
    <w:next w:val="Normal"/>
    <w:link w:val="Heading3Char"/>
    <w:uiPriority w:val="9"/>
    <w:qFormat/>
    <w:rsid w:val="00CC3314"/>
    <w:pPr>
      <w:numPr>
        <w:ilvl w:val="2"/>
      </w:numPr>
      <w:spacing w:before="120"/>
      <w:outlineLvl w:val="2"/>
    </w:pPr>
    <w:rPr>
      <w:rFonts w:cs="Times New Roman"/>
      <w:b w:val="0"/>
      <w:bCs/>
    </w:rPr>
  </w:style>
  <w:style w:type="paragraph" w:styleId="Heading4">
    <w:name w:val="heading 4"/>
    <w:basedOn w:val="Normal"/>
    <w:next w:val="Normal"/>
    <w:link w:val="Heading4Char"/>
    <w:uiPriority w:val="99"/>
    <w:rsid w:val="002B7498"/>
    <w:pPr>
      <w:keepNext/>
      <w:numPr>
        <w:ilvl w:val="3"/>
        <w:numId w:val="2"/>
      </w:numPr>
      <w:spacing w:before="240" w:after="60"/>
      <w:outlineLvl w:val="3"/>
    </w:pPr>
    <w:rPr>
      <w:rFonts w:cs="Times New Roman"/>
      <w:b/>
      <w:bCs/>
      <w:i/>
      <w:iCs/>
      <w:sz w:val="24"/>
      <w:szCs w:val="24"/>
    </w:rPr>
  </w:style>
  <w:style w:type="paragraph" w:styleId="Heading5">
    <w:name w:val="heading 5"/>
    <w:basedOn w:val="Normal"/>
    <w:next w:val="Normal"/>
    <w:link w:val="Heading5Char"/>
    <w:uiPriority w:val="99"/>
    <w:rsid w:val="002B7498"/>
    <w:pPr>
      <w:numPr>
        <w:ilvl w:val="4"/>
        <w:numId w:val="2"/>
      </w:numPr>
      <w:spacing w:before="240" w:after="60"/>
      <w:outlineLvl w:val="4"/>
    </w:pPr>
    <w:rPr>
      <w:szCs w:val="22"/>
    </w:rPr>
  </w:style>
  <w:style w:type="paragraph" w:styleId="Heading6">
    <w:name w:val="heading 6"/>
    <w:basedOn w:val="Normal"/>
    <w:next w:val="Normal"/>
    <w:link w:val="Heading6Char"/>
    <w:uiPriority w:val="99"/>
    <w:rsid w:val="002B7498"/>
    <w:pPr>
      <w:numPr>
        <w:ilvl w:val="5"/>
        <w:numId w:val="2"/>
      </w:numPr>
      <w:spacing w:before="240" w:after="60"/>
      <w:outlineLvl w:val="5"/>
    </w:pPr>
    <w:rPr>
      <w:i/>
      <w:iCs/>
      <w:szCs w:val="22"/>
    </w:rPr>
  </w:style>
  <w:style w:type="paragraph" w:styleId="Heading7">
    <w:name w:val="heading 7"/>
    <w:basedOn w:val="Normal"/>
    <w:next w:val="Normal"/>
    <w:link w:val="Heading7Char"/>
    <w:uiPriority w:val="99"/>
    <w:rsid w:val="002B7498"/>
    <w:pPr>
      <w:numPr>
        <w:ilvl w:val="6"/>
        <w:numId w:val="2"/>
      </w:numPr>
      <w:spacing w:before="240" w:after="60"/>
      <w:outlineLvl w:val="6"/>
    </w:pPr>
  </w:style>
  <w:style w:type="paragraph" w:styleId="Heading8">
    <w:name w:val="heading 8"/>
    <w:basedOn w:val="Normal"/>
    <w:next w:val="Normal"/>
    <w:link w:val="Heading8Char"/>
    <w:uiPriority w:val="99"/>
    <w:rsid w:val="002B7498"/>
    <w:pPr>
      <w:numPr>
        <w:ilvl w:val="7"/>
        <w:numId w:val="2"/>
      </w:numPr>
      <w:spacing w:before="240" w:after="60"/>
      <w:outlineLvl w:val="7"/>
    </w:pPr>
    <w:rPr>
      <w:i/>
      <w:iCs/>
    </w:rPr>
  </w:style>
  <w:style w:type="paragraph" w:styleId="Heading9">
    <w:name w:val="heading 9"/>
    <w:basedOn w:val="Normal"/>
    <w:next w:val="Normal"/>
    <w:link w:val="Heading9Char"/>
    <w:uiPriority w:val="99"/>
    <w:rsid w:val="002B7498"/>
    <w:pPr>
      <w:numPr>
        <w:ilvl w:val="8"/>
        <w:numId w:val="2"/>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l Level 1 Char"/>
    <w:link w:val="Heading1"/>
    <w:uiPriority w:val="9"/>
    <w:rsid w:val="00816135"/>
    <w:rPr>
      <w:rFonts w:asciiTheme="minorHAnsi" w:hAnsiTheme="minorHAnsi" w:cs="Arial"/>
      <w:b/>
      <w:bCs/>
      <w:caps/>
      <w:kern w:val="28"/>
      <w:sz w:val="24"/>
      <w:szCs w:val="28"/>
      <w:lang w:eastAsia="fr-BE"/>
    </w:rPr>
  </w:style>
  <w:style w:type="character" w:customStyle="1" w:styleId="Heading2Char">
    <w:name w:val="Heading 2 Char"/>
    <w:aliases w:val="Del Level 2 Char"/>
    <w:link w:val="Heading2"/>
    <w:uiPriority w:val="9"/>
    <w:rsid w:val="005E1679"/>
    <w:rPr>
      <w:rFonts w:asciiTheme="minorHAnsi" w:hAnsiTheme="minorHAnsi" w:cs="Arial"/>
      <w:b/>
      <w:iCs/>
      <w:kern w:val="28"/>
      <w:sz w:val="22"/>
      <w:szCs w:val="24"/>
      <w:lang w:eastAsia="fr-BE"/>
    </w:rPr>
  </w:style>
  <w:style w:type="character" w:customStyle="1" w:styleId="Heading3Char">
    <w:name w:val="Heading 3 Char"/>
    <w:aliases w:val="Del Level 3 Char"/>
    <w:link w:val="Heading3"/>
    <w:uiPriority w:val="9"/>
    <w:rsid w:val="00CC3314"/>
    <w:rPr>
      <w:bCs/>
      <w:iCs/>
      <w:kern w:val="28"/>
      <w:sz w:val="22"/>
      <w:szCs w:val="24"/>
      <w:lang w:eastAsia="fr-BE"/>
    </w:rPr>
  </w:style>
  <w:style w:type="character" w:customStyle="1" w:styleId="Heading4Char">
    <w:name w:val="Heading 4 Char"/>
    <w:link w:val="Heading4"/>
    <w:uiPriority w:val="99"/>
    <w:rsid w:val="009A4BA4"/>
    <w:rPr>
      <w:b/>
      <w:bCs/>
      <w:i/>
      <w:iCs/>
      <w:sz w:val="24"/>
      <w:szCs w:val="24"/>
      <w:lang w:eastAsia="fr-BE"/>
    </w:rPr>
  </w:style>
  <w:style w:type="character" w:customStyle="1" w:styleId="Heading5Char">
    <w:name w:val="Heading 5 Char"/>
    <w:link w:val="Heading5"/>
    <w:uiPriority w:val="99"/>
    <w:rsid w:val="009A4BA4"/>
    <w:rPr>
      <w:rFonts w:ascii="Arial" w:hAnsi="Arial" w:cs="Arial"/>
      <w:sz w:val="22"/>
      <w:szCs w:val="22"/>
      <w:lang w:eastAsia="fr-BE"/>
    </w:rPr>
  </w:style>
  <w:style w:type="character" w:customStyle="1" w:styleId="Heading6Char">
    <w:name w:val="Heading 6 Char"/>
    <w:link w:val="Heading6"/>
    <w:uiPriority w:val="99"/>
    <w:rsid w:val="009A4BA4"/>
    <w:rPr>
      <w:rFonts w:ascii="Arial" w:hAnsi="Arial" w:cs="Arial"/>
      <w:i/>
      <w:iCs/>
      <w:sz w:val="22"/>
      <w:szCs w:val="22"/>
      <w:lang w:eastAsia="fr-BE"/>
    </w:rPr>
  </w:style>
  <w:style w:type="character" w:customStyle="1" w:styleId="Heading7Char">
    <w:name w:val="Heading 7 Char"/>
    <w:link w:val="Heading7"/>
    <w:uiPriority w:val="99"/>
    <w:rsid w:val="009A4BA4"/>
    <w:rPr>
      <w:rFonts w:ascii="Arial" w:hAnsi="Arial" w:cs="Arial"/>
      <w:sz w:val="22"/>
      <w:lang w:eastAsia="fr-BE"/>
    </w:rPr>
  </w:style>
  <w:style w:type="character" w:customStyle="1" w:styleId="Heading8Char">
    <w:name w:val="Heading 8 Char"/>
    <w:link w:val="Heading8"/>
    <w:uiPriority w:val="99"/>
    <w:rsid w:val="009A4BA4"/>
    <w:rPr>
      <w:rFonts w:ascii="Arial" w:hAnsi="Arial" w:cs="Arial"/>
      <w:i/>
      <w:iCs/>
      <w:sz w:val="22"/>
      <w:lang w:eastAsia="fr-BE"/>
    </w:rPr>
  </w:style>
  <w:style w:type="character" w:customStyle="1" w:styleId="Heading9Char">
    <w:name w:val="Heading 9 Char"/>
    <w:link w:val="Heading9"/>
    <w:uiPriority w:val="99"/>
    <w:rsid w:val="009A4BA4"/>
    <w:rPr>
      <w:rFonts w:ascii="Arial" w:hAnsi="Arial" w:cs="Arial"/>
      <w:i/>
      <w:iCs/>
      <w:sz w:val="18"/>
      <w:szCs w:val="18"/>
      <w:lang w:eastAsia="fr-BE"/>
    </w:rPr>
  </w:style>
  <w:style w:type="paragraph" w:styleId="Header">
    <w:name w:val="header"/>
    <w:basedOn w:val="Normal"/>
    <w:link w:val="HeaderChar"/>
    <w:uiPriority w:val="99"/>
    <w:rsid w:val="002B7498"/>
    <w:pPr>
      <w:tabs>
        <w:tab w:val="center" w:pos="4153"/>
        <w:tab w:val="right" w:pos="8306"/>
      </w:tabs>
    </w:pPr>
  </w:style>
  <w:style w:type="character" w:customStyle="1" w:styleId="HeaderChar">
    <w:name w:val="Header Char"/>
    <w:link w:val="Header"/>
    <w:uiPriority w:val="99"/>
    <w:rsid w:val="009A4BA4"/>
    <w:rPr>
      <w:rFonts w:ascii="Arial" w:hAnsi="Arial" w:cs="Arial"/>
      <w:sz w:val="20"/>
      <w:szCs w:val="20"/>
      <w:lang w:val="en-GB"/>
    </w:rPr>
  </w:style>
  <w:style w:type="paragraph" w:styleId="Footer">
    <w:name w:val="footer"/>
    <w:basedOn w:val="Normal"/>
    <w:link w:val="FooterChar"/>
    <w:uiPriority w:val="99"/>
    <w:rsid w:val="002B7498"/>
    <w:pPr>
      <w:tabs>
        <w:tab w:val="center" w:pos="4153"/>
        <w:tab w:val="right" w:pos="8306"/>
      </w:tabs>
    </w:pPr>
  </w:style>
  <w:style w:type="character" w:customStyle="1" w:styleId="FooterChar">
    <w:name w:val="Footer Char"/>
    <w:link w:val="Footer"/>
    <w:uiPriority w:val="99"/>
    <w:rsid w:val="009A4BA4"/>
    <w:rPr>
      <w:rFonts w:ascii="Arial" w:hAnsi="Arial" w:cs="Arial"/>
      <w:sz w:val="20"/>
      <w:szCs w:val="20"/>
      <w:lang w:val="en-GB"/>
    </w:rPr>
  </w:style>
  <w:style w:type="paragraph" w:styleId="TOC1">
    <w:name w:val="toc 1"/>
    <w:basedOn w:val="Normal"/>
    <w:next w:val="Normal"/>
    <w:autoRedefine/>
    <w:uiPriority w:val="39"/>
    <w:rsid w:val="00A84AA9"/>
    <w:pPr>
      <w:tabs>
        <w:tab w:val="right" w:leader="dot" w:pos="8312"/>
      </w:tabs>
    </w:pPr>
    <w:rPr>
      <w:sz w:val="24"/>
    </w:rPr>
  </w:style>
  <w:style w:type="paragraph" w:styleId="TOC2">
    <w:name w:val="toc 2"/>
    <w:basedOn w:val="Normal"/>
    <w:next w:val="Normal"/>
    <w:autoRedefine/>
    <w:uiPriority w:val="39"/>
    <w:rsid w:val="002B7498"/>
    <w:pPr>
      <w:tabs>
        <w:tab w:val="right" w:leader="dot" w:pos="8312"/>
      </w:tabs>
      <w:ind w:left="200"/>
    </w:pPr>
  </w:style>
  <w:style w:type="paragraph" w:styleId="TOC3">
    <w:name w:val="toc 3"/>
    <w:basedOn w:val="Normal"/>
    <w:next w:val="Normal"/>
    <w:autoRedefine/>
    <w:uiPriority w:val="39"/>
    <w:rsid w:val="000E6E7C"/>
    <w:pPr>
      <w:tabs>
        <w:tab w:val="left" w:pos="1200"/>
        <w:tab w:val="right" w:leader="dot" w:pos="8312"/>
      </w:tabs>
      <w:ind w:left="200"/>
    </w:pPr>
    <w:rPr>
      <w:sz w:val="16"/>
    </w:rPr>
  </w:style>
  <w:style w:type="paragraph" w:styleId="TOC4">
    <w:name w:val="toc 4"/>
    <w:basedOn w:val="Normal"/>
    <w:next w:val="Normal"/>
    <w:autoRedefine/>
    <w:uiPriority w:val="99"/>
    <w:semiHidden/>
    <w:rsid w:val="002B7498"/>
    <w:pPr>
      <w:tabs>
        <w:tab w:val="right" w:leader="dot" w:pos="8312"/>
      </w:tabs>
      <w:ind w:left="600"/>
    </w:pPr>
  </w:style>
  <w:style w:type="paragraph" w:styleId="TOC5">
    <w:name w:val="toc 5"/>
    <w:basedOn w:val="Normal"/>
    <w:next w:val="Normal"/>
    <w:autoRedefine/>
    <w:uiPriority w:val="99"/>
    <w:semiHidden/>
    <w:rsid w:val="002B7498"/>
    <w:pPr>
      <w:tabs>
        <w:tab w:val="right" w:leader="dot" w:pos="8312"/>
      </w:tabs>
      <w:ind w:left="800"/>
    </w:pPr>
  </w:style>
  <w:style w:type="paragraph" w:styleId="TOC6">
    <w:name w:val="toc 6"/>
    <w:basedOn w:val="Normal"/>
    <w:next w:val="Normal"/>
    <w:autoRedefine/>
    <w:uiPriority w:val="99"/>
    <w:semiHidden/>
    <w:rsid w:val="002B7498"/>
    <w:pPr>
      <w:tabs>
        <w:tab w:val="right" w:leader="dot" w:pos="8312"/>
      </w:tabs>
      <w:ind w:left="1000"/>
    </w:pPr>
  </w:style>
  <w:style w:type="paragraph" w:styleId="TOC7">
    <w:name w:val="toc 7"/>
    <w:basedOn w:val="Normal"/>
    <w:next w:val="Normal"/>
    <w:autoRedefine/>
    <w:uiPriority w:val="99"/>
    <w:semiHidden/>
    <w:rsid w:val="002B7498"/>
    <w:pPr>
      <w:tabs>
        <w:tab w:val="right" w:leader="dot" w:pos="8312"/>
      </w:tabs>
      <w:ind w:left="1200"/>
    </w:pPr>
  </w:style>
  <w:style w:type="paragraph" w:styleId="TOC8">
    <w:name w:val="toc 8"/>
    <w:basedOn w:val="Normal"/>
    <w:next w:val="Normal"/>
    <w:autoRedefine/>
    <w:uiPriority w:val="99"/>
    <w:semiHidden/>
    <w:rsid w:val="002B7498"/>
    <w:pPr>
      <w:tabs>
        <w:tab w:val="right" w:leader="dot" w:pos="8312"/>
      </w:tabs>
      <w:ind w:left="1400"/>
    </w:pPr>
  </w:style>
  <w:style w:type="paragraph" w:styleId="TOC9">
    <w:name w:val="toc 9"/>
    <w:basedOn w:val="Normal"/>
    <w:next w:val="Normal"/>
    <w:autoRedefine/>
    <w:uiPriority w:val="99"/>
    <w:semiHidden/>
    <w:rsid w:val="002B7498"/>
    <w:pPr>
      <w:tabs>
        <w:tab w:val="right" w:leader="dot" w:pos="8312"/>
      </w:tabs>
      <w:ind w:left="1600"/>
    </w:pPr>
  </w:style>
  <w:style w:type="paragraph" w:styleId="BodyTextIndent2">
    <w:name w:val="Body Text Indent 2"/>
    <w:basedOn w:val="Normal"/>
    <w:link w:val="BodyTextIndent2Char"/>
    <w:uiPriority w:val="99"/>
    <w:rsid w:val="002B7498"/>
    <w:pPr>
      <w:tabs>
        <w:tab w:val="left" w:pos="0"/>
        <w:tab w:val="left" w:pos="510"/>
        <w:tab w:val="left" w:pos="1077"/>
        <w:tab w:val="left" w:pos="1588"/>
        <w:tab w:val="left" w:pos="1984"/>
        <w:tab w:val="left" w:pos="2381"/>
        <w:tab w:val="left" w:pos="2891"/>
      </w:tabs>
      <w:ind w:left="510"/>
    </w:pPr>
    <w:rPr>
      <w:rFonts w:cs="Times New Roman"/>
      <w:spacing w:val="-3"/>
      <w:szCs w:val="22"/>
    </w:rPr>
  </w:style>
  <w:style w:type="character" w:customStyle="1" w:styleId="BodyTextIndent2Char">
    <w:name w:val="Body Text Indent 2 Char"/>
    <w:link w:val="BodyTextIndent2"/>
    <w:uiPriority w:val="99"/>
    <w:semiHidden/>
    <w:rsid w:val="009A4BA4"/>
    <w:rPr>
      <w:rFonts w:ascii="Arial" w:hAnsi="Arial" w:cs="Arial"/>
      <w:sz w:val="20"/>
      <w:szCs w:val="20"/>
      <w:lang w:val="en-GB"/>
    </w:rPr>
  </w:style>
  <w:style w:type="paragraph" w:customStyle="1" w:styleId="aictextecourant">
    <w:name w:val="aic:texte courant"/>
    <w:basedOn w:val="Normal"/>
    <w:uiPriority w:val="99"/>
    <w:rsid w:val="002B7498"/>
    <w:pPr>
      <w:spacing w:line="480" w:lineRule="auto"/>
      <w:ind w:firstLine="284"/>
    </w:pPr>
    <w:rPr>
      <w:rFonts w:cs="Times New Roman"/>
      <w:szCs w:val="22"/>
      <w:lang w:val="fr-FR"/>
    </w:rPr>
  </w:style>
  <w:style w:type="paragraph" w:styleId="CommentText">
    <w:name w:val="annotation text"/>
    <w:basedOn w:val="Normal"/>
    <w:link w:val="CommentTextChar"/>
    <w:uiPriority w:val="99"/>
    <w:rsid w:val="002B7498"/>
    <w:rPr>
      <w:rFonts w:cs="Times New Roman"/>
      <w:lang w:val="en-US"/>
    </w:rPr>
  </w:style>
  <w:style w:type="character" w:customStyle="1" w:styleId="CommentTextChar">
    <w:name w:val="Comment Text Char"/>
    <w:link w:val="CommentText"/>
    <w:uiPriority w:val="99"/>
    <w:rsid w:val="009A4BA4"/>
    <w:rPr>
      <w:rFonts w:ascii="Arial" w:hAnsi="Arial" w:cs="Arial"/>
      <w:sz w:val="20"/>
      <w:szCs w:val="20"/>
      <w:lang w:val="en-GB"/>
    </w:rPr>
  </w:style>
  <w:style w:type="paragraph" w:styleId="BodyText3">
    <w:name w:val="Body Text 3"/>
    <w:basedOn w:val="Normal"/>
    <w:link w:val="BodyText3Char"/>
    <w:rsid w:val="002B7498"/>
    <w:pPr>
      <w:jc w:val="center"/>
    </w:pPr>
    <w:rPr>
      <w:rFonts w:cs="Times New Roman"/>
      <w:b/>
      <w:bCs/>
      <w:sz w:val="48"/>
      <w:szCs w:val="48"/>
    </w:rPr>
  </w:style>
  <w:style w:type="character" w:customStyle="1" w:styleId="BodyText3Char">
    <w:name w:val="Body Text 3 Char"/>
    <w:link w:val="BodyText3"/>
    <w:uiPriority w:val="99"/>
    <w:semiHidden/>
    <w:rsid w:val="009A4BA4"/>
    <w:rPr>
      <w:rFonts w:ascii="Arial" w:hAnsi="Arial" w:cs="Arial"/>
      <w:sz w:val="16"/>
      <w:szCs w:val="16"/>
      <w:lang w:val="en-GB"/>
    </w:rPr>
  </w:style>
  <w:style w:type="character" w:styleId="Hyperlink">
    <w:name w:val="Hyperlink"/>
    <w:uiPriority w:val="99"/>
    <w:rsid w:val="002B7498"/>
    <w:rPr>
      <w:color w:val="0000FF"/>
      <w:u w:val="single"/>
    </w:rPr>
  </w:style>
  <w:style w:type="paragraph" w:styleId="Title">
    <w:name w:val="Title"/>
    <w:basedOn w:val="Normal"/>
    <w:link w:val="TitleChar"/>
    <w:uiPriority w:val="99"/>
    <w:rsid w:val="002B7498"/>
    <w:pPr>
      <w:jc w:val="center"/>
    </w:pPr>
    <w:rPr>
      <w:rFonts w:cs="Times New Roman"/>
      <w:b/>
      <w:bCs/>
      <w:sz w:val="32"/>
      <w:szCs w:val="32"/>
    </w:rPr>
  </w:style>
  <w:style w:type="character" w:customStyle="1" w:styleId="TitleChar">
    <w:name w:val="Title Char"/>
    <w:link w:val="Title"/>
    <w:uiPriority w:val="10"/>
    <w:rsid w:val="009A4BA4"/>
    <w:rPr>
      <w:rFonts w:ascii="Cambria" w:eastAsia="Times New Roman" w:hAnsi="Cambria" w:cs="Times New Roman"/>
      <w:b/>
      <w:bCs/>
      <w:kern w:val="28"/>
      <w:sz w:val="32"/>
      <w:szCs w:val="32"/>
      <w:lang w:val="en-GB"/>
    </w:rPr>
  </w:style>
  <w:style w:type="character" w:styleId="FollowedHyperlink">
    <w:name w:val="FollowedHyperlink"/>
    <w:uiPriority w:val="99"/>
    <w:rsid w:val="002B7498"/>
    <w:rPr>
      <w:color w:val="800080"/>
      <w:u w:val="single"/>
    </w:rPr>
  </w:style>
  <w:style w:type="character" w:styleId="PageNumber">
    <w:name w:val="page number"/>
    <w:basedOn w:val="DefaultParagraphFont"/>
    <w:uiPriority w:val="99"/>
    <w:semiHidden/>
    <w:rsid w:val="002B7498"/>
  </w:style>
  <w:style w:type="paragraph" w:styleId="DocumentMap">
    <w:name w:val="Document Map"/>
    <w:basedOn w:val="Normal"/>
    <w:link w:val="DocumentMapChar"/>
    <w:uiPriority w:val="99"/>
    <w:semiHidden/>
    <w:unhideWhenUsed/>
    <w:rsid w:val="004C4FD4"/>
    <w:rPr>
      <w:rFonts w:ascii="Tahoma" w:hAnsi="Tahoma" w:cs="Tahoma"/>
      <w:sz w:val="16"/>
      <w:szCs w:val="16"/>
    </w:rPr>
  </w:style>
  <w:style w:type="character" w:customStyle="1" w:styleId="DocumentMapChar">
    <w:name w:val="Document Map Char"/>
    <w:link w:val="DocumentMap"/>
    <w:uiPriority w:val="99"/>
    <w:semiHidden/>
    <w:rsid w:val="004C4FD4"/>
    <w:rPr>
      <w:rFonts w:ascii="Tahoma" w:hAnsi="Tahoma" w:cs="Tahoma"/>
      <w:sz w:val="16"/>
      <w:szCs w:val="16"/>
      <w:lang w:val="en-GB"/>
    </w:rPr>
  </w:style>
  <w:style w:type="paragraph" w:styleId="BalloonText">
    <w:name w:val="Balloon Text"/>
    <w:basedOn w:val="Normal"/>
    <w:link w:val="BalloonTextChar"/>
    <w:uiPriority w:val="99"/>
    <w:semiHidden/>
    <w:unhideWhenUsed/>
    <w:rsid w:val="001B4914"/>
    <w:rPr>
      <w:rFonts w:ascii="Tahoma" w:hAnsi="Tahoma" w:cs="Tahoma"/>
      <w:sz w:val="16"/>
      <w:szCs w:val="16"/>
    </w:rPr>
  </w:style>
  <w:style w:type="character" w:customStyle="1" w:styleId="BalloonTextChar">
    <w:name w:val="Balloon Text Char"/>
    <w:link w:val="BalloonText"/>
    <w:uiPriority w:val="99"/>
    <w:semiHidden/>
    <w:rsid w:val="001B4914"/>
    <w:rPr>
      <w:rFonts w:ascii="Tahoma" w:hAnsi="Tahoma" w:cs="Tahoma"/>
      <w:sz w:val="16"/>
      <w:szCs w:val="16"/>
      <w:lang w:val="en-GB"/>
    </w:rPr>
  </w:style>
  <w:style w:type="character" w:styleId="CommentReference">
    <w:name w:val="annotation reference"/>
    <w:uiPriority w:val="99"/>
    <w:semiHidden/>
    <w:rsid w:val="00C6409A"/>
    <w:rPr>
      <w:sz w:val="16"/>
      <w:szCs w:val="16"/>
    </w:rPr>
  </w:style>
  <w:style w:type="paragraph" w:styleId="CommentSubject">
    <w:name w:val="annotation subject"/>
    <w:basedOn w:val="CommentText"/>
    <w:next w:val="CommentText"/>
    <w:link w:val="CommentSubjectChar"/>
    <w:uiPriority w:val="99"/>
    <w:semiHidden/>
    <w:rsid w:val="00C6409A"/>
    <w:rPr>
      <w:rFonts w:cs="Arial"/>
      <w:b/>
      <w:bCs/>
      <w:lang w:val="en-GB"/>
    </w:rPr>
  </w:style>
  <w:style w:type="table" w:styleId="TableGrid">
    <w:name w:val="Table Grid"/>
    <w:basedOn w:val="TableNormal"/>
    <w:uiPriority w:val="39"/>
    <w:rsid w:val="003A30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semiHidden/>
    <w:unhideWhenUsed/>
    <w:rsid w:val="00961CA6"/>
    <w:pPr>
      <w:ind w:left="200" w:hanging="200"/>
    </w:pPr>
  </w:style>
  <w:style w:type="paragraph" w:styleId="IndexHeading">
    <w:name w:val="index heading"/>
    <w:basedOn w:val="Normal"/>
    <w:next w:val="Index1"/>
    <w:uiPriority w:val="99"/>
    <w:rsid w:val="00961CA6"/>
    <w:pPr>
      <w:overflowPunct/>
      <w:autoSpaceDE/>
      <w:autoSpaceDN/>
      <w:adjustRightInd/>
      <w:textAlignment w:val="auto"/>
    </w:pPr>
    <w:rPr>
      <w:rFonts w:cs="Times New Roman"/>
      <w:lang w:eastAsia="fr-FR"/>
    </w:rPr>
  </w:style>
  <w:style w:type="paragraph" w:styleId="ListParagraph">
    <w:name w:val="List Paragraph"/>
    <w:basedOn w:val="Normal"/>
    <w:uiPriority w:val="34"/>
    <w:qFormat/>
    <w:rsid w:val="003E1E2A"/>
    <w:pPr>
      <w:ind w:left="720"/>
      <w:contextualSpacing/>
    </w:pPr>
  </w:style>
  <w:style w:type="paragraph" w:styleId="TOCHeading">
    <w:name w:val="TOC Heading"/>
    <w:basedOn w:val="Heading1"/>
    <w:next w:val="Normal"/>
    <w:uiPriority w:val="39"/>
    <w:unhideWhenUsed/>
    <w:qFormat/>
    <w:rsid w:val="00013B45"/>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customStyle="1" w:styleId="apple-converted-space">
    <w:name w:val="apple-converted-space"/>
    <w:basedOn w:val="DefaultParagraphFont"/>
    <w:rsid w:val="00B532B5"/>
  </w:style>
  <w:style w:type="paragraph" w:styleId="NormalWeb">
    <w:name w:val="Normal (Web)"/>
    <w:basedOn w:val="Normal"/>
    <w:uiPriority w:val="99"/>
    <w:unhideWhenUsed/>
    <w:rsid w:val="00B532B5"/>
    <w:pPr>
      <w:overflowPunct/>
      <w:autoSpaceDE/>
      <w:autoSpaceDN/>
      <w:adjustRightInd/>
      <w:spacing w:before="100" w:beforeAutospacing="1" w:after="100" w:afterAutospacing="1"/>
      <w:jc w:val="left"/>
      <w:textAlignment w:val="auto"/>
    </w:pPr>
    <w:rPr>
      <w:rFonts w:cs="Times New Roman"/>
      <w:sz w:val="24"/>
      <w:szCs w:val="24"/>
      <w:lang w:eastAsia="en-GB"/>
    </w:rPr>
  </w:style>
  <w:style w:type="character" w:styleId="Strong">
    <w:name w:val="Strong"/>
    <w:basedOn w:val="DefaultParagraphFont"/>
    <w:uiPriority w:val="22"/>
    <w:qFormat/>
    <w:rsid w:val="00B532B5"/>
    <w:rPr>
      <w:b/>
      <w:bCs/>
    </w:rPr>
  </w:style>
  <w:style w:type="paragraph" w:styleId="BodyTextIndent">
    <w:name w:val="Body Text Indent"/>
    <w:basedOn w:val="Normal"/>
    <w:link w:val="BodyTextIndentChar"/>
    <w:unhideWhenUsed/>
    <w:rsid w:val="003C66C9"/>
    <w:pPr>
      <w:overflowPunct/>
      <w:autoSpaceDE/>
      <w:autoSpaceDN/>
      <w:adjustRightInd/>
      <w:spacing w:line="276" w:lineRule="auto"/>
      <w:ind w:left="283"/>
      <w:jc w:val="left"/>
      <w:textAlignment w:val="auto"/>
    </w:pPr>
    <w:rPr>
      <w:rFonts w:eastAsiaTheme="minorEastAsia" w:cstheme="minorBidi"/>
      <w:szCs w:val="22"/>
      <w:lang w:eastAsia="bg-BG"/>
    </w:rPr>
  </w:style>
  <w:style w:type="character" w:customStyle="1" w:styleId="BodyTextIndentChar">
    <w:name w:val="Body Text Indent Char"/>
    <w:basedOn w:val="DefaultParagraphFont"/>
    <w:link w:val="BodyTextIndent"/>
    <w:rsid w:val="003C66C9"/>
    <w:rPr>
      <w:rFonts w:asciiTheme="minorHAnsi" w:eastAsiaTheme="minorEastAsia" w:hAnsiTheme="minorHAnsi" w:cstheme="minorBidi"/>
      <w:sz w:val="22"/>
      <w:szCs w:val="22"/>
      <w:lang w:eastAsia="bg-BG"/>
    </w:rPr>
  </w:style>
  <w:style w:type="table" w:customStyle="1" w:styleId="LightList-Accent117">
    <w:name w:val="Light List - Accent 117"/>
    <w:basedOn w:val="TableNormal"/>
    <w:uiPriority w:val="61"/>
    <w:rsid w:val="003C66C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pple-tab-span">
    <w:name w:val="apple-tab-span"/>
    <w:basedOn w:val="DefaultParagraphFont"/>
    <w:rsid w:val="00F75643"/>
  </w:style>
  <w:style w:type="character" w:styleId="Emphasis">
    <w:name w:val="Emphasis"/>
    <w:basedOn w:val="DefaultParagraphFont"/>
    <w:uiPriority w:val="20"/>
    <w:qFormat/>
    <w:rsid w:val="00F75643"/>
    <w:rPr>
      <w:i/>
      <w:iCs/>
    </w:rPr>
  </w:style>
  <w:style w:type="character" w:customStyle="1" w:styleId="Mention1">
    <w:name w:val="Mention1"/>
    <w:basedOn w:val="DefaultParagraphFont"/>
    <w:uiPriority w:val="99"/>
    <w:semiHidden/>
    <w:unhideWhenUsed/>
    <w:rsid w:val="00F75643"/>
    <w:rPr>
      <w:color w:val="2B579A"/>
      <w:shd w:val="clear" w:color="auto" w:fill="E6E6E6"/>
    </w:rPr>
  </w:style>
  <w:style w:type="paragraph" w:styleId="Caption">
    <w:name w:val="caption"/>
    <w:basedOn w:val="Normal"/>
    <w:next w:val="Normal"/>
    <w:uiPriority w:val="35"/>
    <w:unhideWhenUsed/>
    <w:qFormat/>
    <w:rsid w:val="00DA1BAF"/>
    <w:pPr>
      <w:overflowPunct/>
      <w:autoSpaceDE/>
      <w:autoSpaceDN/>
      <w:adjustRightInd/>
      <w:spacing w:after="200"/>
      <w:jc w:val="left"/>
      <w:textAlignment w:val="auto"/>
    </w:pPr>
    <w:rPr>
      <w:rFonts w:eastAsiaTheme="minorHAnsi" w:cstheme="minorBidi"/>
      <w:b/>
      <w:bCs/>
      <w:sz w:val="20"/>
      <w:szCs w:val="18"/>
      <w:lang w:eastAsia="en-US"/>
    </w:rPr>
  </w:style>
  <w:style w:type="character" w:customStyle="1" w:styleId="CommentSubjectChar">
    <w:name w:val="Comment Subject Char"/>
    <w:basedOn w:val="CommentTextChar"/>
    <w:link w:val="CommentSubject"/>
    <w:uiPriority w:val="99"/>
    <w:semiHidden/>
    <w:rsid w:val="00F75643"/>
    <w:rPr>
      <w:rFonts w:ascii="Arial" w:hAnsi="Arial" w:cs="Arial"/>
      <w:b/>
      <w:bCs/>
      <w:sz w:val="20"/>
      <w:szCs w:val="20"/>
      <w:lang w:val="en-GB" w:eastAsia="fr-BE"/>
    </w:rPr>
  </w:style>
  <w:style w:type="paragraph" w:styleId="NoSpacing">
    <w:name w:val="No Spacing"/>
    <w:uiPriority w:val="1"/>
    <w:qFormat/>
    <w:rsid w:val="00F75643"/>
    <w:rPr>
      <w:rFonts w:asciiTheme="minorHAnsi" w:eastAsiaTheme="minorHAnsi" w:hAnsiTheme="minorHAnsi" w:cstheme="minorBidi"/>
      <w:sz w:val="22"/>
      <w:szCs w:val="22"/>
      <w:lang w:eastAsia="en-US"/>
    </w:rPr>
  </w:style>
  <w:style w:type="table" w:styleId="LightList-Accent3">
    <w:name w:val="Light List Accent 3"/>
    <w:basedOn w:val="TableNormal"/>
    <w:uiPriority w:val="61"/>
    <w:rsid w:val="00F75643"/>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ibliography">
    <w:name w:val="Bibliography"/>
    <w:basedOn w:val="Normal"/>
    <w:next w:val="Normal"/>
    <w:uiPriority w:val="37"/>
    <w:unhideWhenUsed/>
    <w:rsid w:val="00CC58B5"/>
    <w:pPr>
      <w:overflowPunct/>
      <w:autoSpaceDE/>
      <w:autoSpaceDN/>
      <w:adjustRightInd/>
      <w:spacing w:after="200" w:line="276" w:lineRule="auto"/>
      <w:jc w:val="left"/>
      <w:textAlignment w:val="auto"/>
    </w:pPr>
    <w:rPr>
      <w:rFonts w:eastAsiaTheme="minorEastAsia" w:cstheme="minorBidi"/>
      <w:szCs w:val="22"/>
      <w:lang w:eastAsia="bg-BG"/>
    </w:rPr>
  </w:style>
  <w:style w:type="table" w:styleId="MediumShading1-Accent3">
    <w:name w:val="Medium Shading 1 Accent 3"/>
    <w:basedOn w:val="TableNormal"/>
    <w:uiPriority w:val="63"/>
    <w:rsid w:val="00F43EB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7F53D2"/>
  </w:style>
  <w:style w:type="character" w:customStyle="1" w:styleId="FootnoteTextChar">
    <w:name w:val="Footnote Text Char"/>
    <w:basedOn w:val="DefaultParagraphFont"/>
    <w:link w:val="FootnoteText"/>
    <w:uiPriority w:val="99"/>
    <w:rsid w:val="007F53D2"/>
    <w:rPr>
      <w:rFonts w:ascii="Arial" w:hAnsi="Arial" w:cs="Arial"/>
      <w:lang w:eastAsia="fr-BE"/>
    </w:rPr>
  </w:style>
  <w:style w:type="character" w:styleId="FootnoteReference">
    <w:name w:val="footnote reference"/>
    <w:basedOn w:val="DefaultParagraphFont"/>
    <w:uiPriority w:val="99"/>
    <w:semiHidden/>
    <w:unhideWhenUsed/>
    <w:rsid w:val="007F53D2"/>
    <w:rPr>
      <w:vertAlign w:val="superscript"/>
    </w:rPr>
  </w:style>
  <w:style w:type="paragraph" w:styleId="EndnoteText">
    <w:name w:val="endnote text"/>
    <w:basedOn w:val="Normal"/>
    <w:link w:val="EndnoteTextChar"/>
    <w:uiPriority w:val="99"/>
    <w:semiHidden/>
    <w:unhideWhenUsed/>
    <w:rsid w:val="002F203E"/>
  </w:style>
  <w:style w:type="character" w:customStyle="1" w:styleId="EndnoteTextChar">
    <w:name w:val="Endnote Text Char"/>
    <w:basedOn w:val="DefaultParagraphFont"/>
    <w:link w:val="EndnoteText"/>
    <w:uiPriority w:val="99"/>
    <w:semiHidden/>
    <w:rsid w:val="002F203E"/>
    <w:rPr>
      <w:rFonts w:ascii="Arial" w:hAnsi="Arial" w:cs="Arial"/>
      <w:lang w:eastAsia="fr-BE"/>
    </w:rPr>
  </w:style>
  <w:style w:type="character" w:styleId="EndnoteReference">
    <w:name w:val="endnote reference"/>
    <w:basedOn w:val="DefaultParagraphFont"/>
    <w:uiPriority w:val="99"/>
    <w:semiHidden/>
    <w:unhideWhenUsed/>
    <w:rsid w:val="002F203E"/>
    <w:rPr>
      <w:vertAlign w:val="superscript"/>
    </w:rPr>
  </w:style>
  <w:style w:type="paragraph" w:styleId="Revision">
    <w:name w:val="Revision"/>
    <w:hidden/>
    <w:uiPriority w:val="99"/>
    <w:semiHidden/>
    <w:rsid w:val="00573E83"/>
    <w:rPr>
      <w:rFonts w:ascii="Arial" w:hAnsi="Arial" w:cs="Arial"/>
      <w:lang w:eastAsia="fr-BE"/>
    </w:rPr>
  </w:style>
  <w:style w:type="character" w:customStyle="1" w:styleId="st">
    <w:name w:val="st"/>
    <w:basedOn w:val="DefaultParagraphFont"/>
    <w:rsid w:val="00E84CDC"/>
  </w:style>
  <w:style w:type="character" w:customStyle="1" w:styleId="sr-only">
    <w:name w:val="sr-only"/>
    <w:basedOn w:val="DefaultParagraphFont"/>
    <w:rsid w:val="00A3264A"/>
  </w:style>
  <w:style w:type="character" w:customStyle="1" w:styleId="text">
    <w:name w:val="text"/>
    <w:basedOn w:val="DefaultParagraphFont"/>
    <w:rsid w:val="00A3264A"/>
  </w:style>
  <w:style w:type="character" w:customStyle="1" w:styleId="author-ref">
    <w:name w:val="author-ref"/>
    <w:basedOn w:val="DefaultParagraphFont"/>
    <w:rsid w:val="00A3264A"/>
  </w:style>
  <w:style w:type="numbering" w:customStyle="1" w:styleId="Alansheadings">
    <w:name w:val="Alan's headings"/>
    <w:uiPriority w:val="99"/>
    <w:rsid w:val="00581524"/>
    <w:pPr>
      <w:numPr>
        <w:numId w:val="1"/>
      </w:numPr>
    </w:pPr>
  </w:style>
  <w:style w:type="character" w:styleId="PlaceholderText">
    <w:name w:val="Placeholder Text"/>
    <w:basedOn w:val="DefaultParagraphFont"/>
    <w:uiPriority w:val="99"/>
    <w:semiHidden/>
    <w:rsid w:val="00F62590"/>
    <w:rPr>
      <w:color w:val="808080"/>
    </w:rPr>
  </w:style>
  <w:style w:type="paragraph" w:customStyle="1" w:styleId="authors">
    <w:name w:val="authors"/>
    <w:basedOn w:val="Normal"/>
    <w:rsid w:val="0030675C"/>
    <w:pPr>
      <w:overflowPunct/>
      <w:autoSpaceDE/>
      <w:autoSpaceDN/>
      <w:adjustRightInd/>
      <w:spacing w:after="240"/>
      <w:jc w:val="left"/>
      <w:textAlignment w:val="auto"/>
    </w:pPr>
    <w:rPr>
      <w:rFonts w:cs="Times New Roman"/>
      <w:sz w:val="24"/>
      <w:lang w:eastAsia="en-US"/>
    </w:rPr>
  </w:style>
  <w:style w:type="paragraph" w:customStyle="1" w:styleId="address">
    <w:name w:val="address"/>
    <w:basedOn w:val="Normal"/>
    <w:rsid w:val="0030675C"/>
    <w:pPr>
      <w:overflowPunct/>
      <w:autoSpaceDE/>
      <w:autoSpaceDN/>
      <w:adjustRightInd/>
      <w:jc w:val="left"/>
      <w:textAlignment w:val="auto"/>
    </w:pPr>
    <w:rPr>
      <w:rFonts w:cs="Times New Roman"/>
      <w:sz w:val="24"/>
      <w:lang w:eastAsia="en-US"/>
    </w:rPr>
  </w:style>
  <w:style w:type="paragraph" w:customStyle="1" w:styleId="Equation">
    <w:name w:val="Equation"/>
    <w:basedOn w:val="Normal"/>
    <w:link w:val="EquationChar"/>
    <w:qFormat/>
    <w:rsid w:val="006D447D"/>
    <w:pPr>
      <w:spacing w:before="120" w:after="0"/>
    </w:pPr>
    <w:rPr>
      <w:rFonts w:ascii="Cambria Math" w:hAnsi="Cambria Math"/>
      <w:i/>
    </w:rPr>
  </w:style>
  <w:style w:type="character" w:customStyle="1" w:styleId="EquationChar">
    <w:name w:val="Equation Char"/>
    <w:basedOn w:val="DefaultParagraphFont"/>
    <w:link w:val="Equation"/>
    <w:rsid w:val="006D447D"/>
    <w:rPr>
      <w:rFonts w:ascii="Cambria Math" w:hAnsi="Cambria Math" w:cs="Arial"/>
      <w:i/>
      <w:sz w:val="22"/>
      <w:lang w:eastAsia="fr-BE"/>
    </w:rPr>
  </w:style>
  <w:style w:type="character" w:customStyle="1" w:styleId="singlerow">
    <w:name w:val="singlerow"/>
    <w:basedOn w:val="DefaultParagraphFont"/>
    <w:rsid w:val="00645B0D"/>
  </w:style>
  <w:style w:type="character" w:styleId="UnresolvedMention">
    <w:name w:val="Unresolved Mention"/>
    <w:basedOn w:val="DefaultParagraphFont"/>
    <w:uiPriority w:val="99"/>
    <w:semiHidden/>
    <w:unhideWhenUsed/>
    <w:rsid w:val="0095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554">
      <w:bodyDiv w:val="1"/>
      <w:marLeft w:val="0"/>
      <w:marRight w:val="0"/>
      <w:marTop w:val="0"/>
      <w:marBottom w:val="0"/>
      <w:divBdr>
        <w:top w:val="none" w:sz="0" w:space="0" w:color="auto"/>
        <w:left w:val="none" w:sz="0" w:space="0" w:color="auto"/>
        <w:bottom w:val="none" w:sz="0" w:space="0" w:color="auto"/>
        <w:right w:val="none" w:sz="0" w:space="0" w:color="auto"/>
      </w:divBdr>
    </w:div>
    <w:div w:id="55906216">
      <w:bodyDiv w:val="1"/>
      <w:marLeft w:val="0"/>
      <w:marRight w:val="0"/>
      <w:marTop w:val="0"/>
      <w:marBottom w:val="0"/>
      <w:divBdr>
        <w:top w:val="none" w:sz="0" w:space="0" w:color="auto"/>
        <w:left w:val="none" w:sz="0" w:space="0" w:color="auto"/>
        <w:bottom w:val="none" w:sz="0" w:space="0" w:color="auto"/>
        <w:right w:val="none" w:sz="0" w:space="0" w:color="auto"/>
      </w:divBdr>
    </w:div>
    <w:div w:id="73283545">
      <w:bodyDiv w:val="1"/>
      <w:marLeft w:val="0"/>
      <w:marRight w:val="0"/>
      <w:marTop w:val="0"/>
      <w:marBottom w:val="0"/>
      <w:divBdr>
        <w:top w:val="none" w:sz="0" w:space="0" w:color="auto"/>
        <w:left w:val="none" w:sz="0" w:space="0" w:color="auto"/>
        <w:bottom w:val="none" w:sz="0" w:space="0" w:color="auto"/>
        <w:right w:val="none" w:sz="0" w:space="0" w:color="auto"/>
      </w:divBdr>
    </w:div>
    <w:div w:id="95175895">
      <w:bodyDiv w:val="1"/>
      <w:marLeft w:val="0"/>
      <w:marRight w:val="0"/>
      <w:marTop w:val="0"/>
      <w:marBottom w:val="0"/>
      <w:divBdr>
        <w:top w:val="none" w:sz="0" w:space="0" w:color="auto"/>
        <w:left w:val="none" w:sz="0" w:space="0" w:color="auto"/>
        <w:bottom w:val="none" w:sz="0" w:space="0" w:color="auto"/>
        <w:right w:val="none" w:sz="0" w:space="0" w:color="auto"/>
      </w:divBdr>
    </w:div>
    <w:div w:id="95250546">
      <w:bodyDiv w:val="1"/>
      <w:marLeft w:val="0"/>
      <w:marRight w:val="0"/>
      <w:marTop w:val="0"/>
      <w:marBottom w:val="0"/>
      <w:divBdr>
        <w:top w:val="none" w:sz="0" w:space="0" w:color="auto"/>
        <w:left w:val="none" w:sz="0" w:space="0" w:color="auto"/>
        <w:bottom w:val="none" w:sz="0" w:space="0" w:color="auto"/>
        <w:right w:val="none" w:sz="0" w:space="0" w:color="auto"/>
      </w:divBdr>
    </w:div>
    <w:div w:id="164319094">
      <w:bodyDiv w:val="1"/>
      <w:marLeft w:val="0"/>
      <w:marRight w:val="0"/>
      <w:marTop w:val="0"/>
      <w:marBottom w:val="0"/>
      <w:divBdr>
        <w:top w:val="none" w:sz="0" w:space="0" w:color="auto"/>
        <w:left w:val="none" w:sz="0" w:space="0" w:color="auto"/>
        <w:bottom w:val="none" w:sz="0" w:space="0" w:color="auto"/>
        <w:right w:val="none" w:sz="0" w:space="0" w:color="auto"/>
      </w:divBdr>
    </w:div>
    <w:div w:id="192773487">
      <w:bodyDiv w:val="1"/>
      <w:marLeft w:val="0"/>
      <w:marRight w:val="0"/>
      <w:marTop w:val="0"/>
      <w:marBottom w:val="0"/>
      <w:divBdr>
        <w:top w:val="none" w:sz="0" w:space="0" w:color="auto"/>
        <w:left w:val="none" w:sz="0" w:space="0" w:color="auto"/>
        <w:bottom w:val="none" w:sz="0" w:space="0" w:color="auto"/>
        <w:right w:val="none" w:sz="0" w:space="0" w:color="auto"/>
      </w:divBdr>
    </w:div>
    <w:div w:id="208150964">
      <w:bodyDiv w:val="1"/>
      <w:marLeft w:val="0"/>
      <w:marRight w:val="0"/>
      <w:marTop w:val="0"/>
      <w:marBottom w:val="0"/>
      <w:divBdr>
        <w:top w:val="none" w:sz="0" w:space="0" w:color="auto"/>
        <w:left w:val="none" w:sz="0" w:space="0" w:color="auto"/>
        <w:bottom w:val="none" w:sz="0" w:space="0" w:color="auto"/>
        <w:right w:val="none" w:sz="0" w:space="0" w:color="auto"/>
      </w:divBdr>
    </w:div>
    <w:div w:id="218326466">
      <w:bodyDiv w:val="1"/>
      <w:marLeft w:val="0"/>
      <w:marRight w:val="0"/>
      <w:marTop w:val="0"/>
      <w:marBottom w:val="0"/>
      <w:divBdr>
        <w:top w:val="none" w:sz="0" w:space="0" w:color="auto"/>
        <w:left w:val="none" w:sz="0" w:space="0" w:color="auto"/>
        <w:bottom w:val="none" w:sz="0" w:space="0" w:color="auto"/>
        <w:right w:val="none" w:sz="0" w:space="0" w:color="auto"/>
      </w:divBdr>
      <w:divsChild>
        <w:div w:id="230235067">
          <w:marLeft w:val="0"/>
          <w:marRight w:val="0"/>
          <w:marTop w:val="0"/>
          <w:marBottom w:val="0"/>
          <w:divBdr>
            <w:top w:val="none" w:sz="0" w:space="0" w:color="auto"/>
            <w:left w:val="none" w:sz="0" w:space="0" w:color="auto"/>
            <w:bottom w:val="none" w:sz="0" w:space="0" w:color="auto"/>
            <w:right w:val="none" w:sz="0" w:space="0" w:color="auto"/>
          </w:divBdr>
        </w:div>
        <w:div w:id="1493369632">
          <w:marLeft w:val="0"/>
          <w:marRight w:val="0"/>
          <w:marTop w:val="0"/>
          <w:marBottom w:val="0"/>
          <w:divBdr>
            <w:top w:val="none" w:sz="0" w:space="0" w:color="auto"/>
            <w:left w:val="none" w:sz="0" w:space="0" w:color="auto"/>
            <w:bottom w:val="none" w:sz="0" w:space="0" w:color="auto"/>
            <w:right w:val="none" w:sz="0" w:space="0" w:color="auto"/>
          </w:divBdr>
        </w:div>
        <w:div w:id="1707751252">
          <w:marLeft w:val="0"/>
          <w:marRight w:val="0"/>
          <w:marTop w:val="0"/>
          <w:marBottom w:val="0"/>
          <w:divBdr>
            <w:top w:val="none" w:sz="0" w:space="0" w:color="auto"/>
            <w:left w:val="none" w:sz="0" w:space="0" w:color="auto"/>
            <w:bottom w:val="none" w:sz="0" w:space="0" w:color="auto"/>
            <w:right w:val="none" w:sz="0" w:space="0" w:color="auto"/>
          </w:divBdr>
        </w:div>
        <w:div w:id="583148752">
          <w:marLeft w:val="0"/>
          <w:marRight w:val="0"/>
          <w:marTop w:val="0"/>
          <w:marBottom w:val="0"/>
          <w:divBdr>
            <w:top w:val="none" w:sz="0" w:space="0" w:color="auto"/>
            <w:left w:val="none" w:sz="0" w:space="0" w:color="auto"/>
            <w:bottom w:val="none" w:sz="0" w:space="0" w:color="auto"/>
            <w:right w:val="none" w:sz="0" w:space="0" w:color="auto"/>
          </w:divBdr>
        </w:div>
        <w:div w:id="1532764225">
          <w:marLeft w:val="0"/>
          <w:marRight w:val="0"/>
          <w:marTop w:val="0"/>
          <w:marBottom w:val="0"/>
          <w:divBdr>
            <w:top w:val="none" w:sz="0" w:space="0" w:color="auto"/>
            <w:left w:val="none" w:sz="0" w:space="0" w:color="auto"/>
            <w:bottom w:val="none" w:sz="0" w:space="0" w:color="auto"/>
            <w:right w:val="none" w:sz="0" w:space="0" w:color="auto"/>
          </w:divBdr>
        </w:div>
        <w:div w:id="1659529424">
          <w:marLeft w:val="0"/>
          <w:marRight w:val="0"/>
          <w:marTop w:val="0"/>
          <w:marBottom w:val="0"/>
          <w:divBdr>
            <w:top w:val="none" w:sz="0" w:space="0" w:color="auto"/>
            <w:left w:val="none" w:sz="0" w:space="0" w:color="auto"/>
            <w:bottom w:val="none" w:sz="0" w:space="0" w:color="auto"/>
            <w:right w:val="none" w:sz="0" w:space="0" w:color="auto"/>
          </w:divBdr>
        </w:div>
        <w:div w:id="657735428">
          <w:marLeft w:val="0"/>
          <w:marRight w:val="0"/>
          <w:marTop w:val="0"/>
          <w:marBottom w:val="0"/>
          <w:divBdr>
            <w:top w:val="none" w:sz="0" w:space="0" w:color="auto"/>
            <w:left w:val="none" w:sz="0" w:space="0" w:color="auto"/>
            <w:bottom w:val="none" w:sz="0" w:space="0" w:color="auto"/>
            <w:right w:val="none" w:sz="0" w:space="0" w:color="auto"/>
          </w:divBdr>
        </w:div>
        <w:div w:id="651368537">
          <w:marLeft w:val="0"/>
          <w:marRight w:val="0"/>
          <w:marTop w:val="0"/>
          <w:marBottom w:val="0"/>
          <w:divBdr>
            <w:top w:val="none" w:sz="0" w:space="0" w:color="auto"/>
            <w:left w:val="none" w:sz="0" w:space="0" w:color="auto"/>
            <w:bottom w:val="none" w:sz="0" w:space="0" w:color="auto"/>
            <w:right w:val="none" w:sz="0" w:space="0" w:color="auto"/>
          </w:divBdr>
        </w:div>
      </w:divsChild>
    </w:div>
    <w:div w:id="226111575">
      <w:bodyDiv w:val="1"/>
      <w:marLeft w:val="0"/>
      <w:marRight w:val="0"/>
      <w:marTop w:val="0"/>
      <w:marBottom w:val="0"/>
      <w:divBdr>
        <w:top w:val="none" w:sz="0" w:space="0" w:color="auto"/>
        <w:left w:val="none" w:sz="0" w:space="0" w:color="auto"/>
        <w:bottom w:val="none" w:sz="0" w:space="0" w:color="auto"/>
        <w:right w:val="none" w:sz="0" w:space="0" w:color="auto"/>
      </w:divBdr>
    </w:div>
    <w:div w:id="268899086">
      <w:bodyDiv w:val="1"/>
      <w:marLeft w:val="0"/>
      <w:marRight w:val="0"/>
      <w:marTop w:val="0"/>
      <w:marBottom w:val="0"/>
      <w:divBdr>
        <w:top w:val="none" w:sz="0" w:space="0" w:color="auto"/>
        <w:left w:val="none" w:sz="0" w:space="0" w:color="auto"/>
        <w:bottom w:val="none" w:sz="0" w:space="0" w:color="auto"/>
        <w:right w:val="none" w:sz="0" w:space="0" w:color="auto"/>
      </w:divBdr>
    </w:div>
    <w:div w:id="288751810">
      <w:bodyDiv w:val="1"/>
      <w:marLeft w:val="0"/>
      <w:marRight w:val="0"/>
      <w:marTop w:val="0"/>
      <w:marBottom w:val="0"/>
      <w:divBdr>
        <w:top w:val="none" w:sz="0" w:space="0" w:color="auto"/>
        <w:left w:val="none" w:sz="0" w:space="0" w:color="auto"/>
        <w:bottom w:val="none" w:sz="0" w:space="0" w:color="auto"/>
        <w:right w:val="none" w:sz="0" w:space="0" w:color="auto"/>
      </w:divBdr>
      <w:divsChild>
        <w:div w:id="1585066264">
          <w:marLeft w:val="0"/>
          <w:marRight w:val="0"/>
          <w:marTop w:val="0"/>
          <w:marBottom w:val="0"/>
          <w:divBdr>
            <w:top w:val="none" w:sz="0" w:space="0" w:color="auto"/>
            <w:left w:val="none" w:sz="0" w:space="0" w:color="auto"/>
            <w:bottom w:val="none" w:sz="0" w:space="0" w:color="auto"/>
            <w:right w:val="none" w:sz="0" w:space="0" w:color="auto"/>
          </w:divBdr>
        </w:div>
        <w:div w:id="1849634561">
          <w:marLeft w:val="0"/>
          <w:marRight w:val="0"/>
          <w:marTop w:val="0"/>
          <w:marBottom w:val="0"/>
          <w:divBdr>
            <w:top w:val="none" w:sz="0" w:space="0" w:color="auto"/>
            <w:left w:val="none" w:sz="0" w:space="0" w:color="auto"/>
            <w:bottom w:val="none" w:sz="0" w:space="0" w:color="auto"/>
            <w:right w:val="none" w:sz="0" w:space="0" w:color="auto"/>
          </w:divBdr>
        </w:div>
        <w:div w:id="1258563428">
          <w:marLeft w:val="0"/>
          <w:marRight w:val="0"/>
          <w:marTop w:val="0"/>
          <w:marBottom w:val="0"/>
          <w:divBdr>
            <w:top w:val="none" w:sz="0" w:space="0" w:color="auto"/>
            <w:left w:val="none" w:sz="0" w:space="0" w:color="auto"/>
            <w:bottom w:val="none" w:sz="0" w:space="0" w:color="auto"/>
            <w:right w:val="none" w:sz="0" w:space="0" w:color="auto"/>
          </w:divBdr>
        </w:div>
        <w:div w:id="1289429100">
          <w:marLeft w:val="0"/>
          <w:marRight w:val="0"/>
          <w:marTop w:val="0"/>
          <w:marBottom w:val="0"/>
          <w:divBdr>
            <w:top w:val="none" w:sz="0" w:space="0" w:color="auto"/>
            <w:left w:val="none" w:sz="0" w:space="0" w:color="auto"/>
            <w:bottom w:val="none" w:sz="0" w:space="0" w:color="auto"/>
            <w:right w:val="none" w:sz="0" w:space="0" w:color="auto"/>
          </w:divBdr>
        </w:div>
        <w:div w:id="1411199931">
          <w:marLeft w:val="0"/>
          <w:marRight w:val="0"/>
          <w:marTop w:val="0"/>
          <w:marBottom w:val="0"/>
          <w:divBdr>
            <w:top w:val="none" w:sz="0" w:space="0" w:color="auto"/>
            <w:left w:val="none" w:sz="0" w:space="0" w:color="auto"/>
            <w:bottom w:val="none" w:sz="0" w:space="0" w:color="auto"/>
            <w:right w:val="none" w:sz="0" w:space="0" w:color="auto"/>
          </w:divBdr>
        </w:div>
      </w:divsChild>
    </w:div>
    <w:div w:id="289438369">
      <w:bodyDiv w:val="1"/>
      <w:marLeft w:val="0"/>
      <w:marRight w:val="0"/>
      <w:marTop w:val="0"/>
      <w:marBottom w:val="0"/>
      <w:divBdr>
        <w:top w:val="none" w:sz="0" w:space="0" w:color="auto"/>
        <w:left w:val="none" w:sz="0" w:space="0" w:color="auto"/>
        <w:bottom w:val="none" w:sz="0" w:space="0" w:color="auto"/>
        <w:right w:val="none" w:sz="0" w:space="0" w:color="auto"/>
      </w:divBdr>
      <w:divsChild>
        <w:div w:id="481971817">
          <w:marLeft w:val="0"/>
          <w:marRight w:val="0"/>
          <w:marTop w:val="0"/>
          <w:marBottom w:val="0"/>
          <w:divBdr>
            <w:top w:val="none" w:sz="0" w:space="0" w:color="auto"/>
            <w:left w:val="none" w:sz="0" w:space="0" w:color="auto"/>
            <w:bottom w:val="none" w:sz="0" w:space="0" w:color="auto"/>
            <w:right w:val="none" w:sz="0" w:space="0" w:color="auto"/>
          </w:divBdr>
        </w:div>
        <w:div w:id="1710759932">
          <w:marLeft w:val="0"/>
          <w:marRight w:val="0"/>
          <w:marTop w:val="0"/>
          <w:marBottom w:val="0"/>
          <w:divBdr>
            <w:top w:val="none" w:sz="0" w:space="0" w:color="auto"/>
            <w:left w:val="none" w:sz="0" w:space="0" w:color="auto"/>
            <w:bottom w:val="none" w:sz="0" w:space="0" w:color="auto"/>
            <w:right w:val="none" w:sz="0" w:space="0" w:color="auto"/>
          </w:divBdr>
          <w:divsChild>
            <w:div w:id="418529734">
              <w:marLeft w:val="0"/>
              <w:marRight w:val="0"/>
              <w:marTop w:val="0"/>
              <w:marBottom w:val="0"/>
              <w:divBdr>
                <w:top w:val="none" w:sz="0" w:space="0" w:color="auto"/>
                <w:left w:val="none" w:sz="0" w:space="0" w:color="auto"/>
                <w:bottom w:val="none" w:sz="0" w:space="0" w:color="auto"/>
                <w:right w:val="none" w:sz="0" w:space="0" w:color="auto"/>
              </w:divBdr>
              <w:divsChild>
                <w:div w:id="1383795897">
                  <w:marLeft w:val="0"/>
                  <w:marRight w:val="0"/>
                  <w:marTop w:val="0"/>
                  <w:marBottom w:val="0"/>
                  <w:divBdr>
                    <w:top w:val="none" w:sz="0" w:space="0" w:color="auto"/>
                    <w:left w:val="none" w:sz="0" w:space="0" w:color="auto"/>
                    <w:bottom w:val="none" w:sz="0" w:space="0" w:color="auto"/>
                    <w:right w:val="none" w:sz="0" w:space="0" w:color="auto"/>
                  </w:divBdr>
                  <w:divsChild>
                    <w:div w:id="5524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79794">
      <w:bodyDiv w:val="1"/>
      <w:marLeft w:val="0"/>
      <w:marRight w:val="0"/>
      <w:marTop w:val="0"/>
      <w:marBottom w:val="0"/>
      <w:divBdr>
        <w:top w:val="none" w:sz="0" w:space="0" w:color="auto"/>
        <w:left w:val="none" w:sz="0" w:space="0" w:color="auto"/>
        <w:bottom w:val="none" w:sz="0" w:space="0" w:color="auto"/>
        <w:right w:val="none" w:sz="0" w:space="0" w:color="auto"/>
      </w:divBdr>
    </w:div>
    <w:div w:id="338049040">
      <w:bodyDiv w:val="1"/>
      <w:marLeft w:val="0"/>
      <w:marRight w:val="0"/>
      <w:marTop w:val="0"/>
      <w:marBottom w:val="0"/>
      <w:divBdr>
        <w:top w:val="none" w:sz="0" w:space="0" w:color="auto"/>
        <w:left w:val="none" w:sz="0" w:space="0" w:color="auto"/>
        <w:bottom w:val="none" w:sz="0" w:space="0" w:color="auto"/>
        <w:right w:val="none" w:sz="0" w:space="0" w:color="auto"/>
      </w:divBdr>
    </w:div>
    <w:div w:id="355272757">
      <w:bodyDiv w:val="1"/>
      <w:marLeft w:val="0"/>
      <w:marRight w:val="0"/>
      <w:marTop w:val="0"/>
      <w:marBottom w:val="0"/>
      <w:divBdr>
        <w:top w:val="none" w:sz="0" w:space="0" w:color="auto"/>
        <w:left w:val="none" w:sz="0" w:space="0" w:color="auto"/>
        <w:bottom w:val="none" w:sz="0" w:space="0" w:color="auto"/>
        <w:right w:val="none" w:sz="0" w:space="0" w:color="auto"/>
      </w:divBdr>
    </w:div>
    <w:div w:id="359742004">
      <w:bodyDiv w:val="1"/>
      <w:marLeft w:val="0"/>
      <w:marRight w:val="0"/>
      <w:marTop w:val="0"/>
      <w:marBottom w:val="0"/>
      <w:divBdr>
        <w:top w:val="none" w:sz="0" w:space="0" w:color="auto"/>
        <w:left w:val="none" w:sz="0" w:space="0" w:color="auto"/>
        <w:bottom w:val="none" w:sz="0" w:space="0" w:color="auto"/>
        <w:right w:val="none" w:sz="0" w:space="0" w:color="auto"/>
      </w:divBdr>
    </w:div>
    <w:div w:id="387610289">
      <w:bodyDiv w:val="1"/>
      <w:marLeft w:val="0"/>
      <w:marRight w:val="0"/>
      <w:marTop w:val="0"/>
      <w:marBottom w:val="0"/>
      <w:divBdr>
        <w:top w:val="none" w:sz="0" w:space="0" w:color="auto"/>
        <w:left w:val="none" w:sz="0" w:space="0" w:color="auto"/>
        <w:bottom w:val="none" w:sz="0" w:space="0" w:color="auto"/>
        <w:right w:val="none" w:sz="0" w:space="0" w:color="auto"/>
      </w:divBdr>
    </w:div>
    <w:div w:id="392194064">
      <w:bodyDiv w:val="1"/>
      <w:marLeft w:val="0"/>
      <w:marRight w:val="0"/>
      <w:marTop w:val="0"/>
      <w:marBottom w:val="0"/>
      <w:divBdr>
        <w:top w:val="none" w:sz="0" w:space="0" w:color="auto"/>
        <w:left w:val="none" w:sz="0" w:space="0" w:color="auto"/>
        <w:bottom w:val="none" w:sz="0" w:space="0" w:color="auto"/>
        <w:right w:val="none" w:sz="0" w:space="0" w:color="auto"/>
      </w:divBdr>
    </w:div>
    <w:div w:id="452358860">
      <w:bodyDiv w:val="1"/>
      <w:marLeft w:val="0"/>
      <w:marRight w:val="0"/>
      <w:marTop w:val="0"/>
      <w:marBottom w:val="0"/>
      <w:divBdr>
        <w:top w:val="none" w:sz="0" w:space="0" w:color="auto"/>
        <w:left w:val="none" w:sz="0" w:space="0" w:color="auto"/>
        <w:bottom w:val="none" w:sz="0" w:space="0" w:color="auto"/>
        <w:right w:val="none" w:sz="0" w:space="0" w:color="auto"/>
      </w:divBdr>
    </w:div>
    <w:div w:id="496113434">
      <w:bodyDiv w:val="1"/>
      <w:marLeft w:val="0"/>
      <w:marRight w:val="0"/>
      <w:marTop w:val="0"/>
      <w:marBottom w:val="0"/>
      <w:divBdr>
        <w:top w:val="none" w:sz="0" w:space="0" w:color="auto"/>
        <w:left w:val="none" w:sz="0" w:space="0" w:color="auto"/>
        <w:bottom w:val="none" w:sz="0" w:space="0" w:color="auto"/>
        <w:right w:val="none" w:sz="0" w:space="0" w:color="auto"/>
      </w:divBdr>
      <w:divsChild>
        <w:div w:id="1372607757">
          <w:marLeft w:val="0"/>
          <w:marRight w:val="0"/>
          <w:marTop w:val="0"/>
          <w:marBottom w:val="0"/>
          <w:divBdr>
            <w:top w:val="none" w:sz="0" w:space="0" w:color="auto"/>
            <w:left w:val="none" w:sz="0" w:space="0" w:color="auto"/>
            <w:bottom w:val="none" w:sz="0" w:space="0" w:color="auto"/>
            <w:right w:val="none" w:sz="0" w:space="0" w:color="auto"/>
          </w:divBdr>
        </w:div>
        <w:div w:id="80176459">
          <w:marLeft w:val="0"/>
          <w:marRight w:val="0"/>
          <w:marTop w:val="0"/>
          <w:marBottom w:val="0"/>
          <w:divBdr>
            <w:top w:val="none" w:sz="0" w:space="0" w:color="auto"/>
            <w:left w:val="none" w:sz="0" w:space="0" w:color="auto"/>
            <w:bottom w:val="none" w:sz="0" w:space="0" w:color="auto"/>
            <w:right w:val="none" w:sz="0" w:space="0" w:color="auto"/>
          </w:divBdr>
        </w:div>
      </w:divsChild>
    </w:div>
    <w:div w:id="545525159">
      <w:bodyDiv w:val="1"/>
      <w:marLeft w:val="0"/>
      <w:marRight w:val="0"/>
      <w:marTop w:val="0"/>
      <w:marBottom w:val="0"/>
      <w:divBdr>
        <w:top w:val="none" w:sz="0" w:space="0" w:color="auto"/>
        <w:left w:val="none" w:sz="0" w:space="0" w:color="auto"/>
        <w:bottom w:val="none" w:sz="0" w:space="0" w:color="auto"/>
        <w:right w:val="none" w:sz="0" w:space="0" w:color="auto"/>
      </w:divBdr>
    </w:div>
    <w:div w:id="575095116">
      <w:bodyDiv w:val="1"/>
      <w:marLeft w:val="0"/>
      <w:marRight w:val="0"/>
      <w:marTop w:val="0"/>
      <w:marBottom w:val="0"/>
      <w:divBdr>
        <w:top w:val="none" w:sz="0" w:space="0" w:color="auto"/>
        <w:left w:val="none" w:sz="0" w:space="0" w:color="auto"/>
        <w:bottom w:val="none" w:sz="0" w:space="0" w:color="auto"/>
        <w:right w:val="none" w:sz="0" w:space="0" w:color="auto"/>
      </w:divBdr>
    </w:div>
    <w:div w:id="590747811">
      <w:bodyDiv w:val="1"/>
      <w:marLeft w:val="0"/>
      <w:marRight w:val="0"/>
      <w:marTop w:val="0"/>
      <w:marBottom w:val="0"/>
      <w:divBdr>
        <w:top w:val="none" w:sz="0" w:space="0" w:color="auto"/>
        <w:left w:val="none" w:sz="0" w:space="0" w:color="auto"/>
        <w:bottom w:val="none" w:sz="0" w:space="0" w:color="auto"/>
        <w:right w:val="none" w:sz="0" w:space="0" w:color="auto"/>
      </w:divBdr>
    </w:div>
    <w:div w:id="598759408">
      <w:bodyDiv w:val="1"/>
      <w:marLeft w:val="0"/>
      <w:marRight w:val="0"/>
      <w:marTop w:val="0"/>
      <w:marBottom w:val="0"/>
      <w:divBdr>
        <w:top w:val="none" w:sz="0" w:space="0" w:color="auto"/>
        <w:left w:val="none" w:sz="0" w:space="0" w:color="auto"/>
        <w:bottom w:val="none" w:sz="0" w:space="0" w:color="auto"/>
        <w:right w:val="none" w:sz="0" w:space="0" w:color="auto"/>
      </w:divBdr>
    </w:div>
    <w:div w:id="626083378">
      <w:bodyDiv w:val="1"/>
      <w:marLeft w:val="0"/>
      <w:marRight w:val="0"/>
      <w:marTop w:val="0"/>
      <w:marBottom w:val="0"/>
      <w:divBdr>
        <w:top w:val="none" w:sz="0" w:space="0" w:color="auto"/>
        <w:left w:val="none" w:sz="0" w:space="0" w:color="auto"/>
        <w:bottom w:val="none" w:sz="0" w:space="0" w:color="auto"/>
        <w:right w:val="none" w:sz="0" w:space="0" w:color="auto"/>
      </w:divBdr>
    </w:div>
    <w:div w:id="633099634">
      <w:bodyDiv w:val="1"/>
      <w:marLeft w:val="0"/>
      <w:marRight w:val="0"/>
      <w:marTop w:val="0"/>
      <w:marBottom w:val="0"/>
      <w:divBdr>
        <w:top w:val="none" w:sz="0" w:space="0" w:color="auto"/>
        <w:left w:val="none" w:sz="0" w:space="0" w:color="auto"/>
        <w:bottom w:val="none" w:sz="0" w:space="0" w:color="auto"/>
        <w:right w:val="none" w:sz="0" w:space="0" w:color="auto"/>
      </w:divBdr>
    </w:div>
    <w:div w:id="643585092">
      <w:bodyDiv w:val="1"/>
      <w:marLeft w:val="0"/>
      <w:marRight w:val="0"/>
      <w:marTop w:val="0"/>
      <w:marBottom w:val="0"/>
      <w:divBdr>
        <w:top w:val="none" w:sz="0" w:space="0" w:color="auto"/>
        <w:left w:val="none" w:sz="0" w:space="0" w:color="auto"/>
        <w:bottom w:val="none" w:sz="0" w:space="0" w:color="auto"/>
        <w:right w:val="none" w:sz="0" w:space="0" w:color="auto"/>
      </w:divBdr>
    </w:div>
    <w:div w:id="692145545">
      <w:bodyDiv w:val="1"/>
      <w:marLeft w:val="0"/>
      <w:marRight w:val="0"/>
      <w:marTop w:val="0"/>
      <w:marBottom w:val="0"/>
      <w:divBdr>
        <w:top w:val="none" w:sz="0" w:space="0" w:color="auto"/>
        <w:left w:val="none" w:sz="0" w:space="0" w:color="auto"/>
        <w:bottom w:val="none" w:sz="0" w:space="0" w:color="auto"/>
        <w:right w:val="none" w:sz="0" w:space="0" w:color="auto"/>
      </w:divBdr>
      <w:divsChild>
        <w:div w:id="1258367977">
          <w:marLeft w:val="0"/>
          <w:marRight w:val="0"/>
          <w:marTop w:val="0"/>
          <w:marBottom w:val="0"/>
          <w:divBdr>
            <w:top w:val="none" w:sz="0" w:space="0" w:color="auto"/>
            <w:left w:val="none" w:sz="0" w:space="0" w:color="auto"/>
            <w:bottom w:val="none" w:sz="0" w:space="0" w:color="auto"/>
            <w:right w:val="none" w:sz="0" w:space="0" w:color="auto"/>
          </w:divBdr>
        </w:div>
        <w:div w:id="213934715">
          <w:marLeft w:val="0"/>
          <w:marRight w:val="0"/>
          <w:marTop w:val="0"/>
          <w:marBottom w:val="0"/>
          <w:divBdr>
            <w:top w:val="none" w:sz="0" w:space="0" w:color="auto"/>
            <w:left w:val="none" w:sz="0" w:space="0" w:color="auto"/>
            <w:bottom w:val="none" w:sz="0" w:space="0" w:color="auto"/>
            <w:right w:val="none" w:sz="0" w:space="0" w:color="auto"/>
          </w:divBdr>
        </w:div>
      </w:divsChild>
    </w:div>
    <w:div w:id="711534345">
      <w:bodyDiv w:val="1"/>
      <w:marLeft w:val="0"/>
      <w:marRight w:val="0"/>
      <w:marTop w:val="0"/>
      <w:marBottom w:val="0"/>
      <w:divBdr>
        <w:top w:val="none" w:sz="0" w:space="0" w:color="auto"/>
        <w:left w:val="none" w:sz="0" w:space="0" w:color="auto"/>
        <w:bottom w:val="none" w:sz="0" w:space="0" w:color="auto"/>
        <w:right w:val="none" w:sz="0" w:space="0" w:color="auto"/>
      </w:divBdr>
    </w:div>
    <w:div w:id="712004530">
      <w:bodyDiv w:val="1"/>
      <w:marLeft w:val="0"/>
      <w:marRight w:val="0"/>
      <w:marTop w:val="0"/>
      <w:marBottom w:val="0"/>
      <w:divBdr>
        <w:top w:val="none" w:sz="0" w:space="0" w:color="auto"/>
        <w:left w:val="none" w:sz="0" w:space="0" w:color="auto"/>
        <w:bottom w:val="none" w:sz="0" w:space="0" w:color="auto"/>
        <w:right w:val="none" w:sz="0" w:space="0" w:color="auto"/>
      </w:divBdr>
    </w:div>
    <w:div w:id="726417532">
      <w:bodyDiv w:val="1"/>
      <w:marLeft w:val="0"/>
      <w:marRight w:val="0"/>
      <w:marTop w:val="0"/>
      <w:marBottom w:val="0"/>
      <w:divBdr>
        <w:top w:val="none" w:sz="0" w:space="0" w:color="auto"/>
        <w:left w:val="none" w:sz="0" w:space="0" w:color="auto"/>
        <w:bottom w:val="none" w:sz="0" w:space="0" w:color="auto"/>
        <w:right w:val="none" w:sz="0" w:space="0" w:color="auto"/>
      </w:divBdr>
    </w:div>
    <w:div w:id="728919939">
      <w:bodyDiv w:val="1"/>
      <w:marLeft w:val="0"/>
      <w:marRight w:val="0"/>
      <w:marTop w:val="0"/>
      <w:marBottom w:val="0"/>
      <w:divBdr>
        <w:top w:val="none" w:sz="0" w:space="0" w:color="auto"/>
        <w:left w:val="none" w:sz="0" w:space="0" w:color="auto"/>
        <w:bottom w:val="none" w:sz="0" w:space="0" w:color="auto"/>
        <w:right w:val="none" w:sz="0" w:space="0" w:color="auto"/>
      </w:divBdr>
      <w:divsChild>
        <w:div w:id="405567659">
          <w:marLeft w:val="0"/>
          <w:marRight w:val="0"/>
          <w:marTop w:val="0"/>
          <w:marBottom w:val="0"/>
          <w:divBdr>
            <w:top w:val="none" w:sz="0" w:space="0" w:color="auto"/>
            <w:left w:val="none" w:sz="0" w:space="0" w:color="auto"/>
            <w:bottom w:val="none" w:sz="0" w:space="0" w:color="auto"/>
            <w:right w:val="none" w:sz="0" w:space="0" w:color="auto"/>
          </w:divBdr>
        </w:div>
        <w:div w:id="405961918">
          <w:marLeft w:val="0"/>
          <w:marRight w:val="0"/>
          <w:marTop w:val="0"/>
          <w:marBottom w:val="0"/>
          <w:divBdr>
            <w:top w:val="none" w:sz="0" w:space="0" w:color="auto"/>
            <w:left w:val="none" w:sz="0" w:space="0" w:color="auto"/>
            <w:bottom w:val="none" w:sz="0" w:space="0" w:color="auto"/>
            <w:right w:val="none" w:sz="0" w:space="0" w:color="auto"/>
          </w:divBdr>
          <w:divsChild>
            <w:div w:id="1645741557">
              <w:marLeft w:val="0"/>
              <w:marRight w:val="0"/>
              <w:marTop w:val="0"/>
              <w:marBottom w:val="0"/>
              <w:divBdr>
                <w:top w:val="none" w:sz="0" w:space="0" w:color="auto"/>
                <w:left w:val="none" w:sz="0" w:space="0" w:color="auto"/>
                <w:bottom w:val="none" w:sz="0" w:space="0" w:color="auto"/>
                <w:right w:val="none" w:sz="0" w:space="0" w:color="auto"/>
              </w:divBdr>
              <w:divsChild>
                <w:div w:id="714355251">
                  <w:marLeft w:val="0"/>
                  <w:marRight w:val="0"/>
                  <w:marTop w:val="0"/>
                  <w:marBottom w:val="0"/>
                  <w:divBdr>
                    <w:top w:val="none" w:sz="0" w:space="0" w:color="auto"/>
                    <w:left w:val="none" w:sz="0" w:space="0" w:color="auto"/>
                    <w:bottom w:val="none" w:sz="0" w:space="0" w:color="auto"/>
                    <w:right w:val="none" w:sz="0" w:space="0" w:color="auto"/>
                  </w:divBdr>
                  <w:divsChild>
                    <w:div w:id="17493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96174">
      <w:bodyDiv w:val="1"/>
      <w:marLeft w:val="0"/>
      <w:marRight w:val="0"/>
      <w:marTop w:val="0"/>
      <w:marBottom w:val="0"/>
      <w:divBdr>
        <w:top w:val="none" w:sz="0" w:space="0" w:color="auto"/>
        <w:left w:val="none" w:sz="0" w:space="0" w:color="auto"/>
        <w:bottom w:val="none" w:sz="0" w:space="0" w:color="auto"/>
        <w:right w:val="none" w:sz="0" w:space="0" w:color="auto"/>
      </w:divBdr>
    </w:div>
    <w:div w:id="833374755">
      <w:bodyDiv w:val="1"/>
      <w:marLeft w:val="0"/>
      <w:marRight w:val="0"/>
      <w:marTop w:val="0"/>
      <w:marBottom w:val="0"/>
      <w:divBdr>
        <w:top w:val="none" w:sz="0" w:space="0" w:color="auto"/>
        <w:left w:val="none" w:sz="0" w:space="0" w:color="auto"/>
        <w:bottom w:val="none" w:sz="0" w:space="0" w:color="auto"/>
        <w:right w:val="none" w:sz="0" w:space="0" w:color="auto"/>
      </w:divBdr>
    </w:div>
    <w:div w:id="866867631">
      <w:bodyDiv w:val="1"/>
      <w:marLeft w:val="0"/>
      <w:marRight w:val="0"/>
      <w:marTop w:val="0"/>
      <w:marBottom w:val="0"/>
      <w:divBdr>
        <w:top w:val="none" w:sz="0" w:space="0" w:color="auto"/>
        <w:left w:val="none" w:sz="0" w:space="0" w:color="auto"/>
        <w:bottom w:val="none" w:sz="0" w:space="0" w:color="auto"/>
        <w:right w:val="none" w:sz="0" w:space="0" w:color="auto"/>
      </w:divBdr>
    </w:div>
    <w:div w:id="1040279048">
      <w:bodyDiv w:val="1"/>
      <w:marLeft w:val="0"/>
      <w:marRight w:val="0"/>
      <w:marTop w:val="0"/>
      <w:marBottom w:val="0"/>
      <w:divBdr>
        <w:top w:val="none" w:sz="0" w:space="0" w:color="auto"/>
        <w:left w:val="none" w:sz="0" w:space="0" w:color="auto"/>
        <w:bottom w:val="none" w:sz="0" w:space="0" w:color="auto"/>
        <w:right w:val="none" w:sz="0" w:space="0" w:color="auto"/>
      </w:divBdr>
    </w:div>
    <w:div w:id="1095831170">
      <w:bodyDiv w:val="1"/>
      <w:marLeft w:val="0"/>
      <w:marRight w:val="0"/>
      <w:marTop w:val="0"/>
      <w:marBottom w:val="0"/>
      <w:divBdr>
        <w:top w:val="none" w:sz="0" w:space="0" w:color="auto"/>
        <w:left w:val="none" w:sz="0" w:space="0" w:color="auto"/>
        <w:bottom w:val="none" w:sz="0" w:space="0" w:color="auto"/>
        <w:right w:val="none" w:sz="0" w:space="0" w:color="auto"/>
      </w:divBdr>
    </w:div>
    <w:div w:id="1105348102">
      <w:bodyDiv w:val="1"/>
      <w:marLeft w:val="0"/>
      <w:marRight w:val="0"/>
      <w:marTop w:val="0"/>
      <w:marBottom w:val="0"/>
      <w:divBdr>
        <w:top w:val="none" w:sz="0" w:space="0" w:color="auto"/>
        <w:left w:val="none" w:sz="0" w:space="0" w:color="auto"/>
        <w:bottom w:val="none" w:sz="0" w:space="0" w:color="auto"/>
        <w:right w:val="none" w:sz="0" w:space="0" w:color="auto"/>
      </w:divBdr>
    </w:div>
    <w:div w:id="1129737476">
      <w:bodyDiv w:val="1"/>
      <w:marLeft w:val="0"/>
      <w:marRight w:val="0"/>
      <w:marTop w:val="0"/>
      <w:marBottom w:val="0"/>
      <w:divBdr>
        <w:top w:val="none" w:sz="0" w:space="0" w:color="auto"/>
        <w:left w:val="none" w:sz="0" w:space="0" w:color="auto"/>
        <w:bottom w:val="none" w:sz="0" w:space="0" w:color="auto"/>
        <w:right w:val="none" w:sz="0" w:space="0" w:color="auto"/>
      </w:divBdr>
      <w:divsChild>
        <w:div w:id="707338981">
          <w:marLeft w:val="0"/>
          <w:marRight w:val="0"/>
          <w:marTop w:val="0"/>
          <w:marBottom w:val="0"/>
          <w:divBdr>
            <w:top w:val="none" w:sz="0" w:space="0" w:color="auto"/>
            <w:left w:val="none" w:sz="0" w:space="0" w:color="auto"/>
            <w:bottom w:val="none" w:sz="0" w:space="0" w:color="auto"/>
            <w:right w:val="none" w:sz="0" w:space="0" w:color="auto"/>
          </w:divBdr>
        </w:div>
        <w:div w:id="933635651">
          <w:marLeft w:val="0"/>
          <w:marRight w:val="0"/>
          <w:marTop w:val="0"/>
          <w:marBottom w:val="0"/>
          <w:divBdr>
            <w:top w:val="none" w:sz="0" w:space="0" w:color="auto"/>
            <w:left w:val="none" w:sz="0" w:space="0" w:color="auto"/>
            <w:bottom w:val="none" w:sz="0" w:space="0" w:color="auto"/>
            <w:right w:val="none" w:sz="0" w:space="0" w:color="auto"/>
          </w:divBdr>
        </w:div>
        <w:div w:id="2033067149">
          <w:marLeft w:val="0"/>
          <w:marRight w:val="0"/>
          <w:marTop w:val="0"/>
          <w:marBottom w:val="0"/>
          <w:divBdr>
            <w:top w:val="none" w:sz="0" w:space="0" w:color="auto"/>
            <w:left w:val="none" w:sz="0" w:space="0" w:color="auto"/>
            <w:bottom w:val="none" w:sz="0" w:space="0" w:color="auto"/>
            <w:right w:val="none" w:sz="0" w:space="0" w:color="auto"/>
          </w:divBdr>
        </w:div>
      </w:divsChild>
    </w:div>
    <w:div w:id="1164007722">
      <w:bodyDiv w:val="1"/>
      <w:marLeft w:val="0"/>
      <w:marRight w:val="0"/>
      <w:marTop w:val="0"/>
      <w:marBottom w:val="0"/>
      <w:divBdr>
        <w:top w:val="none" w:sz="0" w:space="0" w:color="auto"/>
        <w:left w:val="none" w:sz="0" w:space="0" w:color="auto"/>
        <w:bottom w:val="none" w:sz="0" w:space="0" w:color="auto"/>
        <w:right w:val="none" w:sz="0" w:space="0" w:color="auto"/>
      </w:divBdr>
    </w:div>
    <w:div w:id="1191260553">
      <w:bodyDiv w:val="1"/>
      <w:marLeft w:val="0"/>
      <w:marRight w:val="0"/>
      <w:marTop w:val="0"/>
      <w:marBottom w:val="0"/>
      <w:divBdr>
        <w:top w:val="none" w:sz="0" w:space="0" w:color="auto"/>
        <w:left w:val="none" w:sz="0" w:space="0" w:color="auto"/>
        <w:bottom w:val="none" w:sz="0" w:space="0" w:color="auto"/>
        <w:right w:val="none" w:sz="0" w:space="0" w:color="auto"/>
      </w:divBdr>
    </w:div>
    <w:div w:id="1216238975">
      <w:bodyDiv w:val="1"/>
      <w:marLeft w:val="0"/>
      <w:marRight w:val="0"/>
      <w:marTop w:val="0"/>
      <w:marBottom w:val="0"/>
      <w:divBdr>
        <w:top w:val="none" w:sz="0" w:space="0" w:color="auto"/>
        <w:left w:val="none" w:sz="0" w:space="0" w:color="auto"/>
        <w:bottom w:val="none" w:sz="0" w:space="0" w:color="auto"/>
        <w:right w:val="none" w:sz="0" w:space="0" w:color="auto"/>
      </w:divBdr>
    </w:div>
    <w:div w:id="1216503349">
      <w:bodyDiv w:val="1"/>
      <w:marLeft w:val="0"/>
      <w:marRight w:val="0"/>
      <w:marTop w:val="0"/>
      <w:marBottom w:val="0"/>
      <w:divBdr>
        <w:top w:val="none" w:sz="0" w:space="0" w:color="auto"/>
        <w:left w:val="none" w:sz="0" w:space="0" w:color="auto"/>
        <w:bottom w:val="none" w:sz="0" w:space="0" w:color="auto"/>
        <w:right w:val="none" w:sz="0" w:space="0" w:color="auto"/>
      </w:divBdr>
    </w:div>
    <w:div w:id="1228228069">
      <w:bodyDiv w:val="1"/>
      <w:marLeft w:val="0"/>
      <w:marRight w:val="0"/>
      <w:marTop w:val="0"/>
      <w:marBottom w:val="0"/>
      <w:divBdr>
        <w:top w:val="none" w:sz="0" w:space="0" w:color="auto"/>
        <w:left w:val="none" w:sz="0" w:space="0" w:color="auto"/>
        <w:bottom w:val="none" w:sz="0" w:space="0" w:color="auto"/>
        <w:right w:val="none" w:sz="0" w:space="0" w:color="auto"/>
      </w:divBdr>
    </w:div>
    <w:div w:id="1276131135">
      <w:bodyDiv w:val="1"/>
      <w:marLeft w:val="0"/>
      <w:marRight w:val="0"/>
      <w:marTop w:val="0"/>
      <w:marBottom w:val="0"/>
      <w:divBdr>
        <w:top w:val="none" w:sz="0" w:space="0" w:color="auto"/>
        <w:left w:val="none" w:sz="0" w:space="0" w:color="auto"/>
        <w:bottom w:val="none" w:sz="0" w:space="0" w:color="auto"/>
        <w:right w:val="none" w:sz="0" w:space="0" w:color="auto"/>
      </w:divBdr>
    </w:div>
    <w:div w:id="1303077047">
      <w:bodyDiv w:val="1"/>
      <w:marLeft w:val="0"/>
      <w:marRight w:val="0"/>
      <w:marTop w:val="0"/>
      <w:marBottom w:val="0"/>
      <w:divBdr>
        <w:top w:val="none" w:sz="0" w:space="0" w:color="auto"/>
        <w:left w:val="none" w:sz="0" w:space="0" w:color="auto"/>
        <w:bottom w:val="none" w:sz="0" w:space="0" w:color="auto"/>
        <w:right w:val="none" w:sz="0" w:space="0" w:color="auto"/>
      </w:divBdr>
      <w:divsChild>
        <w:div w:id="325592523">
          <w:marLeft w:val="0"/>
          <w:marRight w:val="0"/>
          <w:marTop w:val="0"/>
          <w:marBottom w:val="0"/>
          <w:divBdr>
            <w:top w:val="none" w:sz="0" w:space="0" w:color="auto"/>
            <w:left w:val="none" w:sz="0" w:space="0" w:color="auto"/>
            <w:bottom w:val="none" w:sz="0" w:space="0" w:color="auto"/>
            <w:right w:val="none" w:sz="0" w:space="0" w:color="auto"/>
          </w:divBdr>
        </w:div>
        <w:div w:id="1582133600">
          <w:marLeft w:val="0"/>
          <w:marRight w:val="0"/>
          <w:marTop w:val="0"/>
          <w:marBottom w:val="0"/>
          <w:divBdr>
            <w:top w:val="none" w:sz="0" w:space="0" w:color="auto"/>
            <w:left w:val="none" w:sz="0" w:space="0" w:color="auto"/>
            <w:bottom w:val="none" w:sz="0" w:space="0" w:color="auto"/>
            <w:right w:val="none" w:sz="0" w:space="0" w:color="auto"/>
          </w:divBdr>
          <w:divsChild>
            <w:div w:id="1940481053">
              <w:marLeft w:val="0"/>
              <w:marRight w:val="0"/>
              <w:marTop w:val="0"/>
              <w:marBottom w:val="0"/>
              <w:divBdr>
                <w:top w:val="none" w:sz="0" w:space="0" w:color="auto"/>
                <w:left w:val="none" w:sz="0" w:space="0" w:color="auto"/>
                <w:bottom w:val="none" w:sz="0" w:space="0" w:color="auto"/>
                <w:right w:val="none" w:sz="0" w:space="0" w:color="auto"/>
              </w:divBdr>
            </w:div>
          </w:divsChild>
        </w:div>
        <w:div w:id="327833505">
          <w:marLeft w:val="0"/>
          <w:marRight w:val="0"/>
          <w:marTop w:val="0"/>
          <w:marBottom w:val="0"/>
          <w:divBdr>
            <w:top w:val="none" w:sz="0" w:space="0" w:color="auto"/>
            <w:left w:val="none" w:sz="0" w:space="0" w:color="auto"/>
            <w:bottom w:val="none" w:sz="0" w:space="0" w:color="auto"/>
            <w:right w:val="none" w:sz="0" w:space="0" w:color="auto"/>
          </w:divBdr>
        </w:div>
      </w:divsChild>
    </w:div>
    <w:div w:id="1309943108">
      <w:bodyDiv w:val="1"/>
      <w:marLeft w:val="0"/>
      <w:marRight w:val="0"/>
      <w:marTop w:val="0"/>
      <w:marBottom w:val="0"/>
      <w:divBdr>
        <w:top w:val="none" w:sz="0" w:space="0" w:color="auto"/>
        <w:left w:val="none" w:sz="0" w:space="0" w:color="auto"/>
        <w:bottom w:val="none" w:sz="0" w:space="0" w:color="auto"/>
        <w:right w:val="none" w:sz="0" w:space="0" w:color="auto"/>
      </w:divBdr>
    </w:div>
    <w:div w:id="1318799722">
      <w:bodyDiv w:val="1"/>
      <w:marLeft w:val="0"/>
      <w:marRight w:val="0"/>
      <w:marTop w:val="0"/>
      <w:marBottom w:val="0"/>
      <w:divBdr>
        <w:top w:val="none" w:sz="0" w:space="0" w:color="auto"/>
        <w:left w:val="none" w:sz="0" w:space="0" w:color="auto"/>
        <w:bottom w:val="none" w:sz="0" w:space="0" w:color="auto"/>
        <w:right w:val="none" w:sz="0" w:space="0" w:color="auto"/>
      </w:divBdr>
    </w:div>
    <w:div w:id="1371110338">
      <w:bodyDiv w:val="1"/>
      <w:marLeft w:val="0"/>
      <w:marRight w:val="0"/>
      <w:marTop w:val="0"/>
      <w:marBottom w:val="0"/>
      <w:divBdr>
        <w:top w:val="none" w:sz="0" w:space="0" w:color="auto"/>
        <w:left w:val="none" w:sz="0" w:space="0" w:color="auto"/>
        <w:bottom w:val="none" w:sz="0" w:space="0" w:color="auto"/>
        <w:right w:val="none" w:sz="0" w:space="0" w:color="auto"/>
      </w:divBdr>
    </w:div>
    <w:div w:id="1372611576">
      <w:bodyDiv w:val="1"/>
      <w:marLeft w:val="0"/>
      <w:marRight w:val="0"/>
      <w:marTop w:val="0"/>
      <w:marBottom w:val="0"/>
      <w:divBdr>
        <w:top w:val="none" w:sz="0" w:space="0" w:color="auto"/>
        <w:left w:val="none" w:sz="0" w:space="0" w:color="auto"/>
        <w:bottom w:val="none" w:sz="0" w:space="0" w:color="auto"/>
        <w:right w:val="none" w:sz="0" w:space="0" w:color="auto"/>
      </w:divBdr>
    </w:div>
    <w:div w:id="1411587019">
      <w:bodyDiv w:val="1"/>
      <w:marLeft w:val="0"/>
      <w:marRight w:val="0"/>
      <w:marTop w:val="0"/>
      <w:marBottom w:val="0"/>
      <w:divBdr>
        <w:top w:val="none" w:sz="0" w:space="0" w:color="auto"/>
        <w:left w:val="none" w:sz="0" w:space="0" w:color="auto"/>
        <w:bottom w:val="none" w:sz="0" w:space="0" w:color="auto"/>
        <w:right w:val="none" w:sz="0" w:space="0" w:color="auto"/>
      </w:divBdr>
      <w:divsChild>
        <w:div w:id="908266833">
          <w:marLeft w:val="1800"/>
          <w:marRight w:val="0"/>
          <w:marTop w:val="115"/>
          <w:marBottom w:val="0"/>
          <w:divBdr>
            <w:top w:val="none" w:sz="0" w:space="0" w:color="auto"/>
            <w:left w:val="none" w:sz="0" w:space="0" w:color="auto"/>
            <w:bottom w:val="none" w:sz="0" w:space="0" w:color="auto"/>
            <w:right w:val="none" w:sz="0" w:space="0" w:color="auto"/>
          </w:divBdr>
        </w:div>
        <w:div w:id="1303464927">
          <w:marLeft w:val="1800"/>
          <w:marRight w:val="0"/>
          <w:marTop w:val="115"/>
          <w:marBottom w:val="0"/>
          <w:divBdr>
            <w:top w:val="none" w:sz="0" w:space="0" w:color="auto"/>
            <w:left w:val="none" w:sz="0" w:space="0" w:color="auto"/>
            <w:bottom w:val="none" w:sz="0" w:space="0" w:color="auto"/>
            <w:right w:val="none" w:sz="0" w:space="0" w:color="auto"/>
          </w:divBdr>
        </w:div>
        <w:div w:id="2056661988">
          <w:marLeft w:val="1800"/>
          <w:marRight w:val="0"/>
          <w:marTop w:val="115"/>
          <w:marBottom w:val="0"/>
          <w:divBdr>
            <w:top w:val="none" w:sz="0" w:space="0" w:color="auto"/>
            <w:left w:val="none" w:sz="0" w:space="0" w:color="auto"/>
            <w:bottom w:val="none" w:sz="0" w:space="0" w:color="auto"/>
            <w:right w:val="none" w:sz="0" w:space="0" w:color="auto"/>
          </w:divBdr>
        </w:div>
      </w:divsChild>
    </w:div>
    <w:div w:id="1439107818">
      <w:bodyDiv w:val="1"/>
      <w:marLeft w:val="0"/>
      <w:marRight w:val="0"/>
      <w:marTop w:val="0"/>
      <w:marBottom w:val="0"/>
      <w:divBdr>
        <w:top w:val="none" w:sz="0" w:space="0" w:color="auto"/>
        <w:left w:val="none" w:sz="0" w:space="0" w:color="auto"/>
        <w:bottom w:val="none" w:sz="0" w:space="0" w:color="auto"/>
        <w:right w:val="none" w:sz="0" w:space="0" w:color="auto"/>
      </w:divBdr>
    </w:div>
    <w:div w:id="1454860625">
      <w:bodyDiv w:val="1"/>
      <w:marLeft w:val="0"/>
      <w:marRight w:val="0"/>
      <w:marTop w:val="0"/>
      <w:marBottom w:val="0"/>
      <w:divBdr>
        <w:top w:val="none" w:sz="0" w:space="0" w:color="auto"/>
        <w:left w:val="none" w:sz="0" w:space="0" w:color="auto"/>
        <w:bottom w:val="none" w:sz="0" w:space="0" w:color="auto"/>
        <w:right w:val="none" w:sz="0" w:space="0" w:color="auto"/>
      </w:divBdr>
    </w:div>
    <w:div w:id="1492139175">
      <w:bodyDiv w:val="1"/>
      <w:marLeft w:val="0"/>
      <w:marRight w:val="0"/>
      <w:marTop w:val="0"/>
      <w:marBottom w:val="0"/>
      <w:divBdr>
        <w:top w:val="none" w:sz="0" w:space="0" w:color="auto"/>
        <w:left w:val="none" w:sz="0" w:space="0" w:color="auto"/>
        <w:bottom w:val="none" w:sz="0" w:space="0" w:color="auto"/>
        <w:right w:val="none" w:sz="0" w:space="0" w:color="auto"/>
      </w:divBdr>
    </w:div>
    <w:div w:id="1503743649">
      <w:bodyDiv w:val="1"/>
      <w:marLeft w:val="0"/>
      <w:marRight w:val="0"/>
      <w:marTop w:val="0"/>
      <w:marBottom w:val="0"/>
      <w:divBdr>
        <w:top w:val="none" w:sz="0" w:space="0" w:color="auto"/>
        <w:left w:val="none" w:sz="0" w:space="0" w:color="auto"/>
        <w:bottom w:val="none" w:sz="0" w:space="0" w:color="auto"/>
        <w:right w:val="none" w:sz="0" w:space="0" w:color="auto"/>
      </w:divBdr>
    </w:div>
    <w:div w:id="1528131278">
      <w:bodyDiv w:val="1"/>
      <w:marLeft w:val="0"/>
      <w:marRight w:val="0"/>
      <w:marTop w:val="0"/>
      <w:marBottom w:val="0"/>
      <w:divBdr>
        <w:top w:val="none" w:sz="0" w:space="0" w:color="auto"/>
        <w:left w:val="none" w:sz="0" w:space="0" w:color="auto"/>
        <w:bottom w:val="none" w:sz="0" w:space="0" w:color="auto"/>
        <w:right w:val="none" w:sz="0" w:space="0" w:color="auto"/>
      </w:divBdr>
      <w:divsChild>
        <w:div w:id="277882532">
          <w:marLeft w:val="0"/>
          <w:marRight w:val="0"/>
          <w:marTop w:val="0"/>
          <w:marBottom w:val="0"/>
          <w:divBdr>
            <w:top w:val="none" w:sz="0" w:space="0" w:color="auto"/>
            <w:left w:val="none" w:sz="0" w:space="0" w:color="auto"/>
            <w:bottom w:val="none" w:sz="0" w:space="0" w:color="auto"/>
            <w:right w:val="none" w:sz="0" w:space="0" w:color="auto"/>
          </w:divBdr>
        </w:div>
        <w:div w:id="1681158581">
          <w:marLeft w:val="0"/>
          <w:marRight w:val="0"/>
          <w:marTop w:val="0"/>
          <w:marBottom w:val="0"/>
          <w:divBdr>
            <w:top w:val="none" w:sz="0" w:space="0" w:color="auto"/>
            <w:left w:val="none" w:sz="0" w:space="0" w:color="auto"/>
            <w:bottom w:val="none" w:sz="0" w:space="0" w:color="auto"/>
            <w:right w:val="none" w:sz="0" w:space="0" w:color="auto"/>
          </w:divBdr>
        </w:div>
      </w:divsChild>
    </w:div>
    <w:div w:id="1530530729">
      <w:bodyDiv w:val="1"/>
      <w:marLeft w:val="0"/>
      <w:marRight w:val="0"/>
      <w:marTop w:val="0"/>
      <w:marBottom w:val="0"/>
      <w:divBdr>
        <w:top w:val="none" w:sz="0" w:space="0" w:color="auto"/>
        <w:left w:val="none" w:sz="0" w:space="0" w:color="auto"/>
        <w:bottom w:val="none" w:sz="0" w:space="0" w:color="auto"/>
        <w:right w:val="none" w:sz="0" w:space="0" w:color="auto"/>
      </w:divBdr>
    </w:div>
    <w:div w:id="1560435748">
      <w:bodyDiv w:val="1"/>
      <w:marLeft w:val="0"/>
      <w:marRight w:val="0"/>
      <w:marTop w:val="0"/>
      <w:marBottom w:val="0"/>
      <w:divBdr>
        <w:top w:val="none" w:sz="0" w:space="0" w:color="auto"/>
        <w:left w:val="none" w:sz="0" w:space="0" w:color="auto"/>
        <w:bottom w:val="none" w:sz="0" w:space="0" w:color="auto"/>
        <w:right w:val="none" w:sz="0" w:space="0" w:color="auto"/>
      </w:divBdr>
      <w:divsChild>
        <w:div w:id="1900676753">
          <w:marLeft w:val="0"/>
          <w:marRight w:val="0"/>
          <w:marTop w:val="0"/>
          <w:marBottom w:val="0"/>
          <w:divBdr>
            <w:top w:val="none" w:sz="0" w:space="0" w:color="auto"/>
            <w:left w:val="none" w:sz="0" w:space="0" w:color="auto"/>
            <w:bottom w:val="none" w:sz="0" w:space="0" w:color="auto"/>
            <w:right w:val="none" w:sz="0" w:space="0" w:color="auto"/>
          </w:divBdr>
        </w:div>
        <w:div w:id="1743407462">
          <w:marLeft w:val="0"/>
          <w:marRight w:val="0"/>
          <w:marTop w:val="0"/>
          <w:marBottom w:val="0"/>
          <w:divBdr>
            <w:top w:val="none" w:sz="0" w:space="0" w:color="auto"/>
            <w:left w:val="none" w:sz="0" w:space="0" w:color="auto"/>
            <w:bottom w:val="none" w:sz="0" w:space="0" w:color="auto"/>
            <w:right w:val="none" w:sz="0" w:space="0" w:color="auto"/>
          </w:divBdr>
        </w:div>
      </w:divsChild>
    </w:div>
    <w:div w:id="1620409377">
      <w:bodyDiv w:val="1"/>
      <w:marLeft w:val="0"/>
      <w:marRight w:val="0"/>
      <w:marTop w:val="0"/>
      <w:marBottom w:val="0"/>
      <w:divBdr>
        <w:top w:val="none" w:sz="0" w:space="0" w:color="auto"/>
        <w:left w:val="none" w:sz="0" w:space="0" w:color="auto"/>
        <w:bottom w:val="none" w:sz="0" w:space="0" w:color="auto"/>
        <w:right w:val="none" w:sz="0" w:space="0" w:color="auto"/>
      </w:divBdr>
    </w:div>
    <w:div w:id="1627469344">
      <w:bodyDiv w:val="1"/>
      <w:marLeft w:val="0"/>
      <w:marRight w:val="0"/>
      <w:marTop w:val="0"/>
      <w:marBottom w:val="0"/>
      <w:divBdr>
        <w:top w:val="none" w:sz="0" w:space="0" w:color="auto"/>
        <w:left w:val="none" w:sz="0" w:space="0" w:color="auto"/>
        <w:bottom w:val="none" w:sz="0" w:space="0" w:color="auto"/>
        <w:right w:val="none" w:sz="0" w:space="0" w:color="auto"/>
      </w:divBdr>
      <w:divsChild>
        <w:div w:id="585068965">
          <w:marLeft w:val="0"/>
          <w:marRight w:val="0"/>
          <w:marTop w:val="0"/>
          <w:marBottom w:val="0"/>
          <w:divBdr>
            <w:top w:val="none" w:sz="0" w:space="0" w:color="auto"/>
            <w:left w:val="none" w:sz="0" w:space="0" w:color="auto"/>
            <w:bottom w:val="none" w:sz="0" w:space="0" w:color="auto"/>
            <w:right w:val="none" w:sz="0" w:space="0" w:color="auto"/>
          </w:divBdr>
        </w:div>
      </w:divsChild>
    </w:div>
    <w:div w:id="1633486535">
      <w:bodyDiv w:val="1"/>
      <w:marLeft w:val="0"/>
      <w:marRight w:val="0"/>
      <w:marTop w:val="0"/>
      <w:marBottom w:val="0"/>
      <w:divBdr>
        <w:top w:val="none" w:sz="0" w:space="0" w:color="auto"/>
        <w:left w:val="none" w:sz="0" w:space="0" w:color="auto"/>
        <w:bottom w:val="none" w:sz="0" w:space="0" w:color="auto"/>
        <w:right w:val="none" w:sz="0" w:space="0" w:color="auto"/>
      </w:divBdr>
    </w:div>
    <w:div w:id="1651207436">
      <w:bodyDiv w:val="1"/>
      <w:marLeft w:val="0"/>
      <w:marRight w:val="0"/>
      <w:marTop w:val="0"/>
      <w:marBottom w:val="0"/>
      <w:divBdr>
        <w:top w:val="none" w:sz="0" w:space="0" w:color="auto"/>
        <w:left w:val="none" w:sz="0" w:space="0" w:color="auto"/>
        <w:bottom w:val="none" w:sz="0" w:space="0" w:color="auto"/>
        <w:right w:val="none" w:sz="0" w:space="0" w:color="auto"/>
      </w:divBdr>
      <w:divsChild>
        <w:div w:id="1948997453">
          <w:marLeft w:val="0"/>
          <w:marRight w:val="0"/>
          <w:marTop w:val="0"/>
          <w:marBottom w:val="0"/>
          <w:divBdr>
            <w:top w:val="none" w:sz="0" w:space="0" w:color="auto"/>
            <w:left w:val="none" w:sz="0" w:space="0" w:color="auto"/>
            <w:bottom w:val="none" w:sz="0" w:space="0" w:color="auto"/>
            <w:right w:val="none" w:sz="0" w:space="0" w:color="auto"/>
          </w:divBdr>
        </w:div>
        <w:div w:id="1528787993">
          <w:marLeft w:val="0"/>
          <w:marRight w:val="0"/>
          <w:marTop w:val="0"/>
          <w:marBottom w:val="0"/>
          <w:divBdr>
            <w:top w:val="none" w:sz="0" w:space="0" w:color="auto"/>
            <w:left w:val="none" w:sz="0" w:space="0" w:color="auto"/>
            <w:bottom w:val="none" w:sz="0" w:space="0" w:color="auto"/>
            <w:right w:val="none" w:sz="0" w:space="0" w:color="auto"/>
          </w:divBdr>
          <w:divsChild>
            <w:div w:id="1316491741">
              <w:marLeft w:val="0"/>
              <w:marRight w:val="0"/>
              <w:marTop w:val="0"/>
              <w:marBottom w:val="0"/>
              <w:divBdr>
                <w:top w:val="none" w:sz="0" w:space="0" w:color="auto"/>
                <w:left w:val="none" w:sz="0" w:space="0" w:color="auto"/>
                <w:bottom w:val="none" w:sz="0" w:space="0" w:color="auto"/>
                <w:right w:val="none" w:sz="0" w:space="0" w:color="auto"/>
              </w:divBdr>
            </w:div>
          </w:divsChild>
        </w:div>
        <w:div w:id="316423645">
          <w:marLeft w:val="0"/>
          <w:marRight w:val="0"/>
          <w:marTop w:val="0"/>
          <w:marBottom w:val="0"/>
          <w:divBdr>
            <w:top w:val="none" w:sz="0" w:space="0" w:color="auto"/>
            <w:left w:val="none" w:sz="0" w:space="0" w:color="auto"/>
            <w:bottom w:val="none" w:sz="0" w:space="0" w:color="auto"/>
            <w:right w:val="none" w:sz="0" w:space="0" w:color="auto"/>
          </w:divBdr>
        </w:div>
      </w:divsChild>
    </w:div>
    <w:div w:id="1665208991">
      <w:bodyDiv w:val="1"/>
      <w:marLeft w:val="0"/>
      <w:marRight w:val="0"/>
      <w:marTop w:val="0"/>
      <w:marBottom w:val="0"/>
      <w:divBdr>
        <w:top w:val="none" w:sz="0" w:space="0" w:color="auto"/>
        <w:left w:val="none" w:sz="0" w:space="0" w:color="auto"/>
        <w:bottom w:val="none" w:sz="0" w:space="0" w:color="auto"/>
        <w:right w:val="none" w:sz="0" w:space="0" w:color="auto"/>
      </w:divBdr>
    </w:div>
    <w:div w:id="1673068778">
      <w:bodyDiv w:val="1"/>
      <w:marLeft w:val="0"/>
      <w:marRight w:val="0"/>
      <w:marTop w:val="0"/>
      <w:marBottom w:val="0"/>
      <w:divBdr>
        <w:top w:val="none" w:sz="0" w:space="0" w:color="auto"/>
        <w:left w:val="none" w:sz="0" w:space="0" w:color="auto"/>
        <w:bottom w:val="none" w:sz="0" w:space="0" w:color="auto"/>
        <w:right w:val="none" w:sz="0" w:space="0" w:color="auto"/>
      </w:divBdr>
    </w:div>
    <w:div w:id="1827437319">
      <w:bodyDiv w:val="1"/>
      <w:marLeft w:val="0"/>
      <w:marRight w:val="0"/>
      <w:marTop w:val="0"/>
      <w:marBottom w:val="0"/>
      <w:divBdr>
        <w:top w:val="none" w:sz="0" w:space="0" w:color="auto"/>
        <w:left w:val="none" w:sz="0" w:space="0" w:color="auto"/>
        <w:bottom w:val="none" w:sz="0" w:space="0" w:color="auto"/>
        <w:right w:val="none" w:sz="0" w:space="0" w:color="auto"/>
      </w:divBdr>
    </w:div>
    <w:div w:id="1832522568">
      <w:bodyDiv w:val="1"/>
      <w:marLeft w:val="0"/>
      <w:marRight w:val="0"/>
      <w:marTop w:val="0"/>
      <w:marBottom w:val="0"/>
      <w:divBdr>
        <w:top w:val="none" w:sz="0" w:space="0" w:color="auto"/>
        <w:left w:val="none" w:sz="0" w:space="0" w:color="auto"/>
        <w:bottom w:val="none" w:sz="0" w:space="0" w:color="auto"/>
        <w:right w:val="none" w:sz="0" w:space="0" w:color="auto"/>
      </w:divBdr>
    </w:div>
    <w:div w:id="1836140713">
      <w:bodyDiv w:val="1"/>
      <w:marLeft w:val="0"/>
      <w:marRight w:val="0"/>
      <w:marTop w:val="0"/>
      <w:marBottom w:val="0"/>
      <w:divBdr>
        <w:top w:val="none" w:sz="0" w:space="0" w:color="auto"/>
        <w:left w:val="none" w:sz="0" w:space="0" w:color="auto"/>
        <w:bottom w:val="none" w:sz="0" w:space="0" w:color="auto"/>
        <w:right w:val="none" w:sz="0" w:space="0" w:color="auto"/>
      </w:divBdr>
      <w:divsChild>
        <w:div w:id="223637381">
          <w:marLeft w:val="0"/>
          <w:marRight w:val="0"/>
          <w:marTop w:val="0"/>
          <w:marBottom w:val="0"/>
          <w:divBdr>
            <w:top w:val="none" w:sz="0" w:space="0" w:color="auto"/>
            <w:left w:val="none" w:sz="0" w:space="0" w:color="auto"/>
            <w:bottom w:val="none" w:sz="0" w:space="0" w:color="auto"/>
            <w:right w:val="none" w:sz="0" w:space="0" w:color="auto"/>
          </w:divBdr>
        </w:div>
        <w:div w:id="1709380492">
          <w:marLeft w:val="0"/>
          <w:marRight w:val="0"/>
          <w:marTop w:val="0"/>
          <w:marBottom w:val="0"/>
          <w:divBdr>
            <w:top w:val="none" w:sz="0" w:space="0" w:color="auto"/>
            <w:left w:val="none" w:sz="0" w:space="0" w:color="auto"/>
            <w:bottom w:val="none" w:sz="0" w:space="0" w:color="auto"/>
            <w:right w:val="none" w:sz="0" w:space="0" w:color="auto"/>
          </w:divBdr>
        </w:div>
      </w:divsChild>
    </w:div>
    <w:div w:id="1837573667">
      <w:bodyDiv w:val="1"/>
      <w:marLeft w:val="0"/>
      <w:marRight w:val="0"/>
      <w:marTop w:val="0"/>
      <w:marBottom w:val="0"/>
      <w:divBdr>
        <w:top w:val="none" w:sz="0" w:space="0" w:color="auto"/>
        <w:left w:val="none" w:sz="0" w:space="0" w:color="auto"/>
        <w:bottom w:val="none" w:sz="0" w:space="0" w:color="auto"/>
        <w:right w:val="none" w:sz="0" w:space="0" w:color="auto"/>
      </w:divBdr>
    </w:div>
    <w:div w:id="1929845895">
      <w:bodyDiv w:val="1"/>
      <w:marLeft w:val="0"/>
      <w:marRight w:val="0"/>
      <w:marTop w:val="0"/>
      <w:marBottom w:val="0"/>
      <w:divBdr>
        <w:top w:val="none" w:sz="0" w:space="0" w:color="auto"/>
        <w:left w:val="none" w:sz="0" w:space="0" w:color="auto"/>
        <w:bottom w:val="none" w:sz="0" w:space="0" w:color="auto"/>
        <w:right w:val="none" w:sz="0" w:space="0" w:color="auto"/>
      </w:divBdr>
    </w:div>
    <w:div w:id="1945110922">
      <w:bodyDiv w:val="1"/>
      <w:marLeft w:val="0"/>
      <w:marRight w:val="0"/>
      <w:marTop w:val="0"/>
      <w:marBottom w:val="0"/>
      <w:divBdr>
        <w:top w:val="none" w:sz="0" w:space="0" w:color="auto"/>
        <w:left w:val="none" w:sz="0" w:space="0" w:color="auto"/>
        <w:bottom w:val="none" w:sz="0" w:space="0" w:color="auto"/>
        <w:right w:val="none" w:sz="0" w:space="0" w:color="auto"/>
      </w:divBdr>
    </w:div>
    <w:div w:id="1949389835">
      <w:bodyDiv w:val="1"/>
      <w:marLeft w:val="0"/>
      <w:marRight w:val="0"/>
      <w:marTop w:val="0"/>
      <w:marBottom w:val="0"/>
      <w:divBdr>
        <w:top w:val="none" w:sz="0" w:space="0" w:color="auto"/>
        <w:left w:val="none" w:sz="0" w:space="0" w:color="auto"/>
        <w:bottom w:val="none" w:sz="0" w:space="0" w:color="auto"/>
        <w:right w:val="none" w:sz="0" w:space="0" w:color="auto"/>
      </w:divBdr>
    </w:div>
    <w:div w:id="2054765710">
      <w:bodyDiv w:val="1"/>
      <w:marLeft w:val="0"/>
      <w:marRight w:val="0"/>
      <w:marTop w:val="0"/>
      <w:marBottom w:val="0"/>
      <w:divBdr>
        <w:top w:val="none" w:sz="0" w:space="0" w:color="auto"/>
        <w:left w:val="none" w:sz="0" w:space="0" w:color="auto"/>
        <w:bottom w:val="none" w:sz="0" w:space="0" w:color="auto"/>
        <w:right w:val="none" w:sz="0" w:space="0" w:color="auto"/>
      </w:divBdr>
    </w:div>
    <w:div w:id="2090230032">
      <w:bodyDiv w:val="1"/>
      <w:marLeft w:val="0"/>
      <w:marRight w:val="0"/>
      <w:marTop w:val="0"/>
      <w:marBottom w:val="0"/>
      <w:divBdr>
        <w:top w:val="none" w:sz="0" w:space="0" w:color="auto"/>
        <w:left w:val="none" w:sz="0" w:space="0" w:color="auto"/>
        <w:bottom w:val="none" w:sz="0" w:space="0" w:color="auto"/>
        <w:right w:val="none" w:sz="0" w:space="0" w:color="auto"/>
      </w:divBdr>
    </w:div>
    <w:div w:id="2105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foster@lsb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2635\AppData\Local\Microsoft\Windows\Temporary%20Internet%20Files\Content.IE5\7W470XHR\CryoHub+deliverable+template+V1606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rdtserver2\LSBU\LSBU180_UKERC%20zero%20carbon\Conference%20paper\pie%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dtserver2\LSBU\LSBU180_UKERC%20zero%20carbon\Conference%20paper\pie%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F9-4904-A71E-A9B71AC5AA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F9-4904-A71E-A9B71AC5AA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F9-4904-A71E-A9B71AC5AA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F9-4904-A71E-A9B71AC5AA2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F9-4904-A71E-A9B71AC5AA2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F9-4904-A71E-A9B71AC5AA2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9F9-4904-A71E-A9B71AC5AA21}"/>
              </c:ext>
            </c:extLst>
          </c:dPt>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energy!$B$1:$H$1</c:f>
              <c:strCache>
                <c:ptCount val="7"/>
                <c:pt idx="0">
                  <c:v>Agriculture and fisheries </c:v>
                </c:pt>
                <c:pt idx="1">
                  <c:v>Food manufacture</c:v>
                </c:pt>
                <c:pt idx="2">
                  <c:v>Drinks manufacture</c:v>
                </c:pt>
                <c:pt idx="3">
                  <c:v>Cold storage</c:v>
                </c:pt>
                <c:pt idx="4">
                  <c:v>Retail</c:v>
                </c:pt>
                <c:pt idx="5">
                  <c:v>Food service</c:v>
                </c:pt>
                <c:pt idx="6">
                  <c:v>Domestic</c:v>
                </c:pt>
              </c:strCache>
            </c:strRef>
          </c:cat>
          <c:val>
            <c:numRef>
              <c:f>energy!$B$4:$H$4</c:f>
              <c:numCache>
                <c:formatCode>General</c:formatCode>
                <c:ptCount val="7"/>
                <c:pt idx="0">
                  <c:v>0.42000000000000004</c:v>
                </c:pt>
                <c:pt idx="1">
                  <c:v>2.4900000000000002</c:v>
                </c:pt>
                <c:pt idx="2">
                  <c:v>0.59</c:v>
                </c:pt>
                <c:pt idx="3">
                  <c:v>1.32</c:v>
                </c:pt>
                <c:pt idx="4">
                  <c:v>6.96</c:v>
                </c:pt>
                <c:pt idx="5">
                  <c:v>6.0250000000000004</c:v>
                </c:pt>
                <c:pt idx="6">
                  <c:v>10.75</c:v>
                </c:pt>
              </c:numCache>
            </c:numRef>
          </c:val>
          <c:extLst>
            <c:ext xmlns:c16="http://schemas.microsoft.com/office/drawing/2014/chart" uri="{C3380CC4-5D6E-409C-BE32-E72D297353CC}">
              <c16:uniqueId val="{0000000E-69F9-4904-A71E-A9B71AC5AA2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2E-4720-854A-31B8F9B366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2E-4720-854A-31B8F9B366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2E-4720-854A-31B8F9B366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2E-4720-854A-31B8F9B366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2E-4720-854A-31B8F9B366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C2E-4720-854A-31B8F9B366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C2E-4720-854A-31B8F9B3666F}"/>
              </c:ext>
            </c:extLst>
          </c:dPt>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'refrigerant emissions'!$B$1:$H$1</c:f>
              <c:strCache>
                <c:ptCount val="7"/>
                <c:pt idx="0">
                  <c:v>Agriculture and fisheries </c:v>
                </c:pt>
                <c:pt idx="1">
                  <c:v>Manufacturing</c:v>
                </c:pt>
                <c:pt idx="2">
                  <c:v>Cold storage</c:v>
                </c:pt>
                <c:pt idx="3">
                  <c:v>Retail </c:v>
                </c:pt>
                <c:pt idx="4">
                  <c:v>Food service</c:v>
                </c:pt>
                <c:pt idx="5">
                  <c:v>Transport</c:v>
                </c:pt>
                <c:pt idx="6">
                  <c:v>Domestic</c:v>
                </c:pt>
              </c:strCache>
            </c:strRef>
          </c:cat>
          <c:val>
            <c:numRef>
              <c:f>'refrigerant emissions'!$B$2:$H$2</c:f>
              <c:numCache>
                <c:formatCode>0.000</c:formatCode>
                <c:ptCount val="7"/>
                <c:pt idx="0" formatCode="General">
                  <c:v>0.05</c:v>
                </c:pt>
                <c:pt idx="1">
                  <c:v>0.89</c:v>
                </c:pt>
                <c:pt idx="2" formatCode="General">
                  <c:v>0.18</c:v>
                </c:pt>
                <c:pt idx="3">
                  <c:v>3</c:v>
                </c:pt>
                <c:pt idx="4">
                  <c:v>0.45</c:v>
                </c:pt>
                <c:pt idx="5" formatCode="General">
                  <c:v>0.69</c:v>
                </c:pt>
                <c:pt idx="6">
                  <c:v>0.15</c:v>
                </c:pt>
              </c:numCache>
            </c:numRef>
          </c:val>
          <c:extLst>
            <c:ext xmlns:c16="http://schemas.microsoft.com/office/drawing/2014/chart" uri="{C3380CC4-5D6E-409C-BE32-E72D297353CC}">
              <c16:uniqueId val="{0000000E-8C2E-4720-854A-31B8F9B366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769E-2845-434A-B794-4F9DFEEC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CryoHub+deliverable+template+V160610</Template>
  <TotalTime>2</TotalTime>
  <Pages>13</Pages>
  <Words>5908</Words>
  <Characters>33682</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ISO 9000-3 Contents</vt:lpstr>
      <vt:lpstr>ISO 9000-3 Contents</vt:lpstr>
    </vt:vector>
  </TitlesOfParts>
  <Company>PSUtec</Company>
  <LinksUpToDate>false</LinksUpToDate>
  <CharactersWithSpaces>39511</CharactersWithSpaces>
  <SharedDoc>false</SharedDoc>
  <HLinks>
    <vt:vector size="36" baseType="variant">
      <vt:variant>
        <vt:i4>4653162</vt:i4>
      </vt:variant>
      <vt:variant>
        <vt:i4>330</vt:i4>
      </vt:variant>
      <vt:variant>
        <vt:i4>0</vt:i4>
      </vt:variant>
      <vt:variant>
        <vt:i4>5</vt:i4>
      </vt:variant>
      <vt:variant>
        <vt:lpwstr>mailto:info@psutec.com</vt:lpwstr>
      </vt:variant>
      <vt:variant>
        <vt:lpwstr/>
      </vt:variant>
      <vt:variant>
        <vt:i4>655453</vt:i4>
      </vt:variant>
      <vt:variant>
        <vt:i4>318</vt:i4>
      </vt:variant>
      <vt:variant>
        <vt:i4>0</vt:i4>
      </vt:variant>
      <vt:variant>
        <vt:i4>5</vt:i4>
      </vt:variant>
      <vt:variant>
        <vt:lpwstr>http://www.doodle.ch/</vt:lpwstr>
      </vt:variant>
      <vt:variant>
        <vt:lpwstr/>
      </vt:variant>
      <vt:variant>
        <vt:i4>3932263</vt:i4>
      </vt:variant>
      <vt:variant>
        <vt:i4>315</vt:i4>
      </vt:variant>
      <vt:variant>
        <vt:i4>0</vt:i4>
      </vt:variant>
      <vt:variant>
        <vt:i4>5</vt:i4>
      </vt:variant>
      <vt:variant>
        <vt:lpwstr>http://www.skype.com/intl/en/home/)</vt:lpwstr>
      </vt:variant>
      <vt:variant>
        <vt:lpwstr/>
      </vt:variant>
      <vt:variant>
        <vt:i4>4718659</vt:i4>
      </vt:variant>
      <vt:variant>
        <vt:i4>309</vt:i4>
      </vt:variant>
      <vt:variant>
        <vt:i4>0</vt:i4>
      </vt:variant>
      <vt:variant>
        <vt:i4>5</vt:i4>
      </vt:variant>
      <vt:variant>
        <vt:lpwstr>http://www.projects-gateway.com/frisbee/</vt:lpwstr>
      </vt:variant>
      <vt:variant>
        <vt:lpwstr/>
      </vt:variant>
      <vt:variant>
        <vt:i4>6750265</vt:i4>
      </vt:variant>
      <vt:variant>
        <vt:i4>306</vt:i4>
      </vt:variant>
      <vt:variant>
        <vt:i4>0</vt:i4>
      </vt:variant>
      <vt:variant>
        <vt:i4>5</vt:i4>
      </vt:variant>
      <vt:variant>
        <vt:lpwstr>http://www.frisbee-project.eu/</vt:lpwstr>
      </vt:variant>
      <vt:variant>
        <vt:lpwstr/>
      </vt:variant>
      <vt:variant>
        <vt:i4>6750265</vt:i4>
      </vt:variant>
      <vt:variant>
        <vt:i4>303</vt:i4>
      </vt:variant>
      <vt:variant>
        <vt:i4>0</vt:i4>
      </vt:variant>
      <vt:variant>
        <vt:i4>5</vt:i4>
      </vt:variant>
      <vt:variant>
        <vt:lpwstr>http://www.frisbee-project.eu/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9000-3 Contents</dc:title>
  <dc:creator>Varga, Liz</dc:creator>
  <cp:lastModifiedBy>Foster, Alan 6</cp:lastModifiedBy>
  <cp:revision>3</cp:revision>
  <cp:lastPrinted>2022-02-16T11:22:00Z</cp:lastPrinted>
  <dcterms:created xsi:type="dcterms:W3CDTF">2022-05-25T11:31:00Z</dcterms:created>
  <dcterms:modified xsi:type="dcterms:W3CDTF">2022-05-25T11:32:00Z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ProjectId">
    <vt:lpwstr>ap:607d850e8f081a181cba3f71</vt:lpwstr>
  </property>
  <property fmtid="{D5CDD505-2E9C-101B-9397-08002B2CF9AE}" pid="3" name="WnCUserId">
    <vt:lpwstr>user:607d850e8f081a181cba3f70</vt:lpwstr>
  </property>
  <property fmtid="{D5CDD505-2E9C-101B-9397-08002B2CF9AE}" pid="4" name="WnCSubscriberId">
    <vt:lpwstr>0</vt:lpwstr>
  </property>
  <property fmtid="{D5CDD505-2E9C-101B-9397-08002B2CF9AE}" pid="5" name="WnCOutputStyleId">
    <vt:lpwstr>2607</vt:lpwstr>
  </property>
  <property fmtid="{D5CDD505-2E9C-101B-9397-08002B2CF9AE}" pid="6" name="RWProductId">
    <vt:lpwstr>Flow</vt:lpwstr>
  </property>
  <property fmtid="{D5CDD505-2E9C-101B-9397-08002B2CF9AE}" pid="7" name="WnC4Folder">
    <vt:lpwstr>Documents///Baseline emissions 16-2-22 v2 (correction after publication)</vt:lpwstr>
  </property>
</Properties>
</file>