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B61C4C" w14:textId="77777777" w:rsidR="0049253F" w:rsidRPr="0049253F" w:rsidRDefault="0049253F" w:rsidP="0049253F">
      <w:pPr>
        <w:keepNext/>
        <w:keepLines/>
        <w:numPr>
          <w:ilvl w:val="1"/>
          <w:numId w:val="0"/>
        </w:numPr>
        <w:spacing w:before="40"/>
        <w:outlineLvl w:val="1"/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bookmarkStart w:id="0" w:name="_Toc82775066"/>
      <w:bookmarkStart w:id="1" w:name="_Toc85455291"/>
      <w:r w:rsidRPr="0049253F"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  <w:t>Appendix L- Overview of the main clinical, academic, and social implications of the participant discourses</w:t>
      </w:r>
      <w:bookmarkEnd w:id="0"/>
      <w:bookmarkEnd w:id="1"/>
      <w:r w:rsidRPr="0049253F"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  <w:t xml:space="preserve"> </w:t>
      </w:r>
    </w:p>
    <w:p w14:paraId="6B685AD6" w14:textId="77777777" w:rsidR="0049253F" w:rsidRPr="0049253F" w:rsidRDefault="0049253F" w:rsidP="0049253F">
      <w:pPr>
        <w:rPr>
          <w:rFonts w:ascii="Cambria" w:hAnsi="Cambria"/>
          <w:b/>
          <w:bCs/>
        </w:rPr>
      </w:pPr>
    </w:p>
    <w:p w14:paraId="1D71ABAC" w14:textId="77777777" w:rsidR="0049253F" w:rsidRPr="0049253F" w:rsidRDefault="0049253F" w:rsidP="0049253F">
      <w:pPr>
        <w:rPr>
          <w:rFonts w:ascii="Cambria" w:hAnsi="Cambria"/>
          <w:b/>
          <w:bCs/>
        </w:rPr>
      </w:pPr>
      <w:r w:rsidRPr="0049253F">
        <w:rPr>
          <w:rFonts w:ascii="Cambria" w:hAnsi="Cambria"/>
          <w:b/>
          <w:bCs/>
        </w:rPr>
        <w:t>Overarching themes:</w:t>
      </w:r>
    </w:p>
    <w:p w14:paraId="2CD39690" w14:textId="77777777" w:rsidR="0049253F" w:rsidRPr="0049253F" w:rsidRDefault="0049253F" w:rsidP="0049253F">
      <w:pPr>
        <w:numPr>
          <w:ilvl w:val="0"/>
          <w:numId w:val="1"/>
        </w:numPr>
        <w:contextualSpacing/>
        <w:rPr>
          <w:rFonts w:ascii="Cambria" w:hAnsi="Cambria"/>
        </w:rPr>
      </w:pPr>
      <w:r w:rsidRPr="0049253F">
        <w:rPr>
          <w:rFonts w:ascii="Cambria" w:hAnsi="Cambria"/>
        </w:rPr>
        <w:t>The (unintended) reproduction of gender myths</w:t>
      </w:r>
    </w:p>
    <w:p w14:paraId="4C43EB2D" w14:textId="77777777" w:rsidR="0049253F" w:rsidRPr="0049253F" w:rsidRDefault="0049253F" w:rsidP="0049253F">
      <w:pPr>
        <w:numPr>
          <w:ilvl w:val="0"/>
          <w:numId w:val="1"/>
        </w:numPr>
        <w:contextualSpacing/>
        <w:rPr>
          <w:rFonts w:ascii="Cambria" w:hAnsi="Cambria"/>
        </w:rPr>
      </w:pPr>
      <w:r w:rsidRPr="0049253F">
        <w:rPr>
          <w:rFonts w:ascii="Cambria" w:hAnsi="Cambria"/>
        </w:rPr>
        <w:t>Patient experiences and outcomes</w:t>
      </w:r>
    </w:p>
    <w:p w14:paraId="64A20785" w14:textId="77777777" w:rsidR="0049253F" w:rsidRPr="0049253F" w:rsidRDefault="0049253F" w:rsidP="0049253F">
      <w:pPr>
        <w:numPr>
          <w:ilvl w:val="0"/>
          <w:numId w:val="1"/>
        </w:numPr>
        <w:contextualSpacing/>
        <w:rPr>
          <w:rFonts w:ascii="Cambria" w:hAnsi="Cambria"/>
        </w:rPr>
      </w:pPr>
      <w:r w:rsidRPr="0049253F">
        <w:rPr>
          <w:rFonts w:ascii="Cambria" w:hAnsi="Cambria"/>
        </w:rPr>
        <w:t>Clinical training and school education</w:t>
      </w:r>
    </w:p>
    <w:p w14:paraId="370761EB" w14:textId="77777777" w:rsidR="0049253F" w:rsidRPr="0049253F" w:rsidRDefault="0049253F" w:rsidP="0049253F">
      <w:pPr>
        <w:numPr>
          <w:ilvl w:val="0"/>
          <w:numId w:val="1"/>
        </w:numPr>
        <w:contextualSpacing/>
        <w:rPr>
          <w:rFonts w:ascii="Cambria" w:hAnsi="Cambria"/>
        </w:rPr>
      </w:pPr>
      <w:r w:rsidRPr="0049253F">
        <w:rPr>
          <w:rFonts w:ascii="Cambria" w:hAnsi="Cambria"/>
        </w:rPr>
        <w:t>The integration of biological and psychosocial epistemologies</w:t>
      </w:r>
    </w:p>
    <w:p w14:paraId="31443DBA" w14:textId="77777777" w:rsidR="0049253F" w:rsidRPr="0049253F" w:rsidRDefault="0049253F" w:rsidP="0049253F">
      <w:pPr>
        <w:numPr>
          <w:ilvl w:val="0"/>
          <w:numId w:val="1"/>
        </w:numPr>
        <w:contextualSpacing/>
        <w:rPr>
          <w:rFonts w:ascii="Cambria" w:hAnsi="Cambria"/>
        </w:rPr>
      </w:pPr>
      <w:r w:rsidRPr="0049253F">
        <w:rPr>
          <w:rFonts w:ascii="Cambria" w:hAnsi="Cambria"/>
        </w:rPr>
        <w:t>Clinical research into the aetiology and treatment of cyclical symptoms</w:t>
      </w:r>
    </w:p>
    <w:p w14:paraId="2200DBBE" w14:textId="77777777" w:rsidR="0049253F" w:rsidRPr="0049253F" w:rsidRDefault="0049253F" w:rsidP="0049253F">
      <w:pPr>
        <w:ind w:left="360"/>
        <w:contextualSpacing/>
        <w:rPr>
          <w:rFonts w:ascii="Cambria" w:hAnsi="Cambria"/>
        </w:rPr>
      </w:pPr>
    </w:p>
    <w:p w14:paraId="15FAD354" w14:textId="77777777" w:rsidR="0049253F" w:rsidRPr="0049253F" w:rsidRDefault="0049253F" w:rsidP="0049253F">
      <w:pPr>
        <w:jc w:val="right"/>
        <w:rPr>
          <w:rFonts w:ascii="Cambria" w:hAnsi="Cambria"/>
        </w:rPr>
      </w:pPr>
      <w:r w:rsidRPr="0049253F">
        <w:rPr>
          <w:rFonts w:ascii="Cambria" w:hAnsi="Cambria"/>
          <w:noProof/>
        </w:rPr>
        <w:drawing>
          <wp:inline distT="0" distB="0" distL="0" distR="0" wp14:anchorId="5F436989" wp14:editId="3834A6C1">
            <wp:extent cx="5731264" cy="5646663"/>
            <wp:effectExtent l="0" t="0" r="3175" b="0"/>
            <wp:docPr id="195" name="Picture 19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 descr="Text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264" cy="5646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A060C" w14:textId="77777777" w:rsidR="0049253F" w:rsidRPr="0049253F" w:rsidRDefault="0049253F" w:rsidP="0049253F">
      <w:pPr>
        <w:jc w:val="right"/>
        <w:rPr>
          <w:rFonts w:ascii="Cambria" w:hAnsi="Cambria"/>
        </w:rPr>
      </w:pPr>
      <w:r w:rsidRPr="0049253F">
        <w:rPr>
          <w:rFonts w:ascii="Cambria" w:hAnsi="Cambria"/>
          <w:noProof/>
        </w:rPr>
        <w:lastRenderedPageBreak/>
        <w:drawing>
          <wp:inline distT="0" distB="0" distL="0" distR="0" wp14:anchorId="56EE08DD" wp14:editId="04D6DC75">
            <wp:extent cx="5731510" cy="5969861"/>
            <wp:effectExtent l="0" t="0" r="2540" b="0"/>
            <wp:docPr id="196" name="Picture 19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Picture 196" descr="Tex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969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6CD9C" w14:textId="77777777" w:rsidR="0049253F" w:rsidRPr="0049253F" w:rsidRDefault="0049253F" w:rsidP="0049253F">
      <w:pPr>
        <w:jc w:val="right"/>
        <w:rPr>
          <w:rFonts w:ascii="Cambria" w:hAnsi="Cambria"/>
        </w:rPr>
      </w:pPr>
      <w:r w:rsidRPr="0049253F">
        <w:rPr>
          <w:rFonts w:ascii="Cambria" w:hAnsi="Cambria"/>
          <w:noProof/>
        </w:rPr>
        <w:lastRenderedPageBreak/>
        <w:drawing>
          <wp:inline distT="0" distB="0" distL="0" distR="0" wp14:anchorId="41D423A2" wp14:editId="0267E15C">
            <wp:extent cx="5731509" cy="5476154"/>
            <wp:effectExtent l="0" t="0" r="3175" b="0"/>
            <wp:docPr id="197" name="Picture 197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Picture 197" descr="Tex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09" cy="5476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D5215" w14:textId="0B4CAAB8" w:rsidR="00C56EDD" w:rsidRPr="0049253F" w:rsidRDefault="00C56EDD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sectPr w:rsidR="00C56EDD" w:rsidRPr="0049253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5F20DC"/>
    <w:multiLevelType w:val="hybridMultilevel"/>
    <w:tmpl w:val="B66CDB6A"/>
    <w:lvl w:ilvl="0" w:tplc="08090015">
      <w:start w:val="1"/>
      <w:numFmt w:val="upp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253F"/>
    <w:rsid w:val="0049253F"/>
    <w:rsid w:val="00A255AC"/>
    <w:rsid w:val="00C56EDD"/>
    <w:rsid w:val="00CB3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96D983"/>
  <w15:chartTrackingRefBased/>
  <w15:docId w15:val="{6BDDD1FE-7752-4417-AFA9-7A8E476E2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58</Words>
  <Characters>331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Sally King</dc:creator>
  <cp:keywords/>
  <dc:description/>
  <cp:lastModifiedBy>Sally King</cp:lastModifiedBy>
  <cp:revision>1</cp:revision>
  <dcterms:created xsi:type="dcterms:W3CDTF">2022-02-09T16:23:00Z</dcterms:created>
  <dcterms:modified xsi:type="dcterms:W3CDTF">2022-02-09T16:24:00Z</dcterms:modified>
</cp:coreProperties>
</file>