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0F36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36A8BA21" wp14:editId="01F94E8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9B4298" w14:textId="77777777" w:rsidR="00E010CB" w:rsidRDefault="00E010CB">
      <w:pPr>
        <w:rPr>
          <w:b/>
        </w:rPr>
      </w:pPr>
    </w:p>
    <w:p w14:paraId="525668A1" w14:textId="77777777" w:rsidR="00E010CB" w:rsidRDefault="00E010CB">
      <w:pPr>
        <w:rPr>
          <w:b/>
        </w:rPr>
      </w:pPr>
    </w:p>
    <w:p w14:paraId="57F8D728" w14:textId="77777777" w:rsidR="00E010CB" w:rsidRDefault="00E010CB">
      <w:pPr>
        <w:rPr>
          <w:b/>
        </w:rPr>
      </w:pPr>
    </w:p>
    <w:p w14:paraId="0062FE3D" w14:textId="4BF94D6B" w:rsidR="00121130" w:rsidRDefault="00C12F9B">
      <w:r w:rsidRPr="00C12F9B">
        <w:rPr>
          <w:b/>
        </w:rPr>
        <w:t>Grant Number</w:t>
      </w:r>
      <w:r>
        <w:t xml:space="preserve">: </w:t>
      </w:r>
      <w:r w:rsidR="00E010CB" w:rsidRPr="00E010CB">
        <w:rPr>
          <w:b/>
          <w:noProof/>
          <w:lang w:eastAsia="en-GB"/>
        </w:rPr>
        <w:t xml:space="preserve"> </w:t>
      </w:r>
      <w:r w:rsidR="006D174C" w:rsidRPr="00335446">
        <w:rPr>
          <w:rFonts w:cstheme="minorHAnsi"/>
          <w:szCs w:val="24"/>
        </w:rPr>
        <w:t>OSP/43279</w:t>
      </w:r>
    </w:p>
    <w:p w14:paraId="70C0226E" w14:textId="083B14C1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6D174C" w:rsidRPr="006D174C">
        <w:rPr>
          <w:bCs/>
        </w:rPr>
        <w:t>Nuffield Foundation and Economic and Social Research Association</w:t>
      </w:r>
    </w:p>
    <w:p w14:paraId="15F5BF9D" w14:textId="27600480" w:rsidR="000F06C6" w:rsidRDefault="000F06C6">
      <w:r w:rsidRPr="00C12F9B">
        <w:rPr>
          <w:b/>
        </w:rPr>
        <w:t>Project title</w:t>
      </w:r>
      <w:r>
        <w:t xml:space="preserve">: </w:t>
      </w:r>
      <w:r w:rsidR="006D174C">
        <w:t>Understanding and improving data linkage consent in surveys</w:t>
      </w:r>
    </w:p>
    <w:p w14:paraId="0FC4B03F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61566086" w14:textId="77777777" w:rsidTr="009D076B">
        <w:trPr>
          <w:trHeight w:val="397"/>
        </w:trPr>
        <w:tc>
          <w:tcPr>
            <w:tcW w:w="4508" w:type="dxa"/>
          </w:tcPr>
          <w:p w14:paraId="10FE2300" w14:textId="69A8EAF6" w:rsidR="006D174C" w:rsidRPr="005A52DC" w:rsidRDefault="006D174C" w:rsidP="006D174C">
            <w:r>
              <w:t>AP1-</w:t>
            </w:r>
            <w:r w:rsidRPr="005A52DC">
              <w:t>1</w:t>
            </w:r>
            <w:r>
              <w:t>Survey</w:t>
            </w:r>
            <w:r w:rsidR="007F2389">
              <w:t>.dta</w:t>
            </w:r>
          </w:p>
          <w:p w14:paraId="4E2AEDE5" w14:textId="5096A1DD" w:rsidR="000F06C6" w:rsidRDefault="000F06C6" w:rsidP="006D174C"/>
        </w:tc>
        <w:tc>
          <w:tcPr>
            <w:tcW w:w="4508" w:type="dxa"/>
          </w:tcPr>
          <w:p w14:paraId="5FF551F7" w14:textId="3A4DC196" w:rsidR="000F06C6" w:rsidRDefault="006D174C">
            <w:r>
              <w:t>Survey data: access panel sample 1, wave 1 (</w:t>
            </w:r>
            <w:r w:rsidR="006237DD">
              <w:t xml:space="preserve">fieldwork </w:t>
            </w:r>
            <w:r>
              <w:t xml:space="preserve">May 2018). Stata data file. </w:t>
            </w:r>
            <w:r w:rsidR="006237DD" w:rsidRPr="0099141F">
              <w:t>5</w:t>
            </w:r>
            <w:r w:rsidR="006237DD">
              <w:t>,</w:t>
            </w:r>
            <w:r w:rsidR="006237DD" w:rsidRPr="0099141F">
              <w:t>6</w:t>
            </w:r>
            <w:r w:rsidR="006237DD">
              <w:t>32</w:t>
            </w:r>
            <w:r w:rsidR="00CD7880">
              <w:t xml:space="preserve"> respondents.</w:t>
            </w:r>
          </w:p>
        </w:tc>
      </w:tr>
      <w:tr w:rsidR="000F06C6" w14:paraId="3BCC8BDD" w14:textId="77777777" w:rsidTr="009D076B">
        <w:trPr>
          <w:trHeight w:val="397"/>
        </w:trPr>
        <w:tc>
          <w:tcPr>
            <w:tcW w:w="4508" w:type="dxa"/>
          </w:tcPr>
          <w:p w14:paraId="1D2829B5" w14:textId="446F1A06" w:rsidR="006D174C" w:rsidRPr="005A52DC" w:rsidRDefault="006D174C" w:rsidP="006D174C">
            <w:r>
              <w:t>AP1-2Survey</w:t>
            </w:r>
            <w:r w:rsidR="007F2389">
              <w:t>.dta</w:t>
            </w:r>
          </w:p>
          <w:p w14:paraId="49C1CED1" w14:textId="77777777" w:rsidR="000F06C6" w:rsidRDefault="000F06C6"/>
        </w:tc>
        <w:tc>
          <w:tcPr>
            <w:tcW w:w="4508" w:type="dxa"/>
          </w:tcPr>
          <w:p w14:paraId="2B281579" w14:textId="50D892D6" w:rsidR="000F06C6" w:rsidRDefault="006D174C">
            <w:r>
              <w:t>Survey data: access panel sample 1, wave 2 (</w:t>
            </w:r>
            <w:r w:rsidR="006237DD">
              <w:t xml:space="preserve">fieldwork </w:t>
            </w:r>
            <w:r>
              <w:t>May 2019). Stata data file.</w:t>
            </w:r>
            <w:r w:rsidR="006237DD">
              <w:t xml:space="preserve"> </w:t>
            </w:r>
            <w:r w:rsidR="00CD7880" w:rsidRPr="00CD7880">
              <w:t>1,693</w:t>
            </w:r>
            <w:r w:rsidR="00CD7880">
              <w:t xml:space="preserve"> </w:t>
            </w:r>
            <w:r w:rsidR="006237DD">
              <w:t xml:space="preserve">respondents. </w:t>
            </w:r>
          </w:p>
        </w:tc>
      </w:tr>
      <w:tr w:rsidR="000F06C6" w14:paraId="3E70DDC2" w14:textId="77777777" w:rsidTr="009D076B">
        <w:trPr>
          <w:trHeight w:val="397"/>
        </w:trPr>
        <w:tc>
          <w:tcPr>
            <w:tcW w:w="4508" w:type="dxa"/>
          </w:tcPr>
          <w:p w14:paraId="311E6D03" w14:textId="0397BF2D" w:rsidR="000F06C6" w:rsidRDefault="006D174C">
            <w:r>
              <w:t>AP2Survey</w:t>
            </w:r>
            <w:r w:rsidR="007F2389">
              <w:t>.dta</w:t>
            </w:r>
          </w:p>
        </w:tc>
        <w:tc>
          <w:tcPr>
            <w:tcW w:w="4508" w:type="dxa"/>
          </w:tcPr>
          <w:p w14:paraId="7748C9C1" w14:textId="49CA4B81" w:rsidR="000F06C6" w:rsidRDefault="006D174C">
            <w:r>
              <w:t>Survey data: access panel sample 2 (</w:t>
            </w:r>
            <w:r w:rsidR="006237DD">
              <w:t xml:space="preserve">fieldwork </w:t>
            </w:r>
            <w:r>
              <w:t>December 2019). Stata data file.</w:t>
            </w:r>
            <w:r w:rsidR="006237DD">
              <w:t xml:space="preserve"> </w:t>
            </w:r>
            <w:r w:rsidR="006237DD" w:rsidRPr="0099141F">
              <w:t>3</w:t>
            </w:r>
            <w:r w:rsidR="006237DD">
              <w:t>,</w:t>
            </w:r>
            <w:r w:rsidR="006237DD" w:rsidRPr="0099141F">
              <w:t>850</w:t>
            </w:r>
            <w:r w:rsidR="006237DD">
              <w:t xml:space="preserve"> respondents.</w:t>
            </w:r>
          </w:p>
        </w:tc>
      </w:tr>
      <w:tr w:rsidR="000F06C6" w14:paraId="7C6B490A" w14:textId="77777777" w:rsidTr="009D076B">
        <w:trPr>
          <w:trHeight w:val="397"/>
        </w:trPr>
        <w:tc>
          <w:tcPr>
            <w:tcW w:w="4508" w:type="dxa"/>
          </w:tcPr>
          <w:p w14:paraId="6E9AD835" w14:textId="68AF202E" w:rsidR="006D174C" w:rsidRPr="005A52DC" w:rsidRDefault="006D174C" w:rsidP="006D174C">
            <w:r w:rsidRPr="005A52DC">
              <w:t>AP1</w:t>
            </w:r>
            <w:r>
              <w:t>-1Profile</w:t>
            </w:r>
            <w:r w:rsidR="007F2389">
              <w:t>.dta</w:t>
            </w:r>
          </w:p>
          <w:p w14:paraId="0AF84401" w14:textId="4ECD39A2" w:rsidR="000F06C6" w:rsidRDefault="000F06C6" w:rsidP="006D174C"/>
        </w:tc>
        <w:tc>
          <w:tcPr>
            <w:tcW w:w="4508" w:type="dxa"/>
          </w:tcPr>
          <w:p w14:paraId="71559CBF" w14:textId="396E8F6A" w:rsidR="000F06C6" w:rsidRDefault="00CD7880" w:rsidP="006D174C">
            <w:r>
              <w:t>B</w:t>
            </w:r>
            <w:r w:rsidR="006D174C">
              <w:t xml:space="preserve">asic information about </w:t>
            </w:r>
            <w:r w:rsidR="006D174C" w:rsidRPr="005A52DC">
              <w:t xml:space="preserve">all </w:t>
            </w:r>
            <w:r w:rsidR="006D174C">
              <w:t xml:space="preserve">invited </w:t>
            </w:r>
            <w:r w:rsidR="006D174C" w:rsidRPr="005A52DC">
              <w:t>sample members</w:t>
            </w:r>
            <w:r w:rsidR="006D174C">
              <w:t xml:space="preserve">, including respondents and non-respondents. Access panel sample 1. Stata data file. </w:t>
            </w:r>
            <w:r>
              <w:t>46,206 sample members.</w:t>
            </w:r>
          </w:p>
        </w:tc>
      </w:tr>
      <w:tr w:rsidR="000F06C6" w14:paraId="76EF506A" w14:textId="77777777" w:rsidTr="009D076B">
        <w:trPr>
          <w:trHeight w:val="397"/>
        </w:trPr>
        <w:tc>
          <w:tcPr>
            <w:tcW w:w="4508" w:type="dxa"/>
          </w:tcPr>
          <w:p w14:paraId="3ADDF600" w14:textId="6D189C05" w:rsidR="000F06C6" w:rsidRDefault="006D174C">
            <w:r>
              <w:t>AP2Profile</w:t>
            </w:r>
            <w:r w:rsidR="007F2389">
              <w:t>.dta</w:t>
            </w:r>
          </w:p>
        </w:tc>
        <w:tc>
          <w:tcPr>
            <w:tcW w:w="4508" w:type="dxa"/>
          </w:tcPr>
          <w:p w14:paraId="70333118" w14:textId="61809A97" w:rsidR="000F06C6" w:rsidRDefault="00CD7880">
            <w:r>
              <w:t>B</w:t>
            </w:r>
            <w:r w:rsidR="006D174C">
              <w:t xml:space="preserve">asic information about </w:t>
            </w:r>
            <w:r w:rsidR="006D174C" w:rsidRPr="005A52DC">
              <w:t xml:space="preserve">all </w:t>
            </w:r>
            <w:r w:rsidR="006D174C">
              <w:t xml:space="preserve">invited </w:t>
            </w:r>
            <w:r w:rsidR="006D174C" w:rsidRPr="005A52DC">
              <w:t>sample members</w:t>
            </w:r>
            <w:r w:rsidR="006D174C">
              <w:t xml:space="preserve">, including respondents and non-respondents. Access panel sample 2. Stata data file. </w:t>
            </w:r>
            <w:r w:rsidRPr="00CD7880">
              <w:t>30,682</w:t>
            </w:r>
            <w:r>
              <w:t xml:space="preserve"> sample members.</w:t>
            </w:r>
          </w:p>
        </w:tc>
      </w:tr>
      <w:tr w:rsidR="000F06C6" w14:paraId="0F738EE4" w14:textId="77777777" w:rsidTr="009D076B">
        <w:trPr>
          <w:trHeight w:val="397"/>
        </w:trPr>
        <w:tc>
          <w:tcPr>
            <w:tcW w:w="4508" w:type="dxa"/>
          </w:tcPr>
          <w:p w14:paraId="5C96E3FF" w14:textId="3E7FF5B8" w:rsidR="006D174C" w:rsidRPr="005A52DC" w:rsidRDefault="006D174C" w:rsidP="006D174C">
            <w:r>
              <w:t>AP1-</w:t>
            </w:r>
            <w:r w:rsidRPr="005A52DC">
              <w:t>1</w:t>
            </w:r>
            <w:r>
              <w:t>Paradata</w:t>
            </w:r>
            <w:r w:rsidR="007F2389">
              <w:t>.dta</w:t>
            </w:r>
          </w:p>
          <w:p w14:paraId="55ECE586" w14:textId="6FE5F119" w:rsidR="000F06C6" w:rsidRDefault="000F06C6" w:rsidP="006D174C"/>
        </w:tc>
        <w:tc>
          <w:tcPr>
            <w:tcW w:w="4508" w:type="dxa"/>
          </w:tcPr>
          <w:p w14:paraId="7C2E189F" w14:textId="6347B766" w:rsidR="000F06C6" w:rsidRDefault="006D174C">
            <w:r>
              <w:t xml:space="preserve">Paradata </w:t>
            </w:r>
            <w:r w:rsidR="006237DD">
              <w:t>collected automatically from</w:t>
            </w:r>
            <w:r>
              <w:t xml:space="preserve"> </w:t>
            </w:r>
            <w:r w:rsidR="006237DD">
              <w:t xml:space="preserve">the </w:t>
            </w:r>
            <w:r>
              <w:t>access panel sample 1, wave 1</w:t>
            </w:r>
            <w:r w:rsidR="006237DD">
              <w:t xml:space="preserve"> survey</w:t>
            </w:r>
            <w:r>
              <w:t xml:space="preserve">. </w:t>
            </w:r>
            <w:r w:rsidR="006237DD">
              <w:t>Contains information about the browser used to complete the survey and the keystrokes (clicks and timestamps) for each question</w:t>
            </w:r>
            <w:r w:rsidR="00CD7880">
              <w:t>naire scre</w:t>
            </w:r>
            <w:r w:rsidR="006237DD">
              <w:t xml:space="preserve">en. </w:t>
            </w:r>
            <w:r>
              <w:t xml:space="preserve">Stata data file. </w:t>
            </w:r>
            <w:r w:rsidR="00CD7880" w:rsidRPr="00CD7880">
              <w:t>6,532</w:t>
            </w:r>
            <w:r w:rsidR="00CD7880">
              <w:t xml:space="preserve"> respondents.</w:t>
            </w:r>
          </w:p>
        </w:tc>
      </w:tr>
      <w:tr w:rsidR="000F06C6" w14:paraId="3689FB1D" w14:textId="77777777" w:rsidTr="009D076B">
        <w:trPr>
          <w:trHeight w:val="397"/>
        </w:trPr>
        <w:tc>
          <w:tcPr>
            <w:tcW w:w="4508" w:type="dxa"/>
          </w:tcPr>
          <w:p w14:paraId="33B270F8" w14:textId="7B012281" w:rsidR="006D174C" w:rsidRPr="005A52DC" w:rsidRDefault="006D174C" w:rsidP="006D174C">
            <w:r>
              <w:t>AP1-2Paradata</w:t>
            </w:r>
            <w:r w:rsidR="007F2389">
              <w:t>.dta</w:t>
            </w:r>
          </w:p>
          <w:p w14:paraId="5F3D6F82" w14:textId="77777777" w:rsidR="000F06C6" w:rsidRDefault="000F06C6"/>
        </w:tc>
        <w:tc>
          <w:tcPr>
            <w:tcW w:w="4508" w:type="dxa"/>
          </w:tcPr>
          <w:p w14:paraId="52EBAE49" w14:textId="70A930D5" w:rsidR="000F06C6" w:rsidRDefault="006D174C">
            <w:r>
              <w:t xml:space="preserve">Paradata </w:t>
            </w:r>
            <w:r w:rsidR="006237DD">
              <w:t xml:space="preserve">collected automatically </w:t>
            </w:r>
            <w:r>
              <w:t xml:space="preserve">from </w:t>
            </w:r>
            <w:r w:rsidR="006237DD">
              <w:t xml:space="preserve">the </w:t>
            </w:r>
            <w:r>
              <w:t>access panel sample 1, wave 2</w:t>
            </w:r>
            <w:r w:rsidR="006237DD">
              <w:t xml:space="preserve"> survey</w:t>
            </w:r>
            <w:r>
              <w:t xml:space="preserve">. </w:t>
            </w:r>
            <w:r w:rsidR="006237DD">
              <w:t xml:space="preserve">Contains information about the browser used to complete the survey and the keystrokes (clicks and timestamps) for each questionnaire screen. </w:t>
            </w:r>
            <w:r>
              <w:t>Stata data file.</w:t>
            </w:r>
            <w:r w:rsidR="00CD7880">
              <w:t xml:space="preserve"> </w:t>
            </w:r>
            <w:r w:rsidR="00CD7880" w:rsidRPr="00CD7880">
              <w:t>1,693</w:t>
            </w:r>
            <w:r w:rsidR="00CD7880">
              <w:t xml:space="preserve"> respondents. </w:t>
            </w:r>
          </w:p>
        </w:tc>
      </w:tr>
      <w:tr w:rsidR="006D174C" w14:paraId="11E58DF0" w14:textId="77777777" w:rsidTr="009D076B">
        <w:trPr>
          <w:trHeight w:val="397"/>
        </w:trPr>
        <w:tc>
          <w:tcPr>
            <w:tcW w:w="4508" w:type="dxa"/>
          </w:tcPr>
          <w:p w14:paraId="5DEC0691" w14:textId="11BDD0F4" w:rsidR="006D174C" w:rsidRDefault="006D174C" w:rsidP="006D174C">
            <w:r>
              <w:t>AP2Paradata</w:t>
            </w:r>
            <w:r w:rsidR="007F2389">
              <w:t>.dta</w:t>
            </w:r>
          </w:p>
        </w:tc>
        <w:tc>
          <w:tcPr>
            <w:tcW w:w="4508" w:type="dxa"/>
          </w:tcPr>
          <w:p w14:paraId="42C4C5D0" w14:textId="7A61B102" w:rsidR="006D174C" w:rsidRDefault="006D174C">
            <w:r>
              <w:t>Paradata</w:t>
            </w:r>
            <w:r w:rsidR="006237DD">
              <w:t xml:space="preserve"> collected automatically</w:t>
            </w:r>
            <w:r>
              <w:t xml:space="preserve"> from </w:t>
            </w:r>
            <w:r w:rsidR="006237DD">
              <w:t xml:space="preserve">the </w:t>
            </w:r>
            <w:r>
              <w:t>access panel sample 2</w:t>
            </w:r>
            <w:r w:rsidR="006237DD">
              <w:t xml:space="preserve"> survey</w:t>
            </w:r>
            <w:r>
              <w:t>.</w:t>
            </w:r>
            <w:r w:rsidR="006237DD">
              <w:t xml:space="preserve"> Contains information about the browser used to complete the survey and the keystrokes (clicks and timestamps) for each questionnaire screen. </w:t>
            </w:r>
            <w:r>
              <w:t xml:space="preserve"> Stata data file.</w:t>
            </w:r>
            <w:r w:rsidR="00CD7880">
              <w:t xml:space="preserve"> </w:t>
            </w:r>
            <w:r w:rsidR="00CD7880" w:rsidRPr="00CD7880">
              <w:t>6,459</w:t>
            </w:r>
            <w:r w:rsidR="00CD7880">
              <w:t xml:space="preserve"> respondents. </w:t>
            </w:r>
          </w:p>
        </w:tc>
      </w:tr>
      <w:tr w:rsidR="00DE1EF0" w14:paraId="541E546F" w14:textId="77777777" w:rsidTr="009D076B">
        <w:trPr>
          <w:trHeight w:val="397"/>
        </w:trPr>
        <w:tc>
          <w:tcPr>
            <w:tcW w:w="4508" w:type="dxa"/>
          </w:tcPr>
          <w:p w14:paraId="606AF5C9" w14:textId="2427663B" w:rsidR="00DE1EF0" w:rsidRDefault="00DE1EF0" w:rsidP="006D174C">
            <w:r w:rsidRPr="00DE1EF0">
              <w:t>AP1.1 clean time stamps</w:t>
            </w:r>
            <w:r>
              <w:t>.dta</w:t>
            </w:r>
          </w:p>
        </w:tc>
        <w:tc>
          <w:tcPr>
            <w:tcW w:w="4508" w:type="dxa"/>
          </w:tcPr>
          <w:p w14:paraId="0264124A" w14:textId="0FC1A8AC" w:rsidR="00DE1EF0" w:rsidRDefault="00276B46">
            <w:r>
              <w:t xml:space="preserve">Response times (in milliseconds) and indicators of whether respondent clicked on leaflet or diagram for each experimental consent </w:t>
            </w:r>
            <w:r>
              <w:lastRenderedPageBreak/>
              <w:t>question, derived from the time stamps in the paradata file</w:t>
            </w:r>
            <w:r w:rsidR="003C13BF">
              <w:t>.</w:t>
            </w:r>
          </w:p>
        </w:tc>
      </w:tr>
      <w:tr w:rsidR="00DE1EF0" w14:paraId="78071A34" w14:textId="77777777" w:rsidTr="009D076B">
        <w:trPr>
          <w:trHeight w:val="397"/>
        </w:trPr>
        <w:tc>
          <w:tcPr>
            <w:tcW w:w="4508" w:type="dxa"/>
          </w:tcPr>
          <w:p w14:paraId="5C0A374F" w14:textId="133224D0" w:rsidR="00DE1EF0" w:rsidRDefault="00DE1EF0" w:rsidP="00DE1EF0">
            <w:r w:rsidRPr="00DE1EF0">
              <w:lastRenderedPageBreak/>
              <w:t>AP2 clean time stamps</w:t>
            </w:r>
            <w:r>
              <w:t>.dta</w:t>
            </w:r>
          </w:p>
        </w:tc>
        <w:tc>
          <w:tcPr>
            <w:tcW w:w="4508" w:type="dxa"/>
          </w:tcPr>
          <w:p w14:paraId="0EF8C0BF" w14:textId="0269206A" w:rsidR="00DE1EF0" w:rsidRDefault="003C13BF" w:rsidP="00DE1EF0">
            <w:r>
              <w:t>Response times (in milliseconds) and indicators of whether respondent clicked on leaflet or diagram for each experimental consent question, derived from the time stamps in the paradata file.</w:t>
            </w:r>
          </w:p>
        </w:tc>
      </w:tr>
      <w:tr w:rsidR="00DE1EF0" w14:paraId="06B393DF" w14:textId="77777777" w:rsidTr="009D076B">
        <w:trPr>
          <w:trHeight w:val="397"/>
        </w:trPr>
        <w:tc>
          <w:tcPr>
            <w:tcW w:w="4508" w:type="dxa"/>
          </w:tcPr>
          <w:p w14:paraId="336EA84F" w14:textId="2D0A789C" w:rsidR="00DE1EF0" w:rsidRDefault="00DE1EF0" w:rsidP="00DE1EF0">
            <w:r>
              <w:t>Linking data from different files</w:t>
            </w:r>
          </w:p>
        </w:tc>
        <w:tc>
          <w:tcPr>
            <w:tcW w:w="4508" w:type="dxa"/>
          </w:tcPr>
          <w:p w14:paraId="323C90F4" w14:textId="77777777" w:rsidR="00DE1EF0" w:rsidRDefault="00DE1EF0" w:rsidP="00DE1EF0">
            <w:r>
              <w:t xml:space="preserve">All datasets contain the unique personal identifier “pid”. This can be used to combine the survey data with the profile and/or paradata file of the same wave, and to combine the data from waves 1 and 2 for sample AP1. </w:t>
            </w:r>
          </w:p>
          <w:p w14:paraId="373BA848" w14:textId="77777777" w:rsidR="00DE1EF0" w:rsidRDefault="00DE1EF0" w:rsidP="00DE1EF0"/>
        </w:tc>
      </w:tr>
    </w:tbl>
    <w:p w14:paraId="66736425" w14:textId="40C410EF" w:rsidR="000F06C6" w:rsidRDefault="000F06C6"/>
    <w:p w14:paraId="3CCA7D49" w14:textId="720DC7CC" w:rsidR="001B2E16" w:rsidRPr="001B2E16" w:rsidRDefault="001B2E16">
      <w:pPr>
        <w:rPr>
          <w:b/>
          <w:bCs/>
        </w:rPr>
      </w:pPr>
      <w:r w:rsidRPr="001B2E16">
        <w:rPr>
          <w:b/>
          <w:bCs/>
        </w:rPr>
        <w:t>Data Change Log:</w:t>
      </w:r>
    </w:p>
    <w:p w14:paraId="15B6C543" w14:textId="0517B13D" w:rsidR="001B2E16" w:rsidRDefault="001B2E16" w:rsidP="001B2E16">
      <w:pPr>
        <w:pStyle w:val="ListParagraph"/>
        <w:numPr>
          <w:ilvl w:val="0"/>
          <w:numId w:val="2"/>
        </w:numPr>
      </w:pPr>
      <w:r w:rsidRPr="001B2E16">
        <w:rPr>
          <w:b/>
          <w:bCs/>
        </w:rPr>
        <w:t>AP</w:t>
      </w:r>
      <w:r w:rsidRPr="001B2E16">
        <w:rPr>
          <w:b/>
          <w:bCs/>
        </w:rPr>
        <w:t>1.1</w:t>
      </w:r>
      <w:r w:rsidRPr="001B2E16">
        <w:rPr>
          <w:b/>
          <w:bCs/>
        </w:rPr>
        <w:t xml:space="preserve"> clean time stamps.dta</w:t>
      </w:r>
      <w:r>
        <w:t>: data file added in version 2 release of the data [January 2022].</w:t>
      </w:r>
    </w:p>
    <w:p w14:paraId="036E44EA" w14:textId="354B3CD5" w:rsidR="001B2E16" w:rsidRDefault="001B2E16" w:rsidP="001B2E16">
      <w:pPr>
        <w:pStyle w:val="ListParagraph"/>
        <w:numPr>
          <w:ilvl w:val="0"/>
          <w:numId w:val="2"/>
        </w:numPr>
      </w:pPr>
      <w:r w:rsidRPr="001B2E16">
        <w:rPr>
          <w:b/>
          <w:bCs/>
        </w:rPr>
        <w:t>AP2 clean time stamps.dta</w:t>
      </w:r>
      <w:r>
        <w:t xml:space="preserve">: </w:t>
      </w:r>
      <w:r>
        <w:t>data file added in version 2 release of the data [January 2022].</w:t>
      </w:r>
    </w:p>
    <w:p w14:paraId="4C375986" w14:textId="4E285881" w:rsidR="001B2E16" w:rsidRDefault="001B2E16" w:rsidP="001B2E16">
      <w:pPr>
        <w:pStyle w:val="ListParagraph"/>
        <w:numPr>
          <w:ilvl w:val="0"/>
          <w:numId w:val="2"/>
        </w:numPr>
      </w:pPr>
      <w:r w:rsidRPr="001B2E16">
        <w:rPr>
          <w:b/>
          <w:bCs/>
        </w:rPr>
        <w:t>User Guide</w:t>
      </w:r>
      <w:r>
        <w:t>: version 2.0 includes documentation of the new data files [January 2022].</w:t>
      </w:r>
    </w:p>
    <w:p w14:paraId="7694BFF7" w14:textId="439561D7" w:rsidR="001B2E16" w:rsidRDefault="001B2E16"/>
    <w:p w14:paraId="73D5CCC2" w14:textId="20907DE4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</w:t>
      </w:r>
    </w:p>
    <w:p w14:paraId="78C08884" w14:textId="2545A96C" w:rsidR="00DE1EF0" w:rsidRPr="00712AA3" w:rsidRDefault="00DE1EF0">
      <w:pPr>
        <w:rPr>
          <w:rFonts w:cstheme="minorHAnsi"/>
          <w:color w:val="333333"/>
          <w:shd w:val="clear" w:color="auto" w:fill="FFFFFF"/>
        </w:rPr>
      </w:pPr>
      <w:r w:rsidRPr="00712AA3">
        <w:rPr>
          <w:rFonts w:cstheme="minorHAnsi"/>
          <w:color w:val="333333"/>
          <w:shd w:val="clear" w:color="auto" w:fill="FFFFFF"/>
        </w:rPr>
        <w:t>Jonathan Burton, Mick P. Couper, Thomas F. Crossley, Annette Jäckle and Sandra Walzenbach (2021) How do survey respondents decide whether to consent to data linkage?, </w:t>
      </w:r>
      <w:r w:rsidRPr="00712AA3">
        <w:rPr>
          <w:rStyle w:val="Emphasis"/>
          <w:rFonts w:cstheme="minorHAnsi"/>
          <w:color w:val="333333"/>
          <w:shd w:val="clear" w:color="auto" w:fill="FFFFFF"/>
        </w:rPr>
        <w:t>Understanding Society Working Paper 2021-05</w:t>
      </w:r>
      <w:r w:rsidRPr="00712AA3">
        <w:rPr>
          <w:rFonts w:cstheme="minorHAnsi"/>
          <w:color w:val="333333"/>
          <w:shd w:val="clear" w:color="auto" w:fill="FFFFFF"/>
        </w:rPr>
        <w:t xml:space="preserve">, Colchester: University of Essex. </w:t>
      </w:r>
      <w:hyperlink r:id="rId6" w:history="1">
        <w:r w:rsidRPr="00712AA3">
          <w:rPr>
            <w:rStyle w:val="Hyperlink"/>
            <w:rFonts w:cstheme="minorHAnsi"/>
            <w:shd w:val="clear" w:color="auto" w:fill="FFFFFF"/>
          </w:rPr>
          <w:t>https://www.understandingsociety.ac.uk/research/publications/547074</w:t>
        </w:r>
      </w:hyperlink>
      <w:r w:rsidRPr="00712AA3">
        <w:rPr>
          <w:rFonts w:cstheme="minorHAnsi"/>
          <w:color w:val="333333"/>
          <w:shd w:val="clear" w:color="auto" w:fill="FFFFFF"/>
        </w:rPr>
        <w:t xml:space="preserve">  </w:t>
      </w:r>
    </w:p>
    <w:p w14:paraId="6C1D2F33" w14:textId="094C6FE7" w:rsidR="00C12F9B" w:rsidRPr="00712AA3" w:rsidRDefault="006D174C" w:rsidP="00DE1EF0">
      <w:pPr>
        <w:spacing w:after="0"/>
        <w:rPr>
          <w:rFonts w:cstheme="minorHAnsi"/>
          <w:color w:val="333333"/>
          <w:shd w:val="clear" w:color="auto" w:fill="FFFFFF"/>
        </w:rPr>
      </w:pPr>
      <w:r w:rsidRPr="00712AA3">
        <w:rPr>
          <w:rFonts w:cstheme="minorHAnsi"/>
          <w:color w:val="333333"/>
          <w:shd w:val="clear" w:color="auto" w:fill="FFFFFF"/>
        </w:rPr>
        <w:t>Annette Jäckle, Jonathan Burton, Mick P. Couper, Thomas F. Crossley and Sandra Walzenbach (2021) Understanding and improving data linkage consent in surveys, </w:t>
      </w:r>
      <w:r w:rsidRPr="00712AA3">
        <w:rPr>
          <w:rStyle w:val="Emphasis"/>
          <w:rFonts w:cstheme="minorHAnsi"/>
          <w:color w:val="333333"/>
          <w:shd w:val="clear" w:color="auto" w:fill="FFFFFF"/>
        </w:rPr>
        <w:t>Understanding Society Working Paper 2021-01</w:t>
      </w:r>
      <w:r w:rsidRPr="00712AA3">
        <w:rPr>
          <w:rFonts w:cstheme="minorHAnsi"/>
          <w:color w:val="333333"/>
          <w:shd w:val="clear" w:color="auto" w:fill="FFFFFF"/>
        </w:rPr>
        <w:t>, Colchester: University of Essex</w:t>
      </w:r>
      <w:r w:rsidR="00DE1EF0" w:rsidRPr="00712AA3">
        <w:rPr>
          <w:rFonts w:cstheme="minorHAnsi"/>
          <w:color w:val="333333"/>
          <w:shd w:val="clear" w:color="auto" w:fill="FFFFFF"/>
        </w:rPr>
        <w:t>.</w:t>
      </w:r>
    </w:p>
    <w:p w14:paraId="546DA957" w14:textId="685189B3" w:rsidR="00DE1EF0" w:rsidRPr="00712AA3" w:rsidRDefault="001B2E16">
      <w:pPr>
        <w:rPr>
          <w:rFonts w:cstheme="minorHAnsi"/>
          <w:color w:val="333333"/>
          <w:shd w:val="clear" w:color="auto" w:fill="FFFFFF"/>
        </w:rPr>
      </w:pPr>
      <w:hyperlink r:id="rId7" w:history="1">
        <w:r w:rsidR="00DE1EF0" w:rsidRPr="00712AA3">
          <w:rPr>
            <w:rStyle w:val="Hyperlink"/>
            <w:rFonts w:cstheme="minorHAnsi"/>
            <w:shd w:val="clear" w:color="auto" w:fill="FFFFFF"/>
          </w:rPr>
          <w:t>https://www.understandingsociety.ac.uk/research/publications/526574</w:t>
        </w:r>
      </w:hyperlink>
    </w:p>
    <w:p w14:paraId="38425CDA" w14:textId="2BE62151" w:rsidR="00712AA3" w:rsidRPr="00712AA3" w:rsidRDefault="006D174C" w:rsidP="00712AA3">
      <w:pPr>
        <w:rPr>
          <w:rFonts w:cstheme="minorHAnsi"/>
          <w:color w:val="333333"/>
          <w:shd w:val="clear" w:color="auto" w:fill="FFFFFF"/>
        </w:rPr>
      </w:pPr>
      <w:r w:rsidRPr="00712AA3">
        <w:rPr>
          <w:rFonts w:cstheme="minorHAnsi"/>
          <w:color w:val="333333"/>
          <w:shd w:val="clear" w:color="auto" w:fill="FFFFFF"/>
        </w:rPr>
        <w:t>Sandra Walzenbach, Jonathan Burton, Mick P. Couper, Thomas F. Crossley and Annette Jäckle (202</w:t>
      </w:r>
      <w:r w:rsidR="00712AA3" w:rsidRPr="00712AA3">
        <w:rPr>
          <w:rFonts w:cstheme="minorHAnsi"/>
          <w:color w:val="333333"/>
          <w:shd w:val="clear" w:color="auto" w:fill="FFFFFF"/>
        </w:rPr>
        <w:t>2</w:t>
      </w:r>
      <w:r w:rsidRPr="00712AA3">
        <w:rPr>
          <w:rFonts w:cstheme="minorHAnsi"/>
          <w:color w:val="333333"/>
          <w:shd w:val="clear" w:color="auto" w:fill="FFFFFF"/>
        </w:rPr>
        <w:t>) Experiments on multiple requests for consent to data linkage in surveys, </w:t>
      </w:r>
      <w:r w:rsidR="00712AA3" w:rsidRPr="00712AA3">
        <w:rPr>
          <w:rFonts w:cstheme="minorHAnsi"/>
          <w:color w:val="333333"/>
          <w:shd w:val="clear" w:color="auto" w:fill="FFFFFF"/>
        </w:rPr>
        <w:t xml:space="preserve">Journal of Survey Statistics and Methodology, </w:t>
      </w:r>
      <w:hyperlink r:id="rId8" w:history="1">
        <w:r w:rsidR="00712AA3" w:rsidRPr="00712AA3">
          <w:rPr>
            <w:rStyle w:val="Hyperlink"/>
            <w:rFonts w:cstheme="minorHAnsi"/>
            <w:shd w:val="clear" w:color="auto" w:fill="FFFFFF"/>
          </w:rPr>
          <w:t>https://doi.org/10.1093/jssam/smab053</w:t>
        </w:r>
      </w:hyperlink>
      <w:r w:rsidR="00712AA3" w:rsidRPr="00712AA3">
        <w:rPr>
          <w:rStyle w:val="Hyperlink"/>
          <w:rFonts w:cstheme="minorHAnsi"/>
        </w:rPr>
        <w:t xml:space="preserve"> </w:t>
      </w:r>
      <w:hyperlink r:id="rId9" w:history="1">
        <w:r w:rsidR="00712AA3" w:rsidRPr="00712AA3">
          <w:rPr>
            <w:rStyle w:val="Hyperlink"/>
            <w:rFonts w:cstheme="minorHAnsi"/>
          </w:rPr>
          <w:t>https://academic.oup.com/jssam/advance-article/doi/10.1093/jssam/smab053/6507400?guestAccessKey=81b21381-0060-4ccc-809f-5b332961a51b</w:t>
        </w:r>
      </w:hyperlink>
    </w:p>
    <w:p w14:paraId="64F0DE4D" w14:textId="77777777" w:rsidR="00712AA3" w:rsidRDefault="00712AA3" w:rsidP="00712AA3"/>
    <w:p w14:paraId="05671649" w14:textId="77777777" w:rsidR="00712AA3" w:rsidRDefault="00712AA3">
      <w:pPr>
        <w:rPr>
          <w:rStyle w:val="Emphasis"/>
          <w:rFonts w:ascii="Helvetica" w:hAnsi="Helvetica"/>
          <w:color w:val="333333"/>
          <w:sz w:val="26"/>
          <w:szCs w:val="26"/>
          <w:shd w:val="clear" w:color="auto" w:fill="FFFFFF"/>
        </w:rPr>
      </w:pPr>
    </w:p>
    <w:p w14:paraId="090907C9" w14:textId="550AC6AC" w:rsidR="006D174C" w:rsidRDefault="006D174C">
      <w:pPr>
        <w:rPr>
          <w:rFonts w:ascii="Helvetica" w:hAnsi="Helvetica"/>
          <w:color w:val="333333"/>
          <w:sz w:val="26"/>
          <w:szCs w:val="26"/>
          <w:shd w:val="clear" w:color="auto" w:fill="FFFFFF"/>
        </w:rPr>
      </w:pPr>
    </w:p>
    <w:p w14:paraId="50386184" w14:textId="77777777" w:rsidR="006D174C" w:rsidRDefault="006D174C"/>
    <w:sectPr w:rsidR="006D1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45AD8"/>
    <w:multiLevelType w:val="hybridMultilevel"/>
    <w:tmpl w:val="B3A41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B57CB"/>
    <w:multiLevelType w:val="hybridMultilevel"/>
    <w:tmpl w:val="99640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B2E16"/>
    <w:rsid w:val="001D3D77"/>
    <w:rsid w:val="00276B46"/>
    <w:rsid w:val="00377F0F"/>
    <w:rsid w:val="003B3C82"/>
    <w:rsid w:val="003C13BF"/>
    <w:rsid w:val="00414A0E"/>
    <w:rsid w:val="006237DD"/>
    <w:rsid w:val="00684A3C"/>
    <w:rsid w:val="006D174C"/>
    <w:rsid w:val="00712AA3"/>
    <w:rsid w:val="007F2389"/>
    <w:rsid w:val="009D076B"/>
    <w:rsid w:val="00AB5DC8"/>
    <w:rsid w:val="00C12F9B"/>
    <w:rsid w:val="00CD7880"/>
    <w:rsid w:val="00DD1FA8"/>
    <w:rsid w:val="00DE1EF0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45AA2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D174C"/>
    <w:rPr>
      <w:i/>
      <w:iCs/>
    </w:rPr>
  </w:style>
  <w:style w:type="character" w:styleId="Hyperlink">
    <w:name w:val="Hyperlink"/>
    <w:basedOn w:val="DefaultParagraphFont"/>
    <w:uiPriority w:val="99"/>
    <w:unhideWhenUsed/>
    <w:rsid w:val="00DE1E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E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2AA3"/>
    <w:pPr>
      <w:spacing w:after="0" w:line="240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3/jssam/smab05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derstandingsociety.ac.uk/research/publications/5265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derstandingsociety.ac.uk/research/publications/54707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nkprotect.cudasvc.com/url?a=http%3a%2f%2ftrack.smtpsendmail.com%2f9032119%2fc%3fp%3dmZkLo95h6KisBFG1q0xUS9rb1_JLgtzSMqcCqKW37hStwQLpzFkFFG7syNBFFEoZGyxFgEhU8i4nudp41n30PVjUb1rFTPGN_jVtM8HNnvRi1SDXFmE6N8_tbuspX_r9lbUpfn4wJsgU5I0hLZZqFkqa62ulmpcqJqTqJaB852aQ2WMiXYh0-77qUJENpnFkQacaMS3VPnRPDhS1U10pcmiWdr8K1x2BbX1EUFqoa334YLYkYIWcUj5nv45I-oNz1vIMl1lViyBwKMADMxerHA%3d%3d&amp;c=E,1,urGOZW_JQN3EvhBlWfbVMeV_xr8DQRPptY1ohwWRNIC5icXl4tBZhaBQoZHjSOTsTdSqJOGEZJBKxPKRT78PrMVTpYhJ5SSKFpG-z-SvzTHk&amp;typo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Jackle, Annette E</cp:lastModifiedBy>
  <cp:revision>7</cp:revision>
  <dcterms:created xsi:type="dcterms:W3CDTF">2021-07-08T13:33:00Z</dcterms:created>
  <dcterms:modified xsi:type="dcterms:W3CDTF">2022-01-27T17:21:00Z</dcterms:modified>
</cp:coreProperties>
</file>