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ECFB" w14:textId="5A528270" w:rsidR="002E4903" w:rsidRDefault="00B43B87">
      <w:bookmarkStart w:id="0" w:name="_GoBack"/>
      <w:bookmarkEnd w:id="0"/>
      <w:r>
        <w:t>fMRI experiment (</w:t>
      </w:r>
      <w:proofErr w:type="spellStart"/>
      <w:r>
        <w:t>Hedgemaze</w:t>
      </w:r>
      <w:proofErr w:type="spellEnd"/>
      <w:r>
        <w:t>)</w:t>
      </w:r>
    </w:p>
    <w:p w14:paraId="2A62D81B" w14:textId="2D096059" w:rsidR="00B43B87" w:rsidRDefault="00B43B87"/>
    <w:p w14:paraId="5BC1F652" w14:textId="15127603" w:rsidR="00B43B87" w:rsidRDefault="00B43B87">
      <w:r>
        <w:t>Data deposited:</w:t>
      </w:r>
    </w:p>
    <w:p w14:paraId="00460744" w14:textId="7C1D6FCB" w:rsidR="00B43B87" w:rsidRDefault="00B43B87">
      <w:r>
        <w:t>Trial-level data for 24 participants. Three participants (1, 8, 23) excluded because of excess head movement.</w:t>
      </w:r>
    </w:p>
    <w:p w14:paraId="6C15807C" w14:textId="3A313768" w:rsidR="00B43B87" w:rsidRDefault="00B43B87" w:rsidP="00B43B87">
      <w:r>
        <w:t>Trial-level data include</w:t>
      </w:r>
      <w:r>
        <w:t>:</w:t>
      </w:r>
    </w:p>
    <w:p w14:paraId="1056B1C4" w14:textId="3BED2A8A" w:rsidR="00B43B87" w:rsidRDefault="00B43B87" w:rsidP="00B43B87">
      <w:pPr>
        <w:pStyle w:val="ListParagraph"/>
        <w:numPr>
          <w:ilvl w:val="0"/>
          <w:numId w:val="1"/>
        </w:numPr>
      </w:pPr>
      <w:r>
        <w:t>de-faced structural scans in folder ‘defaced anatomy’</w:t>
      </w:r>
    </w:p>
    <w:p w14:paraId="1485B957" w14:textId="7E4D521F" w:rsidR="00B43B87" w:rsidRDefault="00B43B87" w:rsidP="00B43B87">
      <w:pPr>
        <w:pStyle w:val="ListParagraph"/>
        <w:numPr>
          <w:ilvl w:val="0"/>
          <w:numId w:val="1"/>
        </w:numPr>
      </w:pPr>
      <w:r>
        <w:t>behavioural data in folder ‘</w:t>
      </w:r>
      <w:proofErr w:type="spellStart"/>
      <w:r>
        <w:t>hedgemaze</w:t>
      </w:r>
      <w:proofErr w:type="spellEnd"/>
      <w:r>
        <w:t xml:space="preserve"> csv’</w:t>
      </w:r>
    </w:p>
    <w:p w14:paraId="77547D19" w14:textId="74DED52E" w:rsidR="00B43B87" w:rsidRDefault="00B43B87" w:rsidP="00B43B87">
      <w:pPr>
        <w:pStyle w:val="ListParagraph"/>
        <w:numPr>
          <w:ilvl w:val="0"/>
          <w:numId w:val="1"/>
        </w:numPr>
      </w:pPr>
      <w:r>
        <w:t>functional scans in zipped folders ‘</w:t>
      </w:r>
      <w:proofErr w:type="spellStart"/>
      <w:r>
        <w:t>hedgemaze_XX_fMRI</w:t>
      </w:r>
      <w:proofErr w:type="spellEnd"/>
      <w:r>
        <w:t xml:space="preserve"> data’</w:t>
      </w:r>
    </w:p>
    <w:p w14:paraId="23A53774" w14:textId="6D7AB3DB" w:rsidR="00B43B87" w:rsidRDefault="00B43B87" w:rsidP="00B43B87">
      <w:r>
        <w:br/>
        <w:t xml:space="preserve">Notes on experimental protocol (full details in </w:t>
      </w:r>
      <w:proofErr w:type="spellStart"/>
      <w:r>
        <w:t>ethesis</w:t>
      </w:r>
      <w:proofErr w:type="spellEnd"/>
      <w:r>
        <w:t xml:space="preserve">: </w:t>
      </w:r>
      <w:hyperlink r:id="rId5" w:history="1">
        <w:r w:rsidRPr="00B43B87">
          <w:rPr>
            <w:rStyle w:val="Hyperlink"/>
          </w:rPr>
          <w:t>http://etheses.dur.ac.uk/13323/</w:t>
        </w:r>
      </w:hyperlink>
      <w:r>
        <w:t>)</w:t>
      </w:r>
    </w:p>
    <w:p w14:paraId="79369B2C" w14:textId="77777777" w:rsidR="00597FEF" w:rsidRDefault="00597FEF" w:rsidP="00997AE0">
      <w:pPr>
        <w:pStyle w:val="ListParagraph"/>
        <w:numPr>
          <w:ilvl w:val="0"/>
          <w:numId w:val="2"/>
        </w:numPr>
        <w:ind w:left="426"/>
      </w:pPr>
      <w:r>
        <w:t>Nine</w:t>
      </w:r>
      <w:r w:rsidR="00B43B87">
        <w:t xml:space="preserve">-junction interconnected Y-maze with objects at each junction. Dual solution task: participants required to learn route to end – could use object identity and/or sequence of turns. </w:t>
      </w:r>
    </w:p>
    <w:p w14:paraId="1752BC4A" w14:textId="580D5BE5" w:rsidR="00B43B87" w:rsidRDefault="00B43B87" w:rsidP="00997AE0">
      <w:pPr>
        <w:pStyle w:val="ListParagraph"/>
        <w:numPr>
          <w:ilvl w:val="0"/>
          <w:numId w:val="2"/>
        </w:numPr>
        <w:ind w:left="426"/>
      </w:pPr>
      <w:r>
        <w:t xml:space="preserve">Pre-training involved learning to reach the end without making an error. Criterion was two errorless runs. Then </w:t>
      </w:r>
      <w:r w:rsidR="00597FEF">
        <w:t xml:space="preserve">a series of </w:t>
      </w:r>
      <w:r w:rsidR="001103FB">
        <w:t>three-junction segments of the full route</w:t>
      </w:r>
      <w:r w:rsidR="00597FEF">
        <w:t xml:space="preserve"> starting at one of three different junctions in the maze, interspersed with full runs and a five-junction run that ended at the final location.</w:t>
      </w:r>
      <w:r w:rsidR="00997AE0">
        <w:t xml:space="preserve"> </w:t>
      </w:r>
    </w:p>
    <w:p w14:paraId="52275730" w14:textId="2F17F80A" w:rsidR="00997AE0" w:rsidRDefault="00997AE0" w:rsidP="00997AE0">
      <w:pPr>
        <w:pStyle w:val="ListParagraph"/>
        <w:numPr>
          <w:ilvl w:val="0"/>
          <w:numId w:val="2"/>
        </w:numPr>
        <w:ind w:left="426"/>
      </w:pPr>
      <w:r>
        <w:t>Scanner protocol:</w:t>
      </w:r>
    </w:p>
    <w:p w14:paraId="459A3647" w14:textId="7BA4DF8E" w:rsidR="00997AE0" w:rsidRDefault="00997AE0" w:rsidP="00997AE0">
      <w:pPr>
        <w:pStyle w:val="ListParagraph"/>
        <w:numPr>
          <w:ilvl w:val="1"/>
          <w:numId w:val="2"/>
        </w:numPr>
        <w:ind w:left="993"/>
      </w:pPr>
      <w:r w:rsidRPr="001103FB">
        <w:rPr>
          <w:b/>
          <w:bCs/>
        </w:rPr>
        <w:t>Scanner re-training</w:t>
      </w:r>
      <w:r w:rsidR="001103FB" w:rsidRPr="001103FB">
        <w:rPr>
          <w:b/>
          <w:bCs/>
        </w:rPr>
        <w:t xml:space="preserve"> phase</w:t>
      </w:r>
      <w:r>
        <w:t xml:space="preserve"> until training criterion met, then sub-route runs as above.</w:t>
      </w:r>
    </w:p>
    <w:p w14:paraId="7474A844" w14:textId="0FE41401" w:rsidR="007F6BBB" w:rsidRDefault="007F6BBB" w:rsidP="00997AE0">
      <w:pPr>
        <w:pStyle w:val="ListParagraph"/>
        <w:numPr>
          <w:ilvl w:val="1"/>
          <w:numId w:val="2"/>
        </w:numPr>
        <w:ind w:left="993"/>
      </w:pPr>
      <w:r w:rsidRPr="001103FB">
        <w:rPr>
          <w:b/>
          <w:bCs/>
        </w:rPr>
        <w:t>Short probes phase</w:t>
      </w:r>
      <w:r>
        <w:t>: 4 runs of 24 trials, 18 of which were short (three-junction) probes: 6 x short sequence, 6 x short conflict, 6 x control trials. In addition, there were 6 x standard full route training trials. Trials were interspersed in pre-determined order.</w:t>
      </w:r>
      <w:r w:rsidR="00A34D37">
        <w:t xml:space="preserve"> Short sequence probe = </w:t>
      </w:r>
      <w:r w:rsidR="0089015D">
        <w:t>two</w:t>
      </w:r>
      <w:r w:rsidR="00B8534A">
        <w:t>-</w:t>
      </w:r>
      <w:r w:rsidR="0089015D">
        <w:t>junction segment of full route with a single object at the first junction and no object at the second junction. Participants had to rely on knowledge of sequence to choose the correct path. Short conflict probe = two</w:t>
      </w:r>
      <w:r w:rsidR="00B8534A">
        <w:t>-</w:t>
      </w:r>
      <w:r w:rsidR="0089015D">
        <w:t xml:space="preserve">junction segment of full route with an object at the first junction and an out-of-sequence object at the second junction. Participants could </w:t>
      </w:r>
      <w:r w:rsidR="00231E1C">
        <w:t>take the correct path relative to either the sequence (ignoring object) or object (ignoring sequence). Control probes = two-junction segment of full route with no objects present, and incorrect arms blocked off by fences.</w:t>
      </w:r>
    </w:p>
    <w:p w14:paraId="1EEC256D" w14:textId="3BE018AB" w:rsidR="00A34D37" w:rsidRDefault="00A34D37" w:rsidP="00997AE0">
      <w:pPr>
        <w:pStyle w:val="ListParagraph"/>
        <w:numPr>
          <w:ilvl w:val="1"/>
          <w:numId w:val="2"/>
        </w:numPr>
        <w:ind w:left="993"/>
      </w:pPr>
      <w:r>
        <w:t xml:space="preserve">After two short probe runs, the </w:t>
      </w:r>
      <w:r w:rsidRPr="001103FB">
        <w:rPr>
          <w:b/>
          <w:bCs/>
        </w:rPr>
        <w:t>structural scan</w:t>
      </w:r>
      <w:r>
        <w:t xml:space="preserve"> was taken</w:t>
      </w:r>
      <w:r w:rsidR="00231E1C">
        <w:t>.</w:t>
      </w:r>
    </w:p>
    <w:p w14:paraId="694A342C" w14:textId="04CA5EBD" w:rsidR="00A34D37" w:rsidRDefault="00A34D37" w:rsidP="00803353">
      <w:pPr>
        <w:pStyle w:val="ListParagraph"/>
        <w:numPr>
          <w:ilvl w:val="1"/>
          <w:numId w:val="2"/>
        </w:numPr>
        <w:ind w:left="993"/>
      </w:pPr>
      <w:r w:rsidRPr="001103FB">
        <w:rPr>
          <w:b/>
          <w:bCs/>
        </w:rPr>
        <w:t>Long probes phase</w:t>
      </w:r>
      <w:r>
        <w:t>: 4 runs of 6 long probes – 3 x long sequence, 3 x long landmark, in alternating order, counterbalanced among participants. Long sequence probe = a three</w:t>
      </w:r>
      <w:r w:rsidR="001103FB">
        <w:t>-</w:t>
      </w:r>
      <w:r>
        <w:t>junction segment of the full route with a single object present at the first junction, with subsequent junctions hav</w:t>
      </w:r>
      <w:r w:rsidR="001103FB">
        <w:t xml:space="preserve">ing no objects. Participants had to rely on knowledge of sequence to choose the correct paths. Long landmark probe = a three-junction probe with landmarks presented in a random order. Participants were </w:t>
      </w:r>
      <w:r w:rsidR="00B8534A">
        <w:t xml:space="preserve">instructed prior to the probes which type of probe would take place and how to respond. For the long landmark probe: </w:t>
      </w:r>
      <w:r w:rsidR="00803353">
        <w:t>“</w:t>
      </w:r>
      <w:r w:rsidR="00B8534A">
        <w:t>we have changed the order of the landmarks from what you</w:t>
      </w:r>
      <w:r w:rsidR="00B8534A">
        <w:t xml:space="preserve"> </w:t>
      </w:r>
      <w:r w:rsidR="00B8534A">
        <w:t>have learned. To make the correct decision at each junction, you need to base your</w:t>
      </w:r>
      <w:r w:rsidR="00B8534A">
        <w:t xml:space="preserve"> </w:t>
      </w:r>
      <w:r w:rsidR="00B8534A">
        <w:t>decision on the direction you would have turned when you saw that landmark during</w:t>
      </w:r>
      <w:r w:rsidR="00B8534A">
        <w:t xml:space="preserve"> </w:t>
      </w:r>
      <w:r w:rsidR="00B8534A">
        <w:t>the normal route</w:t>
      </w:r>
      <w:r w:rsidR="00803353">
        <w:t>”. For the long sequence probe: “</w:t>
      </w:r>
      <w:r w:rsidR="00803353" w:rsidRPr="00803353">
        <w:t>you will see one landmark at the beginning of each trial, which</w:t>
      </w:r>
      <w:r w:rsidR="00803353">
        <w:t xml:space="preserve"> </w:t>
      </w:r>
      <w:r w:rsidR="00803353" w:rsidRPr="00803353">
        <w:t>you can use to tell where along the route you are. However, the other landmarks have</w:t>
      </w:r>
      <w:r w:rsidR="00803353">
        <w:t xml:space="preserve"> </w:t>
      </w:r>
      <w:r w:rsidR="00803353" w:rsidRPr="00803353">
        <w:t xml:space="preserve">all been removed from the environment. The route </w:t>
      </w:r>
      <w:r w:rsidR="00803353" w:rsidRPr="00803353">
        <w:lastRenderedPageBreak/>
        <w:t>hasn’t changed though, so you can</w:t>
      </w:r>
      <w:r w:rsidR="00803353">
        <w:t xml:space="preserve"> </w:t>
      </w:r>
      <w:r w:rsidR="00803353" w:rsidRPr="00803353">
        <w:t>make correct choices at each junction based on what you have learned.</w:t>
      </w:r>
      <w:r w:rsidR="00EA2B20">
        <w:t>”</w:t>
      </w:r>
    </w:p>
    <w:p w14:paraId="7CB88A48" w14:textId="653E128B" w:rsidR="00997AE0" w:rsidRDefault="00997AE0" w:rsidP="00997AE0"/>
    <w:p w14:paraId="17EF404C" w14:textId="7E198558" w:rsidR="00997AE0" w:rsidRDefault="00997AE0" w:rsidP="00997AE0">
      <w:r>
        <w:t>Timestamped behavioural data correspond to fMRI scans as follows</w:t>
      </w:r>
      <w:r w:rsidR="0093295A">
        <w:t xml:space="preserve"> (where XX corresponds to participant number 01-27, excluding 01, 08, 23 for excessive head movement):</w:t>
      </w:r>
    </w:p>
    <w:p w14:paraId="020D2CB5" w14:textId="75511C07" w:rsidR="0093295A" w:rsidRPr="0093295A" w:rsidRDefault="0093295A" w:rsidP="0093295A">
      <w:pPr>
        <w:rPr>
          <w:u w:val="single"/>
        </w:rPr>
      </w:pPr>
      <w:r w:rsidRPr="0093295A">
        <w:rPr>
          <w:u w:val="single"/>
        </w:rPr>
        <w:t>Scanner re-training phase</w:t>
      </w:r>
    </w:p>
    <w:p w14:paraId="43AD2916" w14:textId="6463877E" w:rsidR="0093295A" w:rsidRDefault="0093295A" w:rsidP="0093295A">
      <w:pPr>
        <w:pStyle w:val="ListParagraph"/>
        <w:numPr>
          <w:ilvl w:val="0"/>
          <w:numId w:val="4"/>
        </w:numPr>
      </w:pPr>
      <w:r w:rsidRPr="0093295A">
        <w:t>pXX</w:t>
      </w:r>
      <w:r>
        <w:t xml:space="preserve">_ScanTr.csv (behaviour) corresponds to </w:t>
      </w:r>
      <w:proofErr w:type="spellStart"/>
      <w:r>
        <w:t>dcm</w:t>
      </w:r>
      <w:proofErr w:type="spellEnd"/>
      <w:r>
        <w:t xml:space="preserve"> files in folder XX_Run1_Training</w:t>
      </w:r>
    </w:p>
    <w:p w14:paraId="5951C962" w14:textId="4BEA1436" w:rsidR="0093295A" w:rsidRDefault="0093295A" w:rsidP="0093295A">
      <w:pPr>
        <w:rPr>
          <w:u w:val="single"/>
        </w:rPr>
      </w:pPr>
      <w:r w:rsidRPr="0093295A">
        <w:rPr>
          <w:u w:val="single"/>
        </w:rPr>
        <w:t>Short Probes phase</w:t>
      </w:r>
    </w:p>
    <w:p w14:paraId="6E164018" w14:textId="60E1A431" w:rsidR="0093295A" w:rsidRDefault="0093295A" w:rsidP="0093295A">
      <w:pPr>
        <w:pStyle w:val="ListParagraph"/>
        <w:numPr>
          <w:ilvl w:val="0"/>
          <w:numId w:val="4"/>
        </w:numPr>
      </w:pPr>
      <w:r>
        <w:t xml:space="preserve">pXX_1_ProbRun_run1.csv (behaviour) corresponds to </w:t>
      </w:r>
      <w:proofErr w:type="spellStart"/>
      <w:r>
        <w:t>dcm</w:t>
      </w:r>
      <w:proofErr w:type="spellEnd"/>
      <w:r>
        <w:t xml:space="preserve"> files in XX_Run2_Short Probes 1 (fMRI)</w:t>
      </w:r>
    </w:p>
    <w:p w14:paraId="3EAB5CCE" w14:textId="4B64E7BB" w:rsidR="0093295A" w:rsidRDefault="0093295A" w:rsidP="0093295A">
      <w:pPr>
        <w:pStyle w:val="ListParagraph"/>
        <w:numPr>
          <w:ilvl w:val="0"/>
          <w:numId w:val="4"/>
        </w:numPr>
      </w:pPr>
      <w:r>
        <w:t>pXX_</w:t>
      </w:r>
      <w:r>
        <w:t>2</w:t>
      </w:r>
      <w:r>
        <w:t>_ProbRun_run</w:t>
      </w:r>
      <w:r>
        <w:t>2</w:t>
      </w:r>
      <w:r>
        <w:t xml:space="preserve">.csv (behaviour) corresponds to </w:t>
      </w:r>
      <w:proofErr w:type="spellStart"/>
      <w:r>
        <w:t>dcm</w:t>
      </w:r>
      <w:proofErr w:type="spellEnd"/>
      <w:r>
        <w:t xml:space="preserve"> files in XX_Run</w:t>
      </w:r>
      <w:r>
        <w:t>3</w:t>
      </w:r>
      <w:r>
        <w:t xml:space="preserve">_Short Probes </w:t>
      </w:r>
      <w:r>
        <w:t xml:space="preserve">2 </w:t>
      </w:r>
      <w:r>
        <w:t>(fMRI)</w:t>
      </w:r>
    </w:p>
    <w:p w14:paraId="1D38B68D" w14:textId="791ADB67" w:rsidR="0093295A" w:rsidRDefault="0093295A" w:rsidP="0093295A">
      <w:pPr>
        <w:pStyle w:val="ListParagraph"/>
        <w:numPr>
          <w:ilvl w:val="0"/>
          <w:numId w:val="4"/>
        </w:numPr>
      </w:pPr>
      <w:r>
        <w:t>pXX_</w:t>
      </w:r>
      <w:r>
        <w:t>3</w:t>
      </w:r>
      <w:r>
        <w:t>_ProbRun_run</w:t>
      </w:r>
      <w:r>
        <w:t>3</w:t>
      </w:r>
      <w:r>
        <w:t xml:space="preserve">.csv (behaviour) corresponds to </w:t>
      </w:r>
      <w:proofErr w:type="spellStart"/>
      <w:r>
        <w:t>dcm</w:t>
      </w:r>
      <w:proofErr w:type="spellEnd"/>
      <w:r>
        <w:t xml:space="preserve"> files in XX_Run</w:t>
      </w:r>
      <w:r>
        <w:t>5</w:t>
      </w:r>
      <w:r>
        <w:t xml:space="preserve">_Short Probes </w:t>
      </w:r>
      <w:r>
        <w:t xml:space="preserve">3 </w:t>
      </w:r>
      <w:r>
        <w:t>(fMRI)</w:t>
      </w:r>
    </w:p>
    <w:p w14:paraId="38C3BDEE" w14:textId="095ADB49" w:rsidR="0093295A" w:rsidRDefault="0093295A" w:rsidP="0093295A">
      <w:pPr>
        <w:pStyle w:val="ListParagraph"/>
        <w:numPr>
          <w:ilvl w:val="0"/>
          <w:numId w:val="4"/>
        </w:numPr>
      </w:pPr>
      <w:r>
        <w:t>pXX_</w:t>
      </w:r>
      <w:r>
        <w:t>4</w:t>
      </w:r>
      <w:r>
        <w:t>_ProbRun_run</w:t>
      </w:r>
      <w:r>
        <w:t>4</w:t>
      </w:r>
      <w:r>
        <w:t xml:space="preserve">.csv (behaviour) corresponds to </w:t>
      </w:r>
      <w:proofErr w:type="spellStart"/>
      <w:r>
        <w:t>dcm</w:t>
      </w:r>
      <w:proofErr w:type="spellEnd"/>
      <w:r>
        <w:t xml:space="preserve"> files in XX_Run</w:t>
      </w:r>
      <w:r>
        <w:t>6</w:t>
      </w:r>
      <w:r>
        <w:t xml:space="preserve">_Short Probes </w:t>
      </w:r>
      <w:r>
        <w:t xml:space="preserve">4 </w:t>
      </w:r>
      <w:r>
        <w:t>(fMRI)</w:t>
      </w:r>
    </w:p>
    <w:p w14:paraId="62D603FC" w14:textId="4C41B8EA" w:rsidR="0093295A" w:rsidRDefault="0093295A" w:rsidP="0093295A">
      <w:pPr>
        <w:rPr>
          <w:u w:val="single"/>
        </w:rPr>
      </w:pPr>
      <w:r w:rsidRPr="0093295A">
        <w:rPr>
          <w:u w:val="single"/>
        </w:rPr>
        <w:t>Long Probes phase</w:t>
      </w:r>
    </w:p>
    <w:p w14:paraId="105FB73C" w14:textId="5D5E1FE5" w:rsidR="0093295A" w:rsidRDefault="0093295A" w:rsidP="0093295A">
      <w:pPr>
        <w:pStyle w:val="ListParagraph"/>
        <w:numPr>
          <w:ilvl w:val="0"/>
          <w:numId w:val="5"/>
        </w:numPr>
      </w:pPr>
      <w:r>
        <w:t>pXX_</w:t>
      </w:r>
      <w:r w:rsidRPr="0093295A">
        <w:t>1_FullPrbBlk_S</w:t>
      </w:r>
      <w:r>
        <w:t xml:space="preserve">.csv or </w:t>
      </w:r>
      <w:r>
        <w:t>pXX_</w:t>
      </w:r>
      <w:r w:rsidRPr="0093295A">
        <w:t>1_FullPrbBlk_</w:t>
      </w:r>
      <w:r>
        <w:t>L</w:t>
      </w:r>
      <w:r>
        <w:t>.csv</w:t>
      </w:r>
      <w:r>
        <w:t xml:space="preserve"> (counterbalanced order of S and L first) </w:t>
      </w:r>
      <w:r w:rsidR="00B55726">
        <w:t xml:space="preserve">(behaviour) </w:t>
      </w:r>
      <w:r>
        <w:t xml:space="preserve">corresponds to </w:t>
      </w:r>
      <w:proofErr w:type="spellStart"/>
      <w:r>
        <w:t>dcm</w:t>
      </w:r>
      <w:proofErr w:type="spellEnd"/>
      <w:r>
        <w:t xml:space="preserve"> files in</w:t>
      </w:r>
      <w:r w:rsidR="00B55726">
        <w:t xml:space="preserve"> XX_</w:t>
      </w:r>
      <w:r w:rsidR="00B55726" w:rsidRPr="00B55726">
        <w:t>Run7_Long Probes 1</w:t>
      </w:r>
      <w:r w:rsidR="00B55726">
        <w:t xml:space="preserve"> (fMRI)</w:t>
      </w:r>
    </w:p>
    <w:p w14:paraId="0C6F1ACD" w14:textId="0B263115" w:rsidR="00B55726" w:rsidRDefault="00B55726" w:rsidP="00B55726">
      <w:pPr>
        <w:pStyle w:val="ListParagraph"/>
        <w:numPr>
          <w:ilvl w:val="0"/>
          <w:numId w:val="5"/>
        </w:numPr>
      </w:pPr>
      <w:r>
        <w:t>pXX_</w:t>
      </w:r>
      <w:r>
        <w:t>2</w:t>
      </w:r>
      <w:r w:rsidRPr="0093295A">
        <w:t>_FullPrbBlk_</w:t>
      </w:r>
      <w:r>
        <w:t>L</w:t>
      </w:r>
      <w:r>
        <w:t>.csv or pXX_</w:t>
      </w:r>
      <w:r>
        <w:t>2</w:t>
      </w:r>
      <w:r w:rsidRPr="0093295A">
        <w:t>_FullPrbBlk_</w:t>
      </w:r>
      <w:r>
        <w:t>S</w:t>
      </w:r>
      <w:r>
        <w:t xml:space="preserve">.csv (counterbalanced order of S and L first) </w:t>
      </w:r>
      <w:r>
        <w:t xml:space="preserve">(behaviour) </w:t>
      </w:r>
      <w:r>
        <w:t xml:space="preserve">corresponds to </w:t>
      </w:r>
      <w:proofErr w:type="spellStart"/>
      <w:r>
        <w:t>dcm</w:t>
      </w:r>
      <w:proofErr w:type="spellEnd"/>
      <w:r>
        <w:t xml:space="preserve"> files in XX_</w:t>
      </w:r>
      <w:r w:rsidRPr="00B55726">
        <w:t>Run</w:t>
      </w:r>
      <w:r>
        <w:t>8</w:t>
      </w:r>
      <w:r w:rsidRPr="00B55726">
        <w:t xml:space="preserve">_Long Probes </w:t>
      </w:r>
      <w:r>
        <w:t>2 (fMRI)</w:t>
      </w:r>
    </w:p>
    <w:p w14:paraId="34B32927" w14:textId="63964F29" w:rsidR="00B55726" w:rsidRDefault="00B55726" w:rsidP="00B55726">
      <w:pPr>
        <w:pStyle w:val="ListParagraph"/>
        <w:numPr>
          <w:ilvl w:val="0"/>
          <w:numId w:val="5"/>
        </w:numPr>
      </w:pPr>
      <w:r>
        <w:t>pXX_</w:t>
      </w:r>
      <w:r>
        <w:t>3</w:t>
      </w:r>
      <w:r w:rsidRPr="0093295A">
        <w:t>_FullPrbBlk_</w:t>
      </w:r>
      <w:r>
        <w:t>S</w:t>
      </w:r>
      <w:r>
        <w:t>.csv or pXX_</w:t>
      </w:r>
      <w:r>
        <w:t>3</w:t>
      </w:r>
      <w:r w:rsidRPr="0093295A">
        <w:t>_FullPrbBlk_</w:t>
      </w:r>
      <w:r>
        <w:t>L</w:t>
      </w:r>
      <w:r>
        <w:t xml:space="preserve">.csv (counterbalanced order of S and L first) (behaviour) corresponds to </w:t>
      </w:r>
      <w:proofErr w:type="spellStart"/>
      <w:r>
        <w:t>dcm</w:t>
      </w:r>
      <w:proofErr w:type="spellEnd"/>
      <w:r>
        <w:t xml:space="preserve"> files in XX_</w:t>
      </w:r>
      <w:r w:rsidRPr="00B55726">
        <w:t>Run</w:t>
      </w:r>
      <w:r>
        <w:t>9</w:t>
      </w:r>
      <w:r w:rsidRPr="00B55726">
        <w:t xml:space="preserve">_Long Probes </w:t>
      </w:r>
      <w:r>
        <w:t>3</w:t>
      </w:r>
      <w:r>
        <w:t xml:space="preserve"> (fMRI)</w:t>
      </w:r>
    </w:p>
    <w:p w14:paraId="5DAFC43E" w14:textId="0D4F6805" w:rsidR="00B55726" w:rsidRDefault="00B55726" w:rsidP="00B55726">
      <w:pPr>
        <w:pStyle w:val="ListParagraph"/>
        <w:numPr>
          <w:ilvl w:val="0"/>
          <w:numId w:val="5"/>
        </w:numPr>
      </w:pPr>
      <w:r>
        <w:t>pXX_</w:t>
      </w:r>
      <w:r>
        <w:t>4</w:t>
      </w:r>
      <w:r w:rsidRPr="0093295A">
        <w:t>_FullPrbBlk_</w:t>
      </w:r>
      <w:r>
        <w:t>L</w:t>
      </w:r>
      <w:r>
        <w:t>.csv or pXX_</w:t>
      </w:r>
      <w:r>
        <w:t>4</w:t>
      </w:r>
      <w:r w:rsidRPr="0093295A">
        <w:t>_FullPrbBlk_</w:t>
      </w:r>
      <w:r>
        <w:t>S</w:t>
      </w:r>
      <w:r>
        <w:t xml:space="preserve">.csv (counterbalanced order of S and L first) (behaviour) corresponds to </w:t>
      </w:r>
      <w:proofErr w:type="spellStart"/>
      <w:r>
        <w:t>dcm</w:t>
      </w:r>
      <w:proofErr w:type="spellEnd"/>
      <w:r>
        <w:t xml:space="preserve"> files in XX_</w:t>
      </w:r>
      <w:r w:rsidRPr="00B55726">
        <w:t>Run</w:t>
      </w:r>
      <w:r>
        <w:t>10</w:t>
      </w:r>
      <w:r w:rsidRPr="00B55726">
        <w:t xml:space="preserve">_Long Probes </w:t>
      </w:r>
      <w:r>
        <w:t>4</w:t>
      </w:r>
      <w:r>
        <w:t xml:space="preserve"> (fMRI)</w:t>
      </w:r>
    </w:p>
    <w:p w14:paraId="00DB85E4" w14:textId="1B8924B5" w:rsidR="00B55726" w:rsidRDefault="00B55726" w:rsidP="0060652D"/>
    <w:p w14:paraId="7751E9B3" w14:textId="651AD66A" w:rsidR="0060652D" w:rsidRDefault="0060652D" w:rsidP="0060652D">
      <w:r>
        <w:t xml:space="preserve">Structural scans in folder ‘defaced anatomy’ correspond to </w:t>
      </w:r>
      <w:proofErr w:type="spellStart"/>
      <w:r>
        <w:t>dcm</w:t>
      </w:r>
      <w:proofErr w:type="spellEnd"/>
      <w:r>
        <w:t xml:space="preserve"> files in folders ‘</w:t>
      </w:r>
      <w:proofErr w:type="spellStart"/>
      <w:r>
        <w:t>hedgemaze_XX_fMRI</w:t>
      </w:r>
      <w:proofErr w:type="spellEnd"/>
      <w:r>
        <w:t xml:space="preserve"> data</w:t>
      </w:r>
      <w:r>
        <w:t>’ as follows:</w:t>
      </w:r>
    </w:p>
    <w:p w14:paraId="6E65D32C" w14:textId="6B0F5823" w:rsidR="0060652D" w:rsidRPr="0060652D" w:rsidRDefault="0060652D" w:rsidP="0060652D">
      <w:pPr>
        <w:pStyle w:val="ListParagraph"/>
        <w:numPr>
          <w:ilvl w:val="0"/>
          <w:numId w:val="6"/>
        </w:numPr>
      </w:pPr>
      <w:r>
        <w:t>XX</w:t>
      </w:r>
      <w:r w:rsidRPr="0060652D">
        <w:t>_Hedgemaze_Run4_Structural_ISO_defaced</w:t>
      </w:r>
      <w:r>
        <w:t xml:space="preserve"> corresponds to XX</w:t>
      </w:r>
      <w:r w:rsidRPr="0060652D">
        <w:t>_Run4_Structural</w:t>
      </w:r>
    </w:p>
    <w:p w14:paraId="532CBF2D" w14:textId="77777777" w:rsidR="00997AE0" w:rsidRDefault="00997AE0" w:rsidP="00997AE0"/>
    <w:p w14:paraId="2E35EAB3" w14:textId="77777777" w:rsidR="00997AE0" w:rsidRDefault="00997AE0" w:rsidP="00997AE0">
      <w:pPr>
        <w:pStyle w:val="ListParagraph"/>
        <w:ind w:left="1701"/>
      </w:pPr>
    </w:p>
    <w:p w14:paraId="7C3BE0BB" w14:textId="77777777" w:rsidR="00597FEF" w:rsidRDefault="00597FEF" w:rsidP="00B43B87"/>
    <w:sectPr w:rsidR="00597FEF" w:rsidSect="005A3BA6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7AE2"/>
    <w:multiLevelType w:val="hybridMultilevel"/>
    <w:tmpl w:val="06BE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2225"/>
    <w:multiLevelType w:val="hybridMultilevel"/>
    <w:tmpl w:val="175C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5C03"/>
    <w:multiLevelType w:val="hybridMultilevel"/>
    <w:tmpl w:val="67D4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0C42"/>
    <w:multiLevelType w:val="hybridMultilevel"/>
    <w:tmpl w:val="E2E4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2128"/>
    <w:multiLevelType w:val="hybridMultilevel"/>
    <w:tmpl w:val="5686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5DCA"/>
    <w:multiLevelType w:val="hybridMultilevel"/>
    <w:tmpl w:val="CD48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87"/>
    <w:rsid w:val="00001B5A"/>
    <w:rsid w:val="00071821"/>
    <w:rsid w:val="00086C7F"/>
    <w:rsid w:val="00091BF7"/>
    <w:rsid w:val="000A3A1B"/>
    <w:rsid w:val="00104988"/>
    <w:rsid w:val="001103FB"/>
    <w:rsid w:val="0011462D"/>
    <w:rsid w:val="00116F1B"/>
    <w:rsid w:val="00135A89"/>
    <w:rsid w:val="00146258"/>
    <w:rsid w:val="001610B1"/>
    <w:rsid w:val="00180DD6"/>
    <w:rsid w:val="001B6863"/>
    <w:rsid w:val="001E2756"/>
    <w:rsid w:val="00231E1C"/>
    <w:rsid w:val="00231EE9"/>
    <w:rsid w:val="00290942"/>
    <w:rsid w:val="002E2250"/>
    <w:rsid w:val="002E4903"/>
    <w:rsid w:val="00313541"/>
    <w:rsid w:val="00326A7B"/>
    <w:rsid w:val="00344E64"/>
    <w:rsid w:val="00387921"/>
    <w:rsid w:val="003A01EB"/>
    <w:rsid w:val="003D39E4"/>
    <w:rsid w:val="003D7E86"/>
    <w:rsid w:val="004954F9"/>
    <w:rsid w:val="004C4272"/>
    <w:rsid w:val="004C590B"/>
    <w:rsid w:val="004E3D54"/>
    <w:rsid w:val="004F03DB"/>
    <w:rsid w:val="00557550"/>
    <w:rsid w:val="00597FEF"/>
    <w:rsid w:val="005A3BA6"/>
    <w:rsid w:val="0060652D"/>
    <w:rsid w:val="00611D3D"/>
    <w:rsid w:val="006934CE"/>
    <w:rsid w:val="006A00DD"/>
    <w:rsid w:val="006E2B35"/>
    <w:rsid w:val="007628BB"/>
    <w:rsid w:val="0076476A"/>
    <w:rsid w:val="007E7A82"/>
    <w:rsid w:val="007F6BBB"/>
    <w:rsid w:val="00803353"/>
    <w:rsid w:val="00814F6C"/>
    <w:rsid w:val="008267C3"/>
    <w:rsid w:val="0089015D"/>
    <w:rsid w:val="008907DF"/>
    <w:rsid w:val="008C1F20"/>
    <w:rsid w:val="0093295A"/>
    <w:rsid w:val="009452D2"/>
    <w:rsid w:val="00951AEC"/>
    <w:rsid w:val="00973D49"/>
    <w:rsid w:val="00997AE0"/>
    <w:rsid w:val="009E4047"/>
    <w:rsid w:val="009F7166"/>
    <w:rsid w:val="00A34D37"/>
    <w:rsid w:val="00A87044"/>
    <w:rsid w:val="00A96E88"/>
    <w:rsid w:val="00AA469A"/>
    <w:rsid w:val="00AB38F3"/>
    <w:rsid w:val="00AC1152"/>
    <w:rsid w:val="00AC4864"/>
    <w:rsid w:val="00AE50E0"/>
    <w:rsid w:val="00AE7E09"/>
    <w:rsid w:val="00B2657E"/>
    <w:rsid w:val="00B27004"/>
    <w:rsid w:val="00B342EC"/>
    <w:rsid w:val="00B43B87"/>
    <w:rsid w:val="00B55726"/>
    <w:rsid w:val="00B8534A"/>
    <w:rsid w:val="00B877D7"/>
    <w:rsid w:val="00BC1A54"/>
    <w:rsid w:val="00BC31E6"/>
    <w:rsid w:val="00BD548A"/>
    <w:rsid w:val="00BF1126"/>
    <w:rsid w:val="00BF388C"/>
    <w:rsid w:val="00C072DA"/>
    <w:rsid w:val="00C47020"/>
    <w:rsid w:val="00C9584B"/>
    <w:rsid w:val="00CF5059"/>
    <w:rsid w:val="00D85C87"/>
    <w:rsid w:val="00D92637"/>
    <w:rsid w:val="00D96EAC"/>
    <w:rsid w:val="00DA4C6A"/>
    <w:rsid w:val="00DC5605"/>
    <w:rsid w:val="00DC6F57"/>
    <w:rsid w:val="00E33EB9"/>
    <w:rsid w:val="00E506EA"/>
    <w:rsid w:val="00E6366A"/>
    <w:rsid w:val="00E96094"/>
    <w:rsid w:val="00EA2B20"/>
    <w:rsid w:val="00EB368D"/>
    <w:rsid w:val="00ED4C8A"/>
    <w:rsid w:val="00F20B26"/>
    <w:rsid w:val="00F21240"/>
    <w:rsid w:val="00F2688E"/>
    <w:rsid w:val="00F325FC"/>
    <w:rsid w:val="00F340EF"/>
    <w:rsid w:val="00F37EF4"/>
    <w:rsid w:val="00F9235E"/>
    <w:rsid w:val="00FA545C"/>
    <w:rsid w:val="00FC05BB"/>
    <w:rsid w:val="00FE68EA"/>
    <w:rsid w:val="00FE6E10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C74F3"/>
  <w15:chartTrackingRefBased/>
  <w15:docId w15:val="{8FB11C1C-15DD-D140-892D-1A6363B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heses.dur.ac.uk/133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ANTHONY</dc:creator>
  <cp:keywords/>
  <dc:description/>
  <cp:lastModifiedBy>MCGREGOR, ANTHONY</cp:lastModifiedBy>
  <cp:revision>6</cp:revision>
  <dcterms:created xsi:type="dcterms:W3CDTF">2021-08-19T08:33:00Z</dcterms:created>
  <dcterms:modified xsi:type="dcterms:W3CDTF">2021-08-19T12:04:00Z</dcterms:modified>
</cp:coreProperties>
</file>