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99F6B" w14:textId="141D7D6A" w:rsidR="00C43036" w:rsidRPr="00DC06A2" w:rsidRDefault="00C43036" w:rsidP="00770C8C">
      <w:pPr>
        <w:jc w:val="center"/>
        <w:rPr>
          <w:rFonts w:cstheme="minorHAnsi"/>
          <w:b/>
          <w:bCs/>
        </w:rPr>
      </w:pPr>
      <w:r w:rsidRPr="00DC06A2">
        <w:rPr>
          <w:rFonts w:cstheme="minorHAnsi"/>
          <w:b/>
          <w:bCs/>
        </w:rPr>
        <w:t xml:space="preserve">Anti-Microbials in Society (AMIS): </w:t>
      </w:r>
      <w:r w:rsidR="00913671">
        <w:rPr>
          <w:rFonts w:cstheme="minorHAnsi"/>
          <w:b/>
          <w:bCs/>
        </w:rPr>
        <w:t>A</w:t>
      </w:r>
      <w:r w:rsidRPr="00DC06A2">
        <w:rPr>
          <w:rFonts w:cstheme="minorHAnsi"/>
          <w:b/>
          <w:bCs/>
        </w:rPr>
        <w:t xml:space="preserve"> Global Interdisciplinary Research Hub</w:t>
      </w:r>
      <w:bookmarkStart w:id="0" w:name="_Toc514844723"/>
      <w:r w:rsidRPr="00DC06A2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MOPH Thailand</w:t>
      </w:r>
      <w:r w:rsidRPr="00DC06A2">
        <w:rPr>
          <w:rFonts w:cstheme="minorHAnsi"/>
          <w:b/>
          <w:bCs/>
        </w:rPr>
        <w:t xml:space="preserve"> Study</w:t>
      </w:r>
    </w:p>
    <w:p w14:paraId="3A15B3B9" w14:textId="77777777" w:rsidR="00C43036" w:rsidRPr="00DC06A2" w:rsidRDefault="00C43036" w:rsidP="00C43036">
      <w:pPr>
        <w:rPr>
          <w:rFonts w:cstheme="minorHAnsi"/>
          <w:b/>
          <w:bCs/>
        </w:rPr>
      </w:pPr>
      <w:r w:rsidRPr="00DC06A2">
        <w:rPr>
          <w:rFonts w:cstheme="minorHAnsi"/>
          <w:b/>
          <w:bCs/>
        </w:rPr>
        <w:t>STUDY SUMMARY</w:t>
      </w:r>
      <w:bookmarkEnd w:id="0"/>
    </w:p>
    <w:p w14:paraId="37499F87" w14:textId="6D9C909A" w:rsidR="003F394E" w:rsidRDefault="003F394E"/>
    <w:tbl>
      <w:tblPr>
        <w:tblStyle w:val="TableGrid"/>
        <w:tblW w:w="9306" w:type="dxa"/>
        <w:tblLook w:val="04A0" w:firstRow="1" w:lastRow="0" w:firstColumn="1" w:lastColumn="0" w:noHBand="0" w:noVBand="1"/>
      </w:tblPr>
      <w:tblGrid>
        <w:gridCol w:w="1617"/>
        <w:gridCol w:w="7689"/>
      </w:tblGrid>
      <w:tr w:rsidR="00C43036" w:rsidRPr="00243614" w14:paraId="2F1F0926" w14:textId="77777777" w:rsidTr="00873831">
        <w:tc>
          <w:tcPr>
            <w:tcW w:w="1617" w:type="dxa"/>
          </w:tcPr>
          <w:p w14:paraId="507D57D1" w14:textId="77777777" w:rsidR="00C43036" w:rsidRPr="00243614" w:rsidRDefault="00C43036" w:rsidP="00873831">
            <w:r w:rsidRPr="00243614">
              <w:t>Title</w:t>
            </w:r>
          </w:p>
        </w:tc>
        <w:tc>
          <w:tcPr>
            <w:tcW w:w="7689" w:type="dxa"/>
          </w:tcPr>
          <w:p w14:paraId="739ED35A" w14:textId="64B3C4D5" w:rsidR="00C43036" w:rsidRPr="007A1564" w:rsidRDefault="00C43036" w:rsidP="00873831">
            <w:pPr>
              <w:rPr>
                <w:b/>
                <w:bCs/>
              </w:rPr>
            </w:pPr>
            <w:r w:rsidRPr="007A1564">
              <w:rPr>
                <w:b/>
                <w:bCs/>
              </w:rPr>
              <w:t>Antimicrobials in Society (AMIS) Project</w:t>
            </w:r>
            <w:r>
              <w:rPr>
                <w:b/>
                <w:bCs/>
              </w:rPr>
              <w:t xml:space="preserve"> MOPH</w:t>
            </w:r>
            <w:r w:rsidRPr="007A1564">
              <w:rPr>
                <w:b/>
                <w:bCs/>
              </w:rPr>
              <w:t xml:space="preserve"> Thailand: Understanding the role of antimicrobials in</w:t>
            </w:r>
            <w:r>
              <w:rPr>
                <w:b/>
                <w:bCs/>
              </w:rPr>
              <w:t xml:space="preserve"> daily life in</w:t>
            </w:r>
            <w:r w:rsidRPr="007A1564">
              <w:rPr>
                <w:b/>
                <w:bCs/>
              </w:rPr>
              <w:t xml:space="preserve"> Thai Society </w:t>
            </w:r>
          </w:p>
        </w:tc>
      </w:tr>
      <w:tr w:rsidR="00C43036" w:rsidRPr="00243614" w14:paraId="37879A7D" w14:textId="77777777" w:rsidTr="00873831">
        <w:tc>
          <w:tcPr>
            <w:tcW w:w="1617" w:type="dxa"/>
          </w:tcPr>
          <w:p w14:paraId="54AECE8B" w14:textId="77777777" w:rsidR="00C43036" w:rsidRPr="00243614" w:rsidRDefault="00C43036" w:rsidP="00873831">
            <w:r w:rsidRPr="00243614">
              <w:t>Description</w:t>
            </w:r>
          </w:p>
        </w:tc>
        <w:tc>
          <w:tcPr>
            <w:tcW w:w="7689" w:type="dxa"/>
          </w:tcPr>
          <w:p w14:paraId="51369F3C" w14:textId="54D6C1A1" w:rsidR="00C43036" w:rsidRPr="00243614" w:rsidRDefault="00C43036" w:rsidP="00873831">
            <w:r w:rsidRPr="00243614">
              <w:t xml:space="preserve">The AMIS Project </w:t>
            </w:r>
            <w:r>
              <w:t xml:space="preserve">MOPH (ministry of public health) </w:t>
            </w:r>
            <w:r w:rsidRPr="00243614">
              <w:t xml:space="preserve">Thailand </w:t>
            </w:r>
            <w:r>
              <w:t>was</w:t>
            </w:r>
            <w:r w:rsidRPr="00243614">
              <w:t xml:space="preserve"> an anthropological research project aimed at better understanding the role of antimicrobials in </w:t>
            </w:r>
            <w:r w:rsidRPr="00243614">
              <w:rPr>
                <w:rFonts w:ascii="Calibri" w:eastAsia="Calibri" w:hAnsi="Calibri" w:cs="Calibri"/>
              </w:rPr>
              <w:t>daily life in Thai society in diverse contexts and with different actors, including health care providers, farmers</w:t>
            </w:r>
            <w:r w:rsidRPr="007A1564">
              <w:rPr>
                <w:rFonts w:ascii="Calibri" w:eastAsia="Calibri" w:hAnsi="Calibri" w:cs="Calibri"/>
              </w:rPr>
              <w:t xml:space="preserve">, </w:t>
            </w:r>
            <w:r w:rsidRPr="002F6C96">
              <w:rPr>
                <w:rFonts w:ascii="Calibri" w:eastAsia="Calibri" w:hAnsi="Calibri" w:cs="Calibri"/>
              </w:rPr>
              <w:t>day wage urban workers, scientists and policy-makers</w:t>
            </w:r>
            <w:r w:rsidRPr="007679BC">
              <w:rPr>
                <w:rFonts w:ascii="Calibri" w:eastAsia="Calibri" w:hAnsi="Calibri" w:cs="Calibri"/>
              </w:rPr>
              <w:t>. The research focus</w:t>
            </w:r>
            <w:r>
              <w:rPr>
                <w:rFonts w:ascii="Calibri" w:eastAsia="Calibri" w:hAnsi="Calibri" w:cs="Calibri"/>
              </w:rPr>
              <w:t>ed</w:t>
            </w:r>
            <w:r w:rsidRPr="007679BC">
              <w:rPr>
                <w:rFonts w:ascii="Calibri" w:eastAsia="Calibri" w:hAnsi="Calibri" w:cs="Calibri"/>
              </w:rPr>
              <w:t xml:space="preserve"> on the</w:t>
            </w:r>
            <w:r w:rsidRPr="00430416">
              <w:rPr>
                <w:rFonts w:ascii="Calibri" w:eastAsia="Calibri" w:hAnsi="Calibri" w:cs="Calibri"/>
              </w:rPr>
              <w:t xml:space="preserve"> ways in which antimicrobials enable particular ways of life,</w:t>
            </w:r>
            <w:r w:rsidRPr="008F5FBB">
              <w:rPr>
                <w:rFonts w:ascii="Calibri" w:eastAsia="Calibri" w:hAnsi="Calibri" w:cs="Calibri"/>
              </w:rPr>
              <w:t xml:space="preserve"> </w:t>
            </w:r>
            <w:r w:rsidRPr="00243614">
              <w:rPr>
                <w:rFonts w:ascii="Calibri" w:eastAsia="Calibri" w:hAnsi="Calibri" w:cs="Calibri"/>
              </w:rPr>
              <w:t>livelihoods and institutional practices, and explore</w:t>
            </w:r>
            <w:r>
              <w:rPr>
                <w:rFonts w:ascii="Calibri" w:eastAsia="Calibri" w:hAnsi="Calibri" w:cs="Calibri"/>
              </w:rPr>
              <w:t>d</w:t>
            </w:r>
            <w:r w:rsidRPr="00243614">
              <w:rPr>
                <w:rFonts w:ascii="Calibri" w:eastAsia="Calibri" w:hAnsi="Calibri" w:cs="Calibri"/>
              </w:rPr>
              <w:t xml:space="preserve"> the context and the wider motivations for antimicrobial use in Thailand.</w:t>
            </w:r>
          </w:p>
        </w:tc>
      </w:tr>
      <w:tr w:rsidR="00C43036" w:rsidRPr="00243614" w14:paraId="784FDCAE" w14:textId="77777777" w:rsidTr="00873831">
        <w:tc>
          <w:tcPr>
            <w:tcW w:w="1617" w:type="dxa"/>
          </w:tcPr>
          <w:p w14:paraId="683E7125" w14:textId="77777777" w:rsidR="00C43036" w:rsidRPr="00243614" w:rsidRDefault="00C43036" w:rsidP="00873831">
            <w:r w:rsidRPr="00243614">
              <w:t>Study design</w:t>
            </w:r>
          </w:p>
        </w:tc>
        <w:tc>
          <w:tcPr>
            <w:tcW w:w="7689" w:type="dxa"/>
          </w:tcPr>
          <w:p w14:paraId="3E877A13" w14:textId="36642014" w:rsidR="00C43036" w:rsidRDefault="00C43036" w:rsidP="00873831">
            <w:pPr>
              <w:rPr>
                <w:rFonts w:eastAsiaTheme="minorEastAsia"/>
              </w:rPr>
            </w:pPr>
            <w:r w:rsidRPr="00243614">
              <w:t>The AMIS Thailand</w:t>
            </w:r>
            <w:r>
              <w:t xml:space="preserve"> project </w:t>
            </w:r>
            <w:r w:rsidRPr="00B50C1E">
              <w:t xml:space="preserve">consisted of </w:t>
            </w:r>
            <w:r w:rsidR="005A10C5">
              <w:t>five</w:t>
            </w:r>
            <w:r w:rsidRPr="00B50C1E">
              <w:t xml:space="preserve"> sub-studies</w:t>
            </w:r>
            <w:r w:rsidR="00F70B0B">
              <w:t>. e</w:t>
            </w:r>
            <w:r w:rsidRPr="00B50C1E">
              <w:t>ach sub</w:t>
            </w:r>
            <w:r w:rsidRPr="00D15FFB">
              <w:t xml:space="preserve">-study </w:t>
            </w:r>
            <w:r>
              <w:t xml:space="preserve">drew on different anthropological literature and had a different </w:t>
            </w:r>
            <w:r w:rsidRPr="00D15FFB">
              <w:t xml:space="preserve">entry point </w:t>
            </w:r>
            <w:r>
              <w:t>(antimicrobial/AMR activity and/or group)</w:t>
            </w:r>
            <w:r w:rsidRPr="00D15FFB">
              <w:t xml:space="preserve">. </w:t>
            </w:r>
            <w:r w:rsidRPr="00D15FFB">
              <w:rPr>
                <w:rFonts w:eastAsiaTheme="minorEastAsia"/>
              </w:rPr>
              <w:t>Each of the sub-studies include</w:t>
            </w:r>
            <w:r>
              <w:rPr>
                <w:rFonts w:eastAsiaTheme="minorEastAsia"/>
              </w:rPr>
              <w:t>d</w:t>
            </w:r>
            <w:r w:rsidRPr="00D15FFB">
              <w:rPr>
                <w:rFonts w:eastAsiaTheme="minorEastAsia"/>
              </w:rPr>
              <w:t xml:space="preserve"> the following phases</w:t>
            </w:r>
            <w:r>
              <w:rPr>
                <w:rFonts w:eastAsiaTheme="minorEastAsia"/>
              </w:rPr>
              <w:t>:</w:t>
            </w:r>
          </w:p>
          <w:p w14:paraId="6E62F860" w14:textId="77777777" w:rsidR="00C43036" w:rsidRDefault="00C43036" w:rsidP="00873831">
            <w:pPr>
              <w:rPr>
                <w:rFonts w:eastAsiaTheme="minorEastAsia"/>
              </w:rPr>
            </w:pPr>
          </w:p>
          <w:p w14:paraId="65DF7408" w14:textId="77777777" w:rsidR="00C43036" w:rsidRPr="007A1564" w:rsidRDefault="00C43036" w:rsidP="00C43036">
            <w:pPr>
              <w:pStyle w:val="ListParagraph"/>
              <w:numPr>
                <w:ilvl w:val="0"/>
                <w:numId w:val="2"/>
              </w:numPr>
              <w:spacing w:after="0"/>
            </w:pPr>
            <w:r w:rsidRPr="00DA2769">
              <w:rPr>
                <w:i/>
                <w:iCs/>
              </w:rPr>
              <w:t xml:space="preserve">Documentary analysis </w:t>
            </w:r>
            <w:r w:rsidRPr="007A1564">
              <w:t xml:space="preserve">of relevant literature, policy documents and public health and lay public media content and materials, to </w:t>
            </w:r>
            <w:proofErr w:type="spellStart"/>
            <w:r w:rsidRPr="007A1564">
              <w:t>contextualise</w:t>
            </w:r>
            <w:proofErr w:type="spellEnd"/>
            <w:r w:rsidRPr="007A1564">
              <w:t xml:space="preserve"> ethnographic findings.</w:t>
            </w:r>
          </w:p>
          <w:p w14:paraId="170A118C" w14:textId="720D6C05" w:rsidR="00C43036" w:rsidRPr="00B50C1E" w:rsidRDefault="00C43036" w:rsidP="00B50C1E">
            <w:pPr>
              <w:pStyle w:val="ListParagraph"/>
              <w:numPr>
                <w:ilvl w:val="0"/>
                <w:numId w:val="2"/>
              </w:numPr>
              <w:spacing w:after="0"/>
            </w:pPr>
            <w:r w:rsidRPr="00DA2769">
              <w:rPr>
                <w:i/>
                <w:iCs/>
              </w:rPr>
              <w:t xml:space="preserve">In-depth ethnographic fieldwork </w:t>
            </w:r>
            <w:r w:rsidRPr="007A1564">
              <w:t>involv</w:t>
            </w:r>
            <w:r>
              <w:t>ed</w:t>
            </w:r>
            <w:r w:rsidRPr="007A1564">
              <w:t xml:space="preserve"> </w:t>
            </w:r>
            <w:r w:rsidR="00F70B0B">
              <w:t xml:space="preserve">in depth interviews and </w:t>
            </w:r>
            <w:r w:rsidRPr="007A1564">
              <w:t xml:space="preserve">participant observation, to understand how antibiotics are intertwined in </w:t>
            </w:r>
            <w:r w:rsidRPr="009A4B29">
              <w:t>people’s lives, with a focus on why, and how, people rely on them.</w:t>
            </w:r>
          </w:p>
        </w:tc>
      </w:tr>
      <w:tr w:rsidR="00C43036" w:rsidRPr="00243614" w14:paraId="70039DF7" w14:textId="77777777" w:rsidTr="00873831">
        <w:tc>
          <w:tcPr>
            <w:tcW w:w="1617" w:type="dxa"/>
          </w:tcPr>
          <w:p w14:paraId="2AD20196" w14:textId="77777777" w:rsidR="00C43036" w:rsidRPr="00243614" w:rsidRDefault="00C43036" w:rsidP="00873831">
            <w:r w:rsidRPr="00243614">
              <w:t>Study sites</w:t>
            </w:r>
          </w:p>
        </w:tc>
        <w:tc>
          <w:tcPr>
            <w:tcW w:w="7689" w:type="dxa"/>
          </w:tcPr>
          <w:p w14:paraId="775F45B1" w14:textId="77777777" w:rsidR="00770C8C" w:rsidRPr="001C59BA" w:rsidRDefault="00770C8C" w:rsidP="00770C8C">
            <w:pPr>
              <w:pStyle w:val="ListParagraph"/>
              <w:numPr>
                <w:ilvl w:val="0"/>
                <w:numId w:val="3"/>
              </w:numPr>
              <w:spacing w:after="0"/>
              <w:ind w:left="249" w:hanging="249"/>
            </w:pPr>
            <w:r w:rsidRPr="001C59BA">
              <w:rPr>
                <w:i/>
                <w:iCs/>
              </w:rPr>
              <w:t>Antimicrobial/AMR policy and implementation</w:t>
            </w:r>
            <w:r w:rsidRPr="001C59BA">
              <w:t>: Thai Ministry of Public health, District Public Health Administrative Office</w:t>
            </w:r>
            <w:r>
              <w:t xml:space="preserve">, a </w:t>
            </w:r>
            <w:r w:rsidRPr="001C59BA">
              <w:t xml:space="preserve">Local </w:t>
            </w:r>
            <w:r>
              <w:t>h</w:t>
            </w:r>
            <w:r w:rsidRPr="001C59BA">
              <w:t xml:space="preserve">ealth </w:t>
            </w:r>
            <w:proofErr w:type="spellStart"/>
            <w:r>
              <w:t>c</w:t>
            </w:r>
            <w:r w:rsidRPr="001C59BA">
              <w:t>entre</w:t>
            </w:r>
            <w:proofErr w:type="spellEnd"/>
            <w:r w:rsidRPr="001C59BA">
              <w:t>; national healthcare system, committee meetings and conferences</w:t>
            </w:r>
          </w:p>
          <w:p w14:paraId="5DE396C1" w14:textId="53CB7B70" w:rsidR="00770C8C" w:rsidRPr="00770C8C" w:rsidRDefault="00770C8C" w:rsidP="00C43036">
            <w:pPr>
              <w:pStyle w:val="ListParagraph"/>
              <w:numPr>
                <w:ilvl w:val="0"/>
                <w:numId w:val="3"/>
              </w:numPr>
              <w:spacing w:after="0"/>
              <w:ind w:left="249" w:hanging="249"/>
            </w:pPr>
            <w:r>
              <w:t>Pig farming: Pig farms of varying sizes, university departments, relevant ministries</w:t>
            </w:r>
          </w:p>
          <w:p w14:paraId="1E5757EF" w14:textId="04E0BC62" w:rsidR="00C43036" w:rsidRPr="001C59BA" w:rsidRDefault="00C43036" w:rsidP="00C43036">
            <w:pPr>
              <w:pStyle w:val="ListParagraph"/>
              <w:numPr>
                <w:ilvl w:val="0"/>
                <w:numId w:val="3"/>
              </w:numPr>
              <w:spacing w:after="0"/>
              <w:ind w:left="249" w:hanging="249"/>
            </w:pPr>
            <w:r w:rsidRPr="001C59BA">
              <w:rPr>
                <w:i/>
                <w:iCs/>
              </w:rPr>
              <w:t>Mandarin</w:t>
            </w:r>
            <w:r w:rsidR="00770C8C">
              <w:rPr>
                <w:i/>
                <w:iCs/>
              </w:rPr>
              <w:t>/citrus</w:t>
            </w:r>
            <w:r w:rsidRPr="001C59BA">
              <w:rPr>
                <w:i/>
                <w:iCs/>
              </w:rPr>
              <w:t xml:space="preserve"> production: </w:t>
            </w:r>
            <w:r w:rsidRPr="001C59BA">
              <w:t>Specific orange orchard(s); fruit markets, employees’ communities, plant scientists, agricultural ministers</w:t>
            </w:r>
          </w:p>
          <w:p w14:paraId="5D8D9445" w14:textId="546B8E17" w:rsidR="00B50C1E" w:rsidRPr="00B50C1E" w:rsidRDefault="006379C2" w:rsidP="001C59BA">
            <w:pPr>
              <w:pStyle w:val="ListParagraph"/>
              <w:numPr>
                <w:ilvl w:val="0"/>
                <w:numId w:val="3"/>
              </w:numPr>
              <w:spacing w:after="0"/>
              <w:ind w:left="249" w:hanging="249"/>
              <w:rPr>
                <w:i/>
                <w:iCs/>
              </w:rPr>
            </w:pPr>
            <w:r>
              <w:rPr>
                <w:i/>
                <w:iCs/>
              </w:rPr>
              <w:t xml:space="preserve">Migrants and TB care: </w:t>
            </w:r>
            <w:r>
              <w:t xml:space="preserve">Health clinics, communities and NGOs </w:t>
            </w:r>
            <w:r w:rsidR="00F70B0B">
              <w:t>around the</w:t>
            </w:r>
            <w:r>
              <w:t xml:space="preserve"> </w:t>
            </w:r>
            <w:proofErr w:type="gramStart"/>
            <w:r w:rsidRPr="006379C2">
              <w:t>Thai</w:t>
            </w:r>
            <w:r>
              <w:t>-Myanmar</w:t>
            </w:r>
            <w:proofErr w:type="gramEnd"/>
            <w:r>
              <w:t xml:space="preserve"> border areas, Thai Public Health Offices and relevant Ministry for provision of TB control and care, residential communities where TB cases are found</w:t>
            </w:r>
          </w:p>
          <w:p w14:paraId="5AC26E05" w14:textId="4C825856" w:rsidR="00C43036" w:rsidRPr="00083EF9" w:rsidRDefault="00083EF9" w:rsidP="001C59BA">
            <w:pPr>
              <w:pStyle w:val="ListParagraph"/>
              <w:numPr>
                <w:ilvl w:val="0"/>
                <w:numId w:val="3"/>
              </w:numPr>
              <w:spacing w:after="0"/>
              <w:ind w:left="249" w:hanging="249"/>
              <w:rPr>
                <w:i/>
                <w:iCs/>
              </w:rPr>
            </w:pPr>
            <w:r w:rsidRPr="006379C2">
              <w:rPr>
                <w:i/>
                <w:iCs/>
              </w:rPr>
              <w:t>Following methodology</w:t>
            </w:r>
            <w:r w:rsidRPr="006379C2">
              <w:t xml:space="preserve">: </w:t>
            </w:r>
            <w:r w:rsidR="006379C2" w:rsidRPr="006379C2">
              <w:t xml:space="preserve">areas of work of AMIS </w:t>
            </w:r>
            <w:r w:rsidR="00F70B0B">
              <w:t xml:space="preserve">Thailand </w:t>
            </w:r>
            <w:r w:rsidR="006379C2" w:rsidRPr="006379C2">
              <w:t>anthropologist, mostly focused on interviews at their desk, but also some f</w:t>
            </w:r>
            <w:r w:rsidRPr="006379C2">
              <w:t xml:space="preserve">ollowing where and how </w:t>
            </w:r>
            <w:r w:rsidR="00F70B0B">
              <w:t>they (</w:t>
            </w:r>
            <w:r w:rsidRPr="006379C2">
              <w:t>researchers/anthropologists</w:t>
            </w:r>
            <w:r w:rsidR="00F70B0B">
              <w:t>)</w:t>
            </w:r>
            <w:r w:rsidRPr="006379C2">
              <w:t xml:space="preserve"> follow</w:t>
            </w:r>
            <w:r w:rsidR="00F70B0B">
              <w:t xml:space="preserve">ed </w:t>
            </w:r>
            <w:r w:rsidRPr="006379C2">
              <w:t>their object of study</w:t>
            </w:r>
          </w:p>
        </w:tc>
      </w:tr>
      <w:tr w:rsidR="00C43036" w:rsidRPr="00243614" w14:paraId="0BE5007C" w14:textId="77777777" w:rsidTr="00873831">
        <w:tc>
          <w:tcPr>
            <w:tcW w:w="1617" w:type="dxa"/>
          </w:tcPr>
          <w:p w14:paraId="55CFF900" w14:textId="77777777" w:rsidR="00C43036" w:rsidRPr="00243614" w:rsidRDefault="00C43036" w:rsidP="00873831">
            <w:r w:rsidRPr="00243614">
              <w:t>Primary objective</w:t>
            </w:r>
          </w:p>
        </w:tc>
        <w:tc>
          <w:tcPr>
            <w:tcW w:w="7689" w:type="dxa"/>
          </w:tcPr>
          <w:p w14:paraId="269060F9" w14:textId="77777777" w:rsidR="00C43036" w:rsidRPr="00243614" w:rsidRDefault="00C43036" w:rsidP="00873831">
            <w:r w:rsidRPr="00243614">
              <w:t>To understand the role of antimicrobials in everyday life in Thailand.</w:t>
            </w:r>
          </w:p>
        </w:tc>
      </w:tr>
      <w:tr w:rsidR="00C43036" w:rsidRPr="00243614" w14:paraId="2FD6FB68" w14:textId="77777777" w:rsidTr="00873831">
        <w:tc>
          <w:tcPr>
            <w:tcW w:w="1617" w:type="dxa"/>
          </w:tcPr>
          <w:p w14:paraId="6B504838" w14:textId="77777777" w:rsidR="00C43036" w:rsidRPr="004E6D18" w:rsidRDefault="00C43036" w:rsidP="00873831">
            <w:r w:rsidRPr="004E6D18">
              <w:lastRenderedPageBreak/>
              <w:t>Secondary objectives</w:t>
            </w:r>
          </w:p>
        </w:tc>
        <w:tc>
          <w:tcPr>
            <w:tcW w:w="7689" w:type="dxa"/>
          </w:tcPr>
          <w:p w14:paraId="01EF8EDF" w14:textId="77777777" w:rsidR="00C43036" w:rsidRPr="007326CB" w:rsidRDefault="00C43036" w:rsidP="00C43036">
            <w:pPr>
              <w:pStyle w:val="ListParagraph"/>
              <w:numPr>
                <w:ilvl w:val="0"/>
                <w:numId w:val="1"/>
              </w:numPr>
              <w:spacing w:after="0"/>
            </w:pPr>
            <w:r w:rsidRPr="004E6D18">
              <w:t xml:space="preserve">To understand the ways in which </w:t>
            </w:r>
            <w:r w:rsidRPr="007326CB">
              <w:t>people rely on antimicrobials.</w:t>
            </w:r>
          </w:p>
          <w:p w14:paraId="5E48C4AC" w14:textId="77777777" w:rsidR="00C43036" w:rsidRPr="004E6D18" w:rsidRDefault="00C43036" w:rsidP="00C43036">
            <w:pPr>
              <w:pStyle w:val="ListParagraph"/>
              <w:numPr>
                <w:ilvl w:val="0"/>
                <w:numId w:val="1"/>
              </w:numPr>
              <w:spacing w:after="0"/>
            </w:pPr>
            <w:r w:rsidRPr="007326CB">
              <w:t>To understand the context for people's</w:t>
            </w:r>
            <w:r w:rsidRPr="004E6D18">
              <w:t xml:space="preserve"> use of, and reliance on, antimicrobials.</w:t>
            </w:r>
          </w:p>
          <w:p w14:paraId="28ADD527" w14:textId="77777777" w:rsidR="00C43036" w:rsidRPr="004E6D18" w:rsidRDefault="00C43036" w:rsidP="00C43036">
            <w:pPr>
              <w:pStyle w:val="ListParagraph"/>
              <w:numPr>
                <w:ilvl w:val="0"/>
                <w:numId w:val="1"/>
              </w:numPr>
              <w:spacing w:after="0"/>
            </w:pPr>
            <w:r w:rsidRPr="007326CB">
              <w:t>To stimulate and observe action in response to data and research on AMR via participatory research.</w:t>
            </w:r>
          </w:p>
        </w:tc>
      </w:tr>
      <w:tr w:rsidR="00C43036" w:rsidRPr="00243614" w14:paraId="3ACD7870" w14:textId="77777777" w:rsidTr="00873831">
        <w:tc>
          <w:tcPr>
            <w:tcW w:w="1617" w:type="dxa"/>
          </w:tcPr>
          <w:p w14:paraId="65778E22" w14:textId="77777777" w:rsidR="00C43036" w:rsidRPr="00083EF9" w:rsidRDefault="00C43036" w:rsidP="00873831">
            <w:r w:rsidRPr="00083EF9">
              <w:t xml:space="preserve">Methodology </w:t>
            </w:r>
          </w:p>
        </w:tc>
        <w:tc>
          <w:tcPr>
            <w:tcW w:w="7689" w:type="dxa"/>
          </w:tcPr>
          <w:p w14:paraId="05A83A89" w14:textId="77777777" w:rsidR="005B08F8" w:rsidRPr="00083EF9" w:rsidRDefault="005B08F8" w:rsidP="005B08F8">
            <w:pPr>
              <w:rPr>
                <w:rFonts w:eastAsiaTheme="minorEastAsia"/>
              </w:rPr>
            </w:pPr>
            <w:r w:rsidRPr="00083EF9">
              <w:rPr>
                <w:rFonts w:eastAsiaTheme="minorEastAsia"/>
              </w:rPr>
              <w:t xml:space="preserve">Over the course of the project nine </w:t>
            </w:r>
            <w:r>
              <w:rPr>
                <w:rFonts w:eastAsiaTheme="minorEastAsia"/>
              </w:rPr>
              <w:t xml:space="preserve">anthropologists </w:t>
            </w:r>
            <w:r w:rsidRPr="00083EF9">
              <w:rPr>
                <w:rFonts w:eastAsiaTheme="minorEastAsia"/>
              </w:rPr>
              <w:t>worked in the research team</w:t>
            </w:r>
            <w:r>
              <w:rPr>
                <w:rFonts w:eastAsiaTheme="minorEastAsia"/>
              </w:rPr>
              <w:t>, two of whom were from and based predominantly in London and focused on supporting guiding fieldwork, analysis and writing up.</w:t>
            </w:r>
            <w:r>
              <w:rPr>
                <w:rFonts w:eastAsiaTheme="minorEastAsia" w:hint="cs"/>
                <w:cs/>
                <w:lang w:bidi="th-TH"/>
              </w:rPr>
              <w:t xml:space="preserve"> </w:t>
            </w:r>
            <w:r>
              <w:rPr>
                <w:rFonts w:eastAsiaTheme="minorEastAsia"/>
              </w:rPr>
              <w:t>The majority of ethnographic fieldwork was conducted by the Thai a</w:t>
            </w:r>
            <w:r w:rsidRPr="00083EF9">
              <w:rPr>
                <w:rFonts w:eastAsiaTheme="minorEastAsia"/>
              </w:rPr>
              <w:t>nthropologists,</w:t>
            </w:r>
            <w:r>
              <w:rPr>
                <w:rFonts w:eastAsiaTheme="minorEastAsia"/>
              </w:rPr>
              <w:t xml:space="preserve"> two of whom also </w:t>
            </w:r>
            <w:r w:rsidRPr="00083EF9">
              <w:rPr>
                <w:rFonts w:eastAsiaTheme="minorEastAsia"/>
              </w:rPr>
              <w:t>transcribed and translate</w:t>
            </w:r>
            <w:r>
              <w:rPr>
                <w:rFonts w:eastAsiaTheme="minorEastAsia"/>
              </w:rPr>
              <w:t>d</w:t>
            </w:r>
            <w:r w:rsidRPr="00083EF9">
              <w:rPr>
                <w:rFonts w:eastAsiaTheme="minorEastAsia"/>
              </w:rPr>
              <w:t xml:space="preserve"> the</w:t>
            </w:r>
            <w:r>
              <w:rPr>
                <w:rFonts w:eastAsiaTheme="minorEastAsia"/>
              </w:rPr>
              <w:t xml:space="preserve"> majority of the</w:t>
            </w:r>
            <w:r w:rsidRPr="00083EF9">
              <w:rPr>
                <w:rFonts w:eastAsiaTheme="minorEastAsia"/>
              </w:rPr>
              <w:t xml:space="preserve"> data</w:t>
            </w:r>
            <w:r>
              <w:rPr>
                <w:rFonts w:eastAsiaTheme="minorEastAsia"/>
              </w:rPr>
              <w:t xml:space="preserve"> collected</w:t>
            </w:r>
            <w:r w:rsidRPr="00083EF9">
              <w:rPr>
                <w:rFonts w:eastAsiaTheme="minorEastAsia"/>
              </w:rPr>
              <w:t xml:space="preserve">. </w:t>
            </w:r>
          </w:p>
          <w:p w14:paraId="24CD3A91" w14:textId="77777777" w:rsidR="005B08F8" w:rsidRDefault="005B08F8" w:rsidP="00873831">
            <w:pPr>
              <w:rPr>
                <w:rFonts w:eastAsiaTheme="minorEastAsia"/>
                <w:b/>
                <w:bCs/>
              </w:rPr>
            </w:pPr>
          </w:p>
          <w:p w14:paraId="383F3A01" w14:textId="7193ADD5" w:rsidR="005B08F8" w:rsidRPr="00770C8C" w:rsidRDefault="005B08F8" w:rsidP="004C6D50">
            <w:pPr>
              <w:rPr>
                <w:rFonts w:eastAsiaTheme="minorEastAsia"/>
              </w:rPr>
            </w:pPr>
            <w:r w:rsidRPr="00083EF9">
              <w:rPr>
                <w:rFonts w:eastAsiaTheme="minorEastAsia"/>
                <w:b/>
                <w:bCs/>
              </w:rPr>
              <w:t xml:space="preserve">Ethnographic fieldwork: </w:t>
            </w:r>
            <w:r w:rsidRPr="00083EF9">
              <w:rPr>
                <w:rFonts w:eastAsiaTheme="minorEastAsia"/>
                <w:bCs/>
              </w:rPr>
              <w:t xml:space="preserve">Ethnographic methods were used in order to </w:t>
            </w:r>
            <w:r w:rsidR="009A25F0">
              <w:rPr>
                <w:rFonts w:eastAsiaTheme="minorEastAsia"/>
                <w:bCs/>
              </w:rPr>
              <w:t xml:space="preserve">gain in depth understandings </w:t>
            </w:r>
            <w:r w:rsidR="009A25F0" w:rsidRPr="00770C8C">
              <w:rPr>
                <w:rFonts w:eastAsiaTheme="minorEastAsia"/>
                <w:bCs/>
              </w:rPr>
              <w:t xml:space="preserve">in </w:t>
            </w:r>
            <w:r w:rsidRPr="00770C8C">
              <w:rPr>
                <w:rFonts w:eastAsiaTheme="minorEastAsia"/>
                <w:bCs/>
              </w:rPr>
              <w:t xml:space="preserve">each setting. This </w:t>
            </w:r>
            <w:r w:rsidR="004C6D50" w:rsidRPr="00770C8C">
              <w:rPr>
                <w:rFonts w:eastAsiaTheme="minorEastAsia"/>
                <w:bCs/>
              </w:rPr>
              <w:t xml:space="preserve">involved </w:t>
            </w:r>
            <w:r w:rsidR="00F70B0B" w:rsidRPr="00770C8C">
              <w:rPr>
                <w:rFonts w:eastAsiaTheme="minorEastAsia"/>
                <w:bCs/>
              </w:rPr>
              <w:t xml:space="preserve">35 weeks of </w:t>
            </w:r>
            <w:r w:rsidRPr="00770C8C">
              <w:rPr>
                <w:rFonts w:eastAsiaTheme="minorEastAsia"/>
                <w:bCs/>
              </w:rPr>
              <w:t>participant observation (</w:t>
            </w:r>
            <w:r w:rsidR="00F70B0B" w:rsidRPr="00770C8C">
              <w:rPr>
                <w:rFonts w:eastAsiaTheme="minorEastAsia"/>
              </w:rPr>
              <w:t>including participant observation, observation and informal interviews</w:t>
            </w:r>
            <w:r w:rsidRPr="00770C8C">
              <w:rPr>
                <w:rFonts w:eastAsiaTheme="minorEastAsia"/>
                <w:bCs/>
              </w:rPr>
              <w:t>)</w:t>
            </w:r>
            <w:r w:rsidR="00F70B0B" w:rsidRPr="00770C8C">
              <w:rPr>
                <w:rFonts w:eastAsiaTheme="minorEastAsia"/>
                <w:bCs/>
              </w:rPr>
              <w:t xml:space="preserve"> and 53 in depth interviews</w:t>
            </w:r>
            <w:r w:rsidRPr="00770C8C">
              <w:rPr>
                <w:rFonts w:eastAsiaTheme="minorEastAsia"/>
                <w:bCs/>
              </w:rPr>
              <w:t xml:space="preserve"> implemented o</w:t>
            </w:r>
            <w:r w:rsidRPr="00770C8C">
              <w:rPr>
                <w:rFonts w:eastAsiaTheme="minorEastAsia"/>
              </w:rPr>
              <w:t>ver a period of 24 months.</w:t>
            </w:r>
          </w:p>
          <w:p w14:paraId="5EE155DF" w14:textId="77777777" w:rsidR="005B08F8" w:rsidRPr="00770C8C" w:rsidRDefault="005B08F8" w:rsidP="00873831">
            <w:pPr>
              <w:rPr>
                <w:rFonts w:eastAsiaTheme="minorEastAsia"/>
                <w:b/>
                <w:bCs/>
              </w:rPr>
            </w:pPr>
          </w:p>
          <w:p w14:paraId="3694A7E3" w14:textId="5688F30E" w:rsidR="00C43036" w:rsidRPr="00083EF9" w:rsidRDefault="00C43036" w:rsidP="00873831">
            <w:pPr>
              <w:rPr>
                <w:rFonts w:eastAsiaTheme="minorEastAsia"/>
              </w:rPr>
            </w:pPr>
            <w:r w:rsidRPr="00770C8C">
              <w:rPr>
                <w:rFonts w:eastAsiaTheme="minorEastAsia"/>
                <w:b/>
                <w:bCs/>
              </w:rPr>
              <w:t xml:space="preserve">Documentary analysis: </w:t>
            </w:r>
            <w:r w:rsidRPr="00770C8C">
              <w:rPr>
                <w:rFonts w:eastAsiaTheme="minorEastAsia"/>
              </w:rPr>
              <w:t>Literature on the</w:t>
            </w:r>
            <w:r w:rsidRPr="00083EF9">
              <w:rPr>
                <w:rFonts w:eastAsiaTheme="minorEastAsia"/>
              </w:rPr>
              <w:t xml:space="preserve"> science and history of antimicrobials and AMR in relation to agricultural, health policy and </w:t>
            </w:r>
            <w:proofErr w:type="spellStart"/>
            <w:r w:rsidRPr="00083EF9">
              <w:rPr>
                <w:rFonts w:eastAsiaTheme="minorEastAsia"/>
              </w:rPr>
              <w:t>programmes</w:t>
            </w:r>
            <w:proofErr w:type="spellEnd"/>
            <w:r w:rsidRPr="00083EF9">
              <w:rPr>
                <w:rFonts w:eastAsiaTheme="minorEastAsia"/>
              </w:rPr>
              <w:t xml:space="preserve">. Policy documents, guidelines, plans, campaigns and reports. </w:t>
            </w:r>
            <w:r w:rsidR="00913671" w:rsidRPr="00083EF9">
              <w:rPr>
                <w:rFonts w:eastAsiaTheme="minorEastAsia"/>
              </w:rPr>
              <w:t>Publicly</w:t>
            </w:r>
            <w:r w:rsidRPr="00083EF9">
              <w:rPr>
                <w:rFonts w:eastAsiaTheme="minorEastAsia"/>
              </w:rPr>
              <w:t xml:space="preserve"> available media material, including newspaper articles, social media, and other sources of media were identified and consulted </w:t>
            </w:r>
          </w:p>
          <w:p w14:paraId="247F1821" w14:textId="6417F63E" w:rsidR="00C43036" w:rsidRPr="00083EF9" w:rsidRDefault="00C43036" w:rsidP="00873831">
            <w:pPr>
              <w:rPr>
                <w:rFonts w:eastAsia="Times New Roman"/>
              </w:rPr>
            </w:pPr>
          </w:p>
        </w:tc>
      </w:tr>
      <w:tr w:rsidR="00C43036" w:rsidRPr="00243614" w14:paraId="0F3156AA" w14:textId="77777777" w:rsidTr="00873831">
        <w:trPr>
          <w:trHeight w:val="1833"/>
        </w:trPr>
        <w:tc>
          <w:tcPr>
            <w:tcW w:w="1617" w:type="dxa"/>
          </w:tcPr>
          <w:p w14:paraId="77924158" w14:textId="77777777" w:rsidR="00C43036" w:rsidRPr="00243614" w:rsidRDefault="00C43036" w:rsidP="00873831">
            <w:r w:rsidRPr="00243614">
              <w:t>Target population</w:t>
            </w:r>
          </w:p>
        </w:tc>
        <w:tc>
          <w:tcPr>
            <w:tcW w:w="7689" w:type="dxa"/>
          </w:tcPr>
          <w:p w14:paraId="1D3DA6AA" w14:textId="06978909" w:rsidR="00FA5E0B" w:rsidRPr="00DC06A2" w:rsidRDefault="00FA5E0B" w:rsidP="00FA5E0B">
            <w:pPr>
              <w:rPr>
                <w:rFonts w:eastAsiaTheme="minorEastAsia" w:cstheme="minorHAnsi"/>
                <w:bCs/>
              </w:rPr>
            </w:pPr>
            <w:r w:rsidRPr="00DC06A2">
              <w:rPr>
                <w:rFonts w:eastAsiaTheme="minorEastAsia" w:cstheme="minorHAnsi"/>
                <w:bCs/>
              </w:rPr>
              <w:t xml:space="preserve">Within each of the study </w:t>
            </w:r>
            <w:r w:rsidR="00506727">
              <w:rPr>
                <w:rFonts w:eastAsiaTheme="minorEastAsia" w:cstheme="minorHAnsi"/>
                <w:bCs/>
              </w:rPr>
              <w:t>‘</w:t>
            </w:r>
            <w:r w:rsidRPr="00DC06A2">
              <w:rPr>
                <w:rFonts w:eastAsiaTheme="minorEastAsia" w:cstheme="minorHAnsi"/>
                <w:bCs/>
              </w:rPr>
              <w:t>sites</w:t>
            </w:r>
            <w:r w:rsidR="00506727">
              <w:rPr>
                <w:rFonts w:eastAsiaTheme="minorEastAsia" w:cstheme="minorHAnsi"/>
                <w:bCs/>
              </w:rPr>
              <w:t>’</w:t>
            </w:r>
            <w:r>
              <w:rPr>
                <w:rFonts w:eastAsiaTheme="minorEastAsia" w:cstheme="minorHAnsi"/>
                <w:bCs/>
              </w:rPr>
              <w:t xml:space="preserve"> entry points for fieldwork</w:t>
            </w:r>
            <w:r w:rsidRPr="00DC06A2">
              <w:rPr>
                <w:rFonts w:eastAsiaTheme="minorEastAsia" w:cstheme="minorHAnsi"/>
                <w:bCs/>
              </w:rPr>
              <w:t xml:space="preserve"> focus</w:t>
            </w:r>
            <w:r>
              <w:rPr>
                <w:rFonts w:eastAsiaTheme="minorEastAsia" w:cstheme="minorHAnsi"/>
                <w:bCs/>
              </w:rPr>
              <w:t>ed</w:t>
            </w:r>
            <w:r w:rsidRPr="00DC06A2">
              <w:rPr>
                <w:rFonts w:eastAsiaTheme="minorEastAsia" w:cstheme="minorHAnsi"/>
                <w:bCs/>
              </w:rPr>
              <w:t xml:space="preserve"> on a different population. In each </w:t>
            </w:r>
            <w:r w:rsidRPr="004A4CBE">
              <w:rPr>
                <w:rFonts w:eastAsiaTheme="minorEastAsia" w:cstheme="minorHAnsi"/>
                <w:bCs/>
              </w:rPr>
              <w:t xml:space="preserve">site (1), (2) and (3), we observed </w:t>
            </w:r>
            <w:r w:rsidR="00702B23">
              <w:rPr>
                <w:rFonts w:eastAsiaTheme="minorEastAsia" w:cstheme="minorHAnsi"/>
                <w:bCs/>
              </w:rPr>
              <w:t>approximately</w:t>
            </w:r>
            <w:r w:rsidRPr="004A4CBE">
              <w:rPr>
                <w:rFonts w:eastAsiaTheme="minorEastAsia" w:cstheme="minorHAnsi"/>
                <w:bCs/>
              </w:rPr>
              <w:t xml:space="preserve"> </w:t>
            </w:r>
            <w:r w:rsidR="004A4CBE" w:rsidRPr="004A4CBE">
              <w:rPr>
                <w:rFonts w:eastAsiaTheme="minorEastAsia" w:cstheme="minorHAnsi"/>
                <w:bCs/>
              </w:rPr>
              <w:t>78</w:t>
            </w:r>
            <w:r w:rsidRPr="004A4CBE">
              <w:rPr>
                <w:rFonts w:eastAsiaTheme="minorEastAsia" w:cstheme="minorHAnsi"/>
                <w:bCs/>
              </w:rPr>
              <w:t xml:space="preserve"> people and </w:t>
            </w:r>
            <w:r w:rsidR="00F70B0B" w:rsidRPr="00F70B0B">
              <w:rPr>
                <w:rFonts w:eastAsiaTheme="minorEastAsia" w:cstheme="minorHAnsi"/>
                <w:bCs/>
              </w:rPr>
              <w:t xml:space="preserve">conducted </w:t>
            </w:r>
            <w:r w:rsidR="00FF0FD9" w:rsidRPr="00F70B0B">
              <w:rPr>
                <w:rFonts w:eastAsiaTheme="minorEastAsia" w:cs="Browallia New"/>
                <w:bCs/>
                <w:szCs w:val="28"/>
                <w:lang w:bidi="th-TH"/>
              </w:rPr>
              <w:t>53</w:t>
            </w:r>
            <w:r w:rsidRPr="00F70B0B">
              <w:rPr>
                <w:rFonts w:eastAsiaTheme="minorEastAsia" w:cstheme="minorHAnsi"/>
                <w:bCs/>
              </w:rPr>
              <w:t xml:space="preserve"> in depth interviews.</w:t>
            </w:r>
            <w:r w:rsidR="00506727">
              <w:rPr>
                <w:rFonts w:eastAsiaTheme="minorEastAsia" w:cstheme="minorHAnsi"/>
                <w:bCs/>
              </w:rPr>
              <w:t xml:space="preserve"> The (4) study </w:t>
            </w:r>
            <w:r w:rsidR="005A10C5">
              <w:rPr>
                <w:rFonts w:eastAsiaTheme="minorEastAsia" w:cstheme="minorHAnsi"/>
                <w:bCs/>
              </w:rPr>
              <w:t>is ongoing and not included in this archive.</w:t>
            </w:r>
            <w:r w:rsidRPr="00F70B0B">
              <w:rPr>
                <w:rFonts w:eastAsiaTheme="minorEastAsia" w:cstheme="minorHAnsi"/>
                <w:bCs/>
              </w:rPr>
              <w:t xml:space="preserve"> </w:t>
            </w:r>
            <w:r w:rsidR="00F70B0B" w:rsidRPr="00F70B0B">
              <w:rPr>
                <w:rFonts w:eastAsiaTheme="minorEastAsia" w:cstheme="minorHAnsi"/>
                <w:bCs/>
              </w:rPr>
              <w:t>The</w:t>
            </w:r>
            <w:r w:rsidR="00F70B0B">
              <w:rPr>
                <w:rFonts w:eastAsiaTheme="minorEastAsia" w:cstheme="minorHAnsi"/>
                <w:bCs/>
              </w:rPr>
              <w:t xml:space="preserve"> (</w:t>
            </w:r>
            <w:r w:rsidR="00506727">
              <w:rPr>
                <w:rFonts w:eastAsiaTheme="minorEastAsia" w:cstheme="minorHAnsi"/>
                <w:bCs/>
              </w:rPr>
              <w:t>5</w:t>
            </w:r>
            <w:r w:rsidR="00F70B0B">
              <w:rPr>
                <w:rFonts w:eastAsiaTheme="minorEastAsia" w:cstheme="minorHAnsi"/>
                <w:bCs/>
              </w:rPr>
              <w:t>) ‘site’ involved the Thai anthropologists and any data collected was used for research team’s own reflection and writing up of publications, rather than publication or direct research outputs.</w:t>
            </w:r>
          </w:p>
          <w:p w14:paraId="1A156062" w14:textId="77777777" w:rsidR="00C43036" w:rsidRPr="00E14401" w:rsidRDefault="00C43036" w:rsidP="00873831"/>
          <w:p w14:paraId="2D1614D1" w14:textId="77777777" w:rsidR="00770C8C" w:rsidRPr="006379C2" w:rsidRDefault="00770C8C" w:rsidP="00770C8C">
            <w:pPr>
              <w:pStyle w:val="ListParagraph"/>
              <w:numPr>
                <w:ilvl w:val="0"/>
                <w:numId w:val="4"/>
              </w:numPr>
            </w:pPr>
            <w:r w:rsidRPr="00FF0FD9">
              <w:rPr>
                <w:i/>
                <w:iCs/>
              </w:rPr>
              <w:t xml:space="preserve">Antimicrobial/AMR policy and implementation: </w:t>
            </w:r>
            <w:r w:rsidRPr="006379C2">
              <w:t>Thai Ministry of Public health, District Public Health Administrative Office and Local Health Centre; national healthcare system, committee meetings and conferences, nurse’s prescription in clinics</w:t>
            </w:r>
          </w:p>
          <w:p w14:paraId="270ACB61" w14:textId="4AAE19B8" w:rsidR="00770C8C" w:rsidRPr="00770C8C" w:rsidRDefault="00770C8C" w:rsidP="00C43036">
            <w:pPr>
              <w:pStyle w:val="ListParagraph"/>
              <w:numPr>
                <w:ilvl w:val="0"/>
                <w:numId w:val="4"/>
              </w:numPr>
              <w:spacing w:after="0"/>
            </w:pPr>
            <w:r>
              <w:t xml:space="preserve">Pig farming; Owners of pig farms, workers on farms, relevant scientists working universities or companies, policymakers on agriculture and antibiotics in Thai </w:t>
            </w:r>
            <w:proofErr w:type="spellStart"/>
            <w:r>
              <w:t>goverment</w:t>
            </w:r>
            <w:proofErr w:type="spellEnd"/>
          </w:p>
          <w:p w14:paraId="6BCC94DA" w14:textId="43296B6B" w:rsidR="00C43036" w:rsidRPr="00FF0FD9" w:rsidRDefault="00C43036" w:rsidP="00C43036">
            <w:pPr>
              <w:pStyle w:val="ListParagraph"/>
              <w:numPr>
                <w:ilvl w:val="0"/>
                <w:numId w:val="4"/>
              </w:numPr>
              <w:spacing w:after="0"/>
            </w:pPr>
            <w:r w:rsidRPr="00FF0FD9">
              <w:rPr>
                <w:i/>
                <w:iCs/>
              </w:rPr>
              <w:t>Orange production and consumption</w:t>
            </w:r>
            <w:r w:rsidRPr="00FF0FD9">
              <w:t xml:space="preserve">: People engage in orange orchards, including owners, </w:t>
            </w:r>
            <w:proofErr w:type="spellStart"/>
            <w:r w:rsidRPr="00FF0FD9">
              <w:t>labourers</w:t>
            </w:r>
            <w:proofErr w:type="spellEnd"/>
            <w:r w:rsidRPr="00FF0FD9">
              <w:t xml:space="preserve">, agrochemical sellers and agricultural officers, as well as other relevant workers and residents in the area. </w:t>
            </w:r>
          </w:p>
          <w:p w14:paraId="52B8B157" w14:textId="63C91E5E" w:rsidR="00B50C1E" w:rsidRPr="006379C2" w:rsidRDefault="00B50C1E" w:rsidP="00B50C1E">
            <w:pPr>
              <w:pStyle w:val="ListParagraph"/>
              <w:numPr>
                <w:ilvl w:val="0"/>
                <w:numId w:val="4"/>
              </w:numPr>
            </w:pPr>
            <w:r>
              <w:rPr>
                <w:i/>
                <w:iCs/>
              </w:rPr>
              <w:t xml:space="preserve">Migrants and TB care: </w:t>
            </w:r>
            <w:r w:rsidRPr="006379C2">
              <w:t xml:space="preserve">Migrant </w:t>
            </w:r>
            <w:proofErr w:type="spellStart"/>
            <w:r w:rsidRPr="006379C2">
              <w:t>labourers</w:t>
            </w:r>
            <w:proofErr w:type="spellEnd"/>
            <w:r w:rsidRPr="006379C2">
              <w:t>, TB health care professionals and policy makers in Thai/Myanmar border regions, as well as poor urban communities</w:t>
            </w:r>
          </w:p>
          <w:p w14:paraId="24F2BC5F" w14:textId="4CAD8BEF" w:rsidR="00C43036" w:rsidRPr="00B50C1E" w:rsidRDefault="00FF0FD9" w:rsidP="00B50C1E">
            <w:pPr>
              <w:pStyle w:val="ListParagraph"/>
              <w:numPr>
                <w:ilvl w:val="0"/>
                <w:numId w:val="4"/>
              </w:numPr>
              <w:rPr>
                <w:i/>
                <w:iCs/>
              </w:rPr>
            </w:pPr>
            <w:r w:rsidRPr="00B50C1E">
              <w:rPr>
                <w:i/>
                <w:iCs/>
              </w:rPr>
              <w:t xml:space="preserve">Following methodology: </w:t>
            </w:r>
            <w:r w:rsidR="005B08F8">
              <w:rPr>
                <w:i/>
                <w:iCs/>
              </w:rPr>
              <w:t xml:space="preserve">This focused on our </w:t>
            </w:r>
            <w:r w:rsidR="009A25F0">
              <w:rPr>
                <w:i/>
                <w:iCs/>
              </w:rPr>
              <w:t xml:space="preserve">Thai </w:t>
            </w:r>
            <w:r w:rsidR="005B08F8">
              <w:rPr>
                <w:i/>
                <w:iCs/>
              </w:rPr>
              <w:t>research</w:t>
            </w:r>
            <w:r w:rsidR="009A25F0">
              <w:rPr>
                <w:i/>
                <w:iCs/>
              </w:rPr>
              <w:t>er</w:t>
            </w:r>
            <w:r w:rsidR="005B08F8">
              <w:rPr>
                <w:i/>
                <w:iCs/>
              </w:rPr>
              <w:t xml:space="preserve"> team</w:t>
            </w:r>
            <w:r w:rsidR="00F70B0B">
              <w:rPr>
                <w:i/>
                <w:iCs/>
              </w:rPr>
              <w:t>.</w:t>
            </w:r>
          </w:p>
        </w:tc>
      </w:tr>
      <w:tr w:rsidR="00C43036" w:rsidRPr="00243614" w14:paraId="7CA797CC" w14:textId="77777777" w:rsidTr="00873831">
        <w:tc>
          <w:tcPr>
            <w:tcW w:w="1617" w:type="dxa"/>
          </w:tcPr>
          <w:p w14:paraId="72D67C8A" w14:textId="77777777" w:rsidR="00C43036" w:rsidRPr="00243614" w:rsidRDefault="00C43036" w:rsidP="00873831">
            <w:r w:rsidRPr="00243614">
              <w:lastRenderedPageBreak/>
              <w:t>Project period</w:t>
            </w:r>
          </w:p>
        </w:tc>
        <w:tc>
          <w:tcPr>
            <w:tcW w:w="7689" w:type="dxa"/>
          </w:tcPr>
          <w:p w14:paraId="2974B099" w14:textId="09DE3C65" w:rsidR="00C43036" w:rsidRPr="00243614" w:rsidRDefault="00C43036" w:rsidP="00873831">
            <w:r w:rsidRPr="00243614">
              <w:t xml:space="preserve">Approximately </w:t>
            </w:r>
            <w:r w:rsidR="00FA5E0B">
              <w:t>3</w:t>
            </w:r>
            <w:r w:rsidRPr="00243614">
              <w:t xml:space="preserve"> years from 2018 to 2021</w:t>
            </w:r>
          </w:p>
        </w:tc>
      </w:tr>
    </w:tbl>
    <w:p w14:paraId="2A646054" w14:textId="77777777" w:rsidR="00C43036" w:rsidRDefault="00C43036"/>
    <w:sectPr w:rsidR="00C43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4481B"/>
    <w:multiLevelType w:val="hybridMultilevel"/>
    <w:tmpl w:val="DECCE2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528C3"/>
    <w:multiLevelType w:val="hybridMultilevel"/>
    <w:tmpl w:val="177C6D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0464B"/>
    <w:multiLevelType w:val="hybridMultilevel"/>
    <w:tmpl w:val="E3C6BAF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C5AD9"/>
    <w:multiLevelType w:val="hybridMultilevel"/>
    <w:tmpl w:val="0590AB74"/>
    <w:lvl w:ilvl="0" w:tplc="303E003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9F8E01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ECC658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C6063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17025C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D3E733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B8C508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CF2C9F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C76FA5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6"/>
    <w:rsid w:val="00083EF9"/>
    <w:rsid w:val="001C59BA"/>
    <w:rsid w:val="002A2655"/>
    <w:rsid w:val="00335B21"/>
    <w:rsid w:val="003F394E"/>
    <w:rsid w:val="004A4CBE"/>
    <w:rsid w:val="004C6D50"/>
    <w:rsid w:val="00506727"/>
    <w:rsid w:val="005A10C5"/>
    <w:rsid w:val="005B08F8"/>
    <w:rsid w:val="006379C2"/>
    <w:rsid w:val="006F4D7A"/>
    <w:rsid w:val="00702B23"/>
    <w:rsid w:val="00770C8C"/>
    <w:rsid w:val="00913671"/>
    <w:rsid w:val="009A25F0"/>
    <w:rsid w:val="00AD0491"/>
    <w:rsid w:val="00B50C1E"/>
    <w:rsid w:val="00C43036"/>
    <w:rsid w:val="00CC238A"/>
    <w:rsid w:val="00D2668C"/>
    <w:rsid w:val="00E035F5"/>
    <w:rsid w:val="00F54C09"/>
    <w:rsid w:val="00F70B0B"/>
    <w:rsid w:val="00FA5E0B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703CA"/>
  <w15:chartTrackingRefBased/>
  <w15:docId w15:val="{5A95408E-CD05-3F4F-98A2-42BEC9FD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3036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43036"/>
    <w:pPr>
      <w:spacing w:after="200" w:line="360" w:lineRule="auto"/>
      <w:ind w:left="720"/>
      <w:contextualSpacing/>
    </w:pPr>
    <w:rPr>
      <w:rFonts w:cstheme="minorHAns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3036"/>
    <w:rPr>
      <w:rFonts w:cstheme="minorHAns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430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0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0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0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30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D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D7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83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 de Lima Hutchison</dc:creator>
  <cp:keywords/>
  <dc:description/>
  <cp:lastModifiedBy>Coll de Lima Hutchison</cp:lastModifiedBy>
  <cp:revision>4</cp:revision>
  <dcterms:created xsi:type="dcterms:W3CDTF">2021-08-11T12:57:00Z</dcterms:created>
  <dcterms:modified xsi:type="dcterms:W3CDTF">2021-08-11T13:14:00Z</dcterms:modified>
</cp:coreProperties>
</file>