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E90DB" w14:textId="77777777" w:rsidR="00B74E7D" w:rsidRDefault="00B74E7D" w:rsidP="00B74E7D">
      <w:pPr>
        <w:rPr>
          <w:b/>
          <w:bCs/>
          <w:sz w:val="22"/>
          <w:szCs w:val="22"/>
        </w:rPr>
      </w:pPr>
      <w:r w:rsidRPr="00261DA2">
        <w:rPr>
          <w:b/>
          <w:bCs/>
          <w:sz w:val="22"/>
          <w:szCs w:val="22"/>
        </w:rPr>
        <w:t>Anti-Microbials in Society (AMIS): a Global Interdisciplinary Research Hub</w:t>
      </w:r>
      <w:r>
        <w:rPr>
          <w:b/>
          <w:bCs/>
          <w:sz w:val="22"/>
          <w:szCs w:val="22"/>
        </w:rPr>
        <w:t xml:space="preserve"> – Thailand, Study 1</w:t>
      </w:r>
    </w:p>
    <w:p w14:paraId="22694090" w14:textId="77777777" w:rsidR="00B74E7D" w:rsidRDefault="00B74E7D" w:rsidP="003F088C">
      <w:pPr>
        <w:rPr>
          <w:rFonts w:cstheme="minorHAnsi"/>
          <w:b/>
          <w:bCs/>
          <w:sz w:val="22"/>
          <w:szCs w:val="22"/>
        </w:rPr>
      </w:pPr>
    </w:p>
    <w:p w14:paraId="309E2513" w14:textId="57819CCD" w:rsidR="003F088C" w:rsidRPr="00B531FF" w:rsidRDefault="00BB56AB" w:rsidP="003F088C">
      <w:pPr>
        <w:rPr>
          <w:b/>
          <w:bCs/>
        </w:rPr>
      </w:pPr>
      <w:r>
        <w:rPr>
          <w:rFonts w:cstheme="minorHAnsi"/>
          <w:b/>
          <w:bCs/>
          <w:sz w:val="22"/>
          <w:szCs w:val="22"/>
        </w:rPr>
        <w:t xml:space="preserve">Project Aims and Methodology </w:t>
      </w:r>
    </w:p>
    <w:p w14:paraId="3E0107CB" w14:textId="77777777" w:rsidR="003F088C" w:rsidRDefault="003F088C" w:rsidP="003F088C"/>
    <w:tbl>
      <w:tblPr>
        <w:tblStyle w:val="TableGrid"/>
        <w:tblW w:w="9306" w:type="dxa"/>
        <w:tblLook w:val="04A0" w:firstRow="1" w:lastRow="0" w:firstColumn="1" w:lastColumn="0" w:noHBand="0" w:noVBand="1"/>
      </w:tblPr>
      <w:tblGrid>
        <w:gridCol w:w="1617"/>
        <w:gridCol w:w="7689"/>
      </w:tblGrid>
      <w:tr w:rsidR="00705570" w:rsidRPr="00243614" w14:paraId="7CA34B41" w14:textId="77777777" w:rsidTr="000972D2">
        <w:tc>
          <w:tcPr>
            <w:tcW w:w="1617" w:type="dxa"/>
          </w:tcPr>
          <w:p w14:paraId="65E7A00B" w14:textId="77777777" w:rsidR="00705570" w:rsidRPr="00243614" w:rsidRDefault="00705570" w:rsidP="000972D2">
            <w:r w:rsidRPr="00243614">
              <w:t>Title</w:t>
            </w:r>
          </w:p>
        </w:tc>
        <w:tc>
          <w:tcPr>
            <w:tcW w:w="7689" w:type="dxa"/>
          </w:tcPr>
          <w:p w14:paraId="1F7D8740" w14:textId="77777777" w:rsidR="00705570" w:rsidRDefault="00705570" w:rsidP="000972D2">
            <w:pPr>
              <w:rPr>
                <w:b/>
                <w:bCs/>
              </w:rPr>
            </w:pPr>
            <w:r w:rsidRPr="007A1564">
              <w:rPr>
                <w:b/>
                <w:bCs/>
              </w:rPr>
              <w:t>Antimicrobials in Society (AMIS) Project Thailand: Understanding the role of antimicrobials in</w:t>
            </w:r>
            <w:r>
              <w:rPr>
                <w:b/>
                <w:bCs/>
              </w:rPr>
              <w:t xml:space="preserve"> daily life in</w:t>
            </w:r>
            <w:r w:rsidRPr="007A1564">
              <w:rPr>
                <w:b/>
                <w:bCs/>
              </w:rPr>
              <w:t xml:space="preserve"> Thai Society </w:t>
            </w:r>
          </w:p>
          <w:p w14:paraId="01F3AF93" w14:textId="03DBBA0F" w:rsidR="000A05D2" w:rsidRPr="007A1564" w:rsidRDefault="000A05D2" w:rsidP="000972D2">
            <w:pPr>
              <w:rPr>
                <w:b/>
                <w:bCs/>
              </w:rPr>
            </w:pPr>
          </w:p>
        </w:tc>
      </w:tr>
      <w:tr w:rsidR="00705570" w:rsidRPr="00243614" w14:paraId="26AC0A32" w14:textId="77777777" w:rsidTr="000972D2">
        <w:tc>
          <w:tcPr>
            <w:tcW w:w="1617" w:type="dxa"/>
          </w:tcPr>
          <w:p w14:paraId="1F8AE6F1" w14:textId="77777777" w:rsidR="00705570" w:rsidRPr="00243614" w:rsidRDefault="00705570" w:rsidP="000972D2">
            <w:r w:rsidRPr="00243614">
              <w:t>Description</w:t>
            </w:r>
          </w:p>
        </w:tc>
        <w:tc>
          <w:tcPr>
            <w:tcW w:w="7689" w:type="dxa"/>
          </w:tcPr>
          <w:p w14:paraId="32EEA194" w14:textId="77777777" w:rsidR="00705570" w:rsidRDefault="00705570" w:rsidP="000972D2">
            <w:pPr>
              <w:rPr>
                <w:rFonts w:ascii="Calibri" w:eastAsia="Calibri" w:hAnsi="Calibri" w:cs="Calibri"/>
              </w:rPr>
            </w:pPr>
            <w:r w:rsidRPr="00243614">
              <w:t xml:space="preserve">The AMIS Project Thailand is an anthropological research project aimed at better understanding the role of antimicrobials in </w:t>
            </w:r>
            <w:r w:rsidRPr="00243614">
              <w:rPr>
                <w:rFonts w:ascii="Calibri" w:eastAsia="Calibri" w:hAnsi="Calibri" w:cs="Calibri"/>
              </w:rPr>
              <w:t xml:space="preserve">daily life in Thai society in diverse contexts and with different actors, including health care providers, </w:t>
            </w:r>
            <w:r w:rsidRPr="002F6C96">
              <w:rPr>
                <w:rFonts w:ascii="Calibri" w:eastAsia="Calibri" w:hAnsi="Calibri" w:cs="Calibri"/>
              </w:rPr>
              <w:t>day wage urban workers, scientists and policymakers</w:t>
            </w:r>
            <w:r w:rsidRPr="007679BC">
              <w:rPr>
                <w:rFonts w:ascii="Calibri" w:eastAsia="Calibri" w:hAnsi="Calibri" w:cs="Calibri"/>
              </w:rPr>
              <w:t xml:space="preserve">. The research </w:t>
            </w:r>
            <w:r>
              <w:rPr>
                <w:rFonts w:ascii="Calibri" w:eastAsia="Calibri" w:hAnsi="Calibri" w:cs="Calibri"/>
              </w:rPr>
              <w:t>focuses</w:t>
            </w:r>
            <w:r w:rsidRPr="007679BC">
              <w:rPr>
                <w:rFonts w:ascii="Calibri" w:eastAsia="Calibri" w:hAnsi="Calibri" w:cs="Calibri"/>
              </w:rPr>
              <w:t xml:space="preserve"> on the</w:t>
            </w:r>
            <w:r w:rsidRPr="00430416">
              <w:rPr>
                <w:rFonts w:ascii="Calibri" w:eastAsia="Calibri" w:hAnsi="Calibri" w:cs="Calibri"/>
              </w:rPr>
              <w:t xml:space="preserve"> ways in which antimicrobials enable particular ways of life,</w:t>
            </w:r>
            <w:r w:rsidRPr="008F5FBB">
              <w:rPr>
                <w:rFonts w:ascii="Calibri" w:eastAsia="Calibri" w:hAnsi="Calibri" w:cs="Calibri"/>
              </w:rPr>
              <w:t xml:space="preserve"> </w:t>
            </w:r>
            <w:r w:rsidRPr="00243614">
              <w:rPr>
                <w:rFonts w:ascii="Calibri" w:eastAsia="Calibri" w:hAnsi="Calibri" w:cs="Calibri"/>
              </w:rPr>
              <w:t xml:space="preserve">livelihoods and institutional practices, and </w:t>
            </w:r>
            <w:r>
              <w:rPr>
                <w:rFonts w:ascii="Calibri" w:eastAsia="Calibri" w:hAnsi="Calibri" w:cs="Calibri"/>
              </w:rPr>
              <w:t>explores</w:t>
            </w:r>
            <w:r w:rsidRPr="00243614">
              <w:rPr>
                <w:rFonts w:ascii="Calibri" w:eastAsia="Calibri" w:hAnsi="Calibri" w:cs="Calibri"/>
              </w:rPr>
              <w:t xml:space="preserve"> the context and wider motivations for antimicrobial use in Thailand.</w:t>
            </w:r>
          </w:p>
          <w:p w14:paraId="2ECA6C5D" w14:textId="09704408" w:rsidR="00705570" w:rsidRPr="00243614" w:rsidRDefault="00705570" w:rsidP="000972D2"/>
        </w:tc>
      </w:tr>
      <w:tr w:rsidR="00705570" w:rsidRPr="00243614" w14:paraId="73F09AE5" w14:textId="77777777" w:rsidTr="000972D2">
        <w:tc>
          <w:tcPr>
            <w:tcW w:w="1617" w:type="dxa"/>
          </w:tcPr>
          <w:p w14:paraId="310FF4E9" w14:textId="2FA51048" w:rsidR="00705570" w:rsidRPr="00243614" w:rsidRDefault="00705570" w:rsidP="000972D2">
            <w:r w:rsidRPr="00243614">
              <w:t>Study design</w:t>
            </w:r>
            <w:r w:rsidR="00045102">
              <w:t xml:space="preserve"> and topics</w:t>
            </w:r>
          </w:p>
        </w:tc>
        <w:tc>
          <w:tcPr>
            <w:tcW w:w="7689" w:type="dxa"/>
          </w:tcPr>
          <w:p w14:paraId="4C3352D4" w14:textId="2D5F22AB" w:rsidR="00705570" w:rsidRDefault="00705570" w:rsidP="000972D2">
            <w:pPr>
              <w:rPr>
                <w:rFonts w:eastAsiaTheme="minorEastAsia"/>
              </w:rPr>
            </w:pPr>
            <w:r w:rsidRPr="000A05D2">
              <w:t>The AMIS Thailand project</w:t>
            </w:r>
            <w:r w:rsidR="00EE13B0">
              <w:t>, (Study 1)</w:t>
            </w:r>
            <w:r w:rsidRPr="000A05D2">
              <w:t xml:space="preserve"> consists of three </w:t>
            </w:r>
            <w:r w:rsidR="00642DDA">
              <w:t>sub-</w:t>
            </w:r>
            <w:r w:rsidR="004A4109">
              <w:t>studies</w:t>
            </w:r>
            <w:r w:rsidRPr="000A05D2">
              <w:t>; each sub-</w:t>
            </w:r>
            <w:r w:rsidR="004A4109">
              <w:t xml:space="preserve">study </w:t>
            </w:r>
            <w:r w:rsidRPr="000A05D2">
              <w:t>draws on different anthropological literature and has different entry points (antimicrobial/AMR activity and/or group)</w:t>
            </w:r>
            <w:r w:rsidR="004A4109">
              <w:t>, however they overlap.</w:t>
            </w:r>
            <w:r w:rsidRPr="000A05D2">
              <w:t xml:space="preserve"> </w:t>
            </w:r>
            <w:r w:rsidRPr="000A05D2">
              <w:rPr>
                <w:rFonts w:eastAsiaTheme="minorEastAsia"/>
              </w:rPr>
              <w:t xml:space="preserve">The research includes the following </w:t>
            </w:r>
            <w:r w:rsidR="004A4109">
              <w:rPr>
                <w:rFonts w:eastAsiaTheme="minorEastAsia"/>
              </w:rPr>
              <w:t>topics and study sites/informants</w:t>
            </w:r>
            <w:r w:rsidRPr="000A05D2">
              <w:rPr>
                <w:rFonts w:eastAsiaTheme="minorEastAsia"/>
              </w:rPr>
              <w:t>:</w:t>
            </w:r>
          </w:p>
          <w:p w14:paraId="35C1C593" w14:textId="77777777" w:rsidR="004A4109" w:rsidRPr="000A05D2" w:rsidRDefault="004A4109" w:rsidP="000972D2">
            <w:pPr>
              <w:rPr>
                <w:rFonts w:eastAsiaTheme="minorEastAsia"/>
              </w:rPr>
            </w:pPr>
          </w:p>
          <w:p w14:paraId="69CE499E" w14:textId="07EB3B70" w:rsidR="00045102" w:rsidRPr="000C6F6F" w:rsidRDefault="00045102" w:rsidP="0004510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Bidi"/>
                <w:lang w:eastAsia="en-US"/>
              </w:rPr>
            </w:pPr>
            <w:r w:rsidRPr="000C6F6F">
              <w:rPr>
                <w:rFonts w:asciiTheme="minorHAnsi" w:hAnsiTheme="minorHAnsi" w:cstheme="minorBidi"/>
                <w:i/>
                <w:iCs/>
                <w:lang w:eastAsia="en-US"/>
              </w:rPr>
              <w:t>Antimicrobial distribution in community pharmacies in a peri-urban area</w:t>
            </w:r>
            <w:r w:rsidRPr="000C6F6F">
              <w:rPr>
                <w:rFonts w:asciiTheme="minorHAnsi" w:hAnsiTheme="minorHAnsi" w:cstheme="minorBidi"/>
                <w:lang w:eastAsia="en-US"/>
              </w:rPr>
              <w:t xml:space="preserve">: Community pharmacies, households, provincial health office, district health office, pharmaceutical representatives, academics and policymakers </w:t>
            </w:r>
          </w:p>
          <w:p w14:paraId="29EB21E5" w14:textId="77777777" w:rsidR="00045102" w:rsidRPr="000C6F6F" w:rsidRDefault="00045102" w:rsidP="0004510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Bidi"/>
                <w:lang w:eastAsia="en-US"/>
              </w:rPr>
            </w:pPr>
            <w:r w:rsidRPr="000C6F6F">
              <w:rPr>
                <w:rFonts w:asciiTheme="minorHAnsi" w:hAnsiTheme="minorHAnsi" w:cstheme="minorBidi"/>
                <w:i/>
                <w:iCs/>
                <w:lang w:eastAsia="en-US"/>
              </w:rPr>
              <w:t>Antimicrobial use and antimicrobial resistant infection in marginalised communities</w:t>
            </w:r>
            <w:r w:rsidRPr="000C6F6F">
              <w:rPr>
                <w:rFonts w:asciiTheme="minorHAnsi" w:hAnsiTheme="minorHAnsi" w:cstheme="minorBidi"/>
                <w:lang w:eastAsia="en-US"/>
              </w:rPr>
              <w:t xml:space="preserve">: Bedridden patients and their families in a peri-urban community, community health </w:t>
            </w:r>
            <w:proofErr w:type="spellStart"/>
            <w:r w:rsidRPr="000C6F6F">
              <w:rPr>
                <w:rFonts w:asciiTheme="minorHAnsi" w:hAnsiTheme="minorHAnsi" w:cstheme="minorBidi"/>
                <w:lang w:eastAsia="en-US"/>
              </w:rPr>
              <w:t>centre</w:t>
            </w:r>
            <w:proofErr w:type="spellEnd"/>
            <w:r w:rsidRPr="000C6F6F">
              <w:rPr>
                <w:rFonts w:asciiTheme="minorHAnsi" w:hAnsiTheme="minorHAnsi" w:cstheme="minorBidi"/>
                <w:lang w:eastAsia="en-US"/>
              </w:rPr>
              <w:t>, public district hospital</w:t>
            </w:r>
          </w:p>
          <w:p w14:paraId="3C800C75" w14:textId="089032B8" w:rsidR="00045102" w:rsidRPr="000C6F6F" w:rsidRDefault="00045102" w:rsidP="0004510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Bidi"/>
                <w:lang w:eastAsia="en-US"/>
              </w:rPr>
            </w:pPr>
            <w:r w:rsidRPr="000C6F6F">
              <w:rPr>
                <w:rFonts w:asciiTheme="minorHAnsi" w:hAnsiTheme="minorHAnsi" w:cstheme="minorBidi"/>
                <w:i/>
                <w:iCs/>
                <w:lang w:eastAsia="en-US"/>
              </w:rPr>
              <w:t>Rational drug use policies</w:t>
            </w:r>
            <w:r w:rsidRPr="000C6F6F">
              <w:rPr>
                <w:rFonts w:asciiTheme="minorHAnsi" w:hAnsiTheme="minorHAnsi" w:cstheme="minorBidi"/>
                <w:lang w:eastAsia="en-US"/>
              </w:rPr>
              <w:t xml:space="preserve">: Private hospital, public district hospital, community health </w:t>
            </w:r>
            <w:proofErr w:type="spellStart"/>
            <w:r w:rsidRPr="000C6F6F">
              <w:rPr>
                <w:rFonts w:asciiTheme="minorHAnsi" w:hAnsiTheme="minorHAnsi" w:cstheme="minorBidi"/>
                <w:lang w:eastAsia="en-US"/>
              </w:rPr>
              <w:t>centre</w:t>
            </w:r>
            <w:proofErr w:type="spellEnd"/>
            <w:r w:rsidRPr="000C6F6F">
              <w:rPr>
                <w:rFonts w:asciiTheme="minorHAnsi" w:hAnsiTheme="minorHAnsi" w:cstheme="minorBidi"/>
                <w:lang w:eastAsia="en-US"/>
              </w:rPr>
              <w:t>, academic</w:t>
            </w:r>
            <w:r w:rsidR="004A4109" w:rsidRPr="000C6F6F">
              <w:rPr>
                <w:rFonts w:asciiTheme="minorHAnsi" w:hAnsiTheme="minorHAnsi" w:cstheme="minorBidi"/>
                <w:lang w:eastAsia="en-US"/>
              </w:rPr>
              <w:t>s</w:t>
            </w:r>
            <w:r w:rsidRPr="000C6F6F">
              <w:rPr>
                <w:rFonts w:asciiTheme="minorHAnsi" w:hAnsiTheme="minorHAnsi" w:cstheme="minorBidi"/>
                <w:lang w:eastAsia="en-US"/>
              </w:rPr>
              <w:t xml:space="preserve"> and policymakers</w:t>
            </w:r>
          </w:p>
          <w:p w14:paraId="09754BFB" w14:textId="48109531" w:rsidR="00A91DE5" w:rsidRPr="000A05D2" w:rsidRDefault="00A91DE5" w:rsidP="00045102">
            <w:pPr>
              <w:pStyle w:val="ListParagraph"/>
              <w:ind w:left="360"/>
              <w:rPr>
                <w:rFonts w:asciiTheme="minorHAnsi" w:hAnsiTheme="minorHAnsi"/>
              </w:rPr>
            </w:pPr>
          </w:p>
        </w:tc>
      </w:tr>
      <w:tr w:rsidR="00705570" w:rsidRPr="00243614" w14:paraId="37899DD3" w14:textId="77777777" w:rsidTr="000972D2">
        <w:tc>
          <w:tcPr>
            <w:tcW w:w="1617" w:type="dxa"/>
          </w:tcPr>
          <w:p w14:paraId="21298463" w14:textId="77777777" w:rsidR="00705570" w:rsidRPr="00243614" w:rsidRDefault="00705570" w:rsidP="000972D2">
            <w:r w:rsidRPr="00243614">
              <w:t>Primary objective</w:t>
            </w:r>
          </w:p>
        </w:tc>
        <w:tc>
          <w:tcPr>
            <w:tcW w:w="7689" w:type="dxa"/>
          </w:tcPr>
          <w:p w14:paraId="50C88455" w14:textId="77777777" w:rsidR="00705570" w:rsidRPr="00243614" w:rsidRDefault="00705570" w:rsidP="000972D2">
            <w:r w:rsidRPr="00243614">
              <w:t>To understand the role of antimicrobials in everyday life in Thailand.</w:t>
            </w:r>
          </w:p>
        </w:tc>
      </w:tr>
      <w:tr w:rsidR="00705570" w:rsidRPr="00243614" w14:paraId="6880065C" w14:textId="77777777" w:rsidTr="000972D2">
        <w:tc>
          <w:tcPr>
            <w:tcW w:w="1617" w:type="dxa"/>
          </w:tcPr>
          <w:p w14:paraId="3578858A" w14:textId="77777777" w:rsidR="00705570" w:rsidRPr="004E6D18" w:rsidRDefault="00705570" w:rsidP="000972D2">
            <w:r w:rsidRPr="004E6D18">
              <w:t>Secondary objectives</w:t>
            </w:r>
          </w:p>
        </w:tc>
        <w:tc>
          <w:tcPr>
            <w:tcW w:w="7689" w:type="dxa"/>
          </w:tcPr>
          <w:p w14:paraId="6BA7C976" w14:textId="77777777" w:rsidR="00705570" w:rsidRPr="000A05D2" w:rsidRDefault="00705570" w:rsidP="000A05D2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Theme="minorHAnsi" w:hAnsiTheme="minorHAnsi"/>
              </w:rPr>
            </w:pPr>
            <w:r w:rsidRPr="000A05D2">
              <w:rPr>
                <w:rFonts w:asciiTheme="minorHAnsi" w:hAnsiTheme="minorHAnsi"/>
              </w:rPr>
              <w:t>To understand the ways in which people rely on antimicrobials.</w:t>
            </w:r>
          </w:p>
          <w:p w14:paraId="1EE894E7" w14:textId="4A906055" w:rsidR="00705570" w:rsidRPr="000A05D2" w:rsidRDefault="00705570" w:rsidP="000A05D2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Theme="minorHAnsi" w:hAnsiTheme="minorHAnsi"/>
              </w:rPr>
            </w:pPr>
            <w:r w:rsidRPr="000A05D2">
              <w:rPr>
                <w:rFonts w:asciiTheme="minorHAnsi" w:hAnsiTheme="minorHAnsi"/>
              </w:rPr>
              <w:t>To understand the context for people's use of, and reliance on, antimicrobials.</w:t>
            </w:r>
          </w:p>
          <w:p w14:paraId="1FCC6928" w14:textId="31217C8D" w:rsidR="000A05D2" w:rsidRPr="000A05D2" w:rsidRDefault="000A05D2" w:rsidP="000A05D2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asciiTheme="minorHAnsi" w:hAnsiTheme="minorHAnsi"/>
              </w:rPr>
            </w:pPr>
            <w:r w:rsidRPr="000A05D2">
              <w:rPr>
                <w:rFonts w:asciiTheme="minorHAnsi" w:hAnsiTheme="minorHAnsi"/>
              </w:rPr>
              <w:t xml:space="preserve">To understand the differential distribution and transmission of antimicrobial resistant infections </w:t>
            </w:r>
            <w:r w:rsidR="00EE13B0">
              <w:rPr>
                <w:rFonts w:asciiTheme="minorHAnsi" w:hAnsiTheme="minorHAnsi"/>
              </w:rPr>
              <w:t>in the community.</w:t>
            </w:r>
          </w:p>
          <w:p w14:paraId="4BC89F3E" w14:textId="77777777" w:rsidR="00705570" w:rsidRPr="000C6F6F" w:rsidRDefault="00705570" w:rsidP="000A05D2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 w:rsidRPr="000A05D2">
              <w:rPr>
                <w:rFonts w:asciiTheme="minorHAnsi" w:hAnsiTheme="minorHAnsi"/>
              </w:rPr>
              <w:t>To stimulate and observe action in response to data and research on AMR via participatory research.</w:t>
            </w:r>
          </w:p>
          <w:p w14:paraId="5BA51E16" w14:textId="7FA72F25" w:rsidR="000C6F6F" w:rsidRPr="004E6D18" w:rsidRDefault="000C6F6F" w:rsidP="000C6F6F">
            <w:pPr>
              <w:pStyle w:val="ListParagraph"/>
              <w:ind w:left="357"/>
            </w:pPr>
          </w:p>
        </w:tc>
      </w:tr>
      <w:tr w:rsidR="00705570" w:rsidRPr="00243614" w14:paraId="12E7CAB7" w14:textId="77777777" w:rsidTr="000972D2">
        <w:tc>
          <w:tcPr>
            <w:tcW w:w="1617" w:type="dxa"/>
          </w:tcPr>
          <w:p w14:paraId="1280E57F" w14:textId="77777777" w:rsidR="00705570" w:rsidRPr="00243614" w:rsidRDefault="00705570" w:rsidP="000972D2">
            <w:r w:rsidRPr="007A1564">
              <w:t xml:space="preserve">Methodology </w:t>
            </w:r>
          </w:p>
        </w:tc>
        <w:tc>
          <w:tcPr>
            <w:tcW w:w="7689" w:type="dxa"/>
          </w:tcPr>
          <w:p w14:paraId="75F0E617" w14:textId="7332AC6B" w:rsidR="00705570" w:rsidRPr="00243614" w:rsidRDefault="00705570" w:rsidP="000972D2">
            <w:pPr>
              <w:rPr>
                <w:rFonts w:eastAsiaTheme="minorEastAsia"/>
              </w:rPr>
            </w:pPr>
            <w:r w:rsidRPr="00243614">
              <w:rPr>
                <w:rFonts w:eastAsiaTheme="minorEastAsia"/>
                <w:b/>
                <w:bCs/>
              </w:rPr>
              <w:t xml:space="preserve">Documentary analysis: </w:t>
            </w:r>
            <w:r w:rsidR="00642DDA">
              <w:rPr>
                <w:rFonts w:eastAsiaTheme="minorEastAsia"/>
              </w:rPr>
              <w:t>Relevant literature, policy documents and public health and lay public media content and materials</w:t>
            </w:r>
            <w:r w:rsidR="004A4109">
              <w:rPr>
                <w:rFonts w:eastAsiaTheme="minorEastAsia"/>
              </w:rPr>
              <w:t xml:space="preserve"> were reviewed, </w:t>
            </w:r>
            <w:r w:rsidR="00642DDA">
              <w:rPr>
                <w:rFonts w:eastAsiaTheme="minorEastAsia"/>
              </w:rPr>
              <w:t xml:space="preserve">to </w:t>
            </w:r>
            <w:proofErr w:type="spellStart"/>
            <w:r w:rsidR="00642DDA">
              <w:rPr>
                <w:rFonts w:eastAsiaTheme="minorEastAsia"/>
              </w:rPr>
              <w:t>contextual</w:t>
            </w:r>
            <w:r w:rsidR="004A4109">
              <w:rPr>
                <w:rFonts w:eastAsiaTheme="minorEastAsia"/>
              </w:rPr>
              <w:t>ise</w:t>
            </w:r>
            <w:proofErr w:type="spellEnd"/>
            <w:r w:rsidR="004A4109">
              <w:rPr>
                <w:rFonts w:eastAsiaTheme="minorEastAsia"/>
              </w:rPr>
              <w:t xml:space="preserve"> </w:t>
            </w:r>
            <w:r w:rsidR="00642DDA">
              <w:rPr>
                <w:rFonts w:eastAsiaTheme="minorEastAsia"/>
              </w:rPr>
              <w:t xml:space="preserve">ethnographic findings. </w:t>
            </w:r>
            <w:r w:rsidR="004A4109">
              <w:rPr>
                <w:rFonts w:eastAsiaTheme="minorEastAsia"/>
              </w:rPr>
              <w:t>Including literature on the regulation of antibiotic distribution, national drug policies, awareness campaigns on AMR, and national and sub-national infection prevention and control policies.</w:t>
            </w:r>
          </w:p>
          <w:p w14:paraId="35B7FFF6" w14:textId="77777777" w:rsidR="00705570" w:rsidRPr="00243614" w:rsidRDefault="00705570" w:rsidP="000972D2">
            <w:pPr>
              <w:rPr>
                <w:rFonts w:eastAsiaTheme="minorEastAsia"/>
                <w:b/>
                <w:bCs/>
              </w:rPr>
            </w:pPr>
          </w:p>
          <w:p w14:paraId="1F3720E6" w14:textId="35F3859A" w:rsidR="00705570" w:rsidRPr="000C6F6F" w:rsidRDefault="00705570" w:rsidP="000972D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 w:rsidRPr="000753C8">
              <w:rPr>
                <w:rFonts w:asciiTheme="minorHAnsi" w:eastAsiaTheme="minorEastAsia" w:hAnsiTheme="minorHAnsi"/>
                <w:b/>
                <w:bCs/>
              </w:rPr>
              <w:t>Ethnographic fieldwork:</w:t>
            </w:r>
            <w:r w:rsidR="004A4109">
              <w:rPr>
                <w:rFonts w:asciiTheme="minorHAnsi" w:hAnsiTheme="minorHAnsi"/>
              </w:rPr>
              <w:t xml:space="preserve"> Involved</w:t>
            </w:r>
            <w:r w:rsidR="00642DDA" w:rsidRPr="000A05D2">
              <w:rPr>
                <w:rFonts w:asciiTheme="minorHAnsi" w:hAnsiTheme="minorHAnsi"/>
              </w:rPr>
              <w:t xml:space="preserve"> participant observation</w:t>
            </w:r>
            <w:r w:rsidR="004A4109">
              <w:rPr>
                <w:rFonts w:asciiTheme="minorHAnsi" w:hAnsiTheme="minorHAnsi"/>
              </w:rPr>
              <w:t xml:space="preserve"> and semi-structured interviews</w:t>
            </w:r>
            <w:r w:rsidR="00642DDA" w:rsidRPr="000A05D2">
              <w:rPr>
                <w:rFonts w:asciiTheme="minorHAnsi" w:hAnsiTheme="minorHAnsi"/>
              </w:rPr>
              <w:t>, to understand how antibiotics are intertwined in people’s lives, with a focus on why, and how, people rely on them.</w:t>
            </w:r>
            <w:r w:rsidR="004A4109">
              <w:rPr>
                <w:rFonts w:asciiTheme="minorHAnsi" w:hAnsiTheme="minorHAnsi"/>
              </w:rPr>
              <w:t xml:space="preserve"> Participant observation was conducted in two community pharmacies and with 27 patients and relatives in the community, health </w:t>
            </w:r>
            <w:proofErr w:type="spellStart"/>
            <w:r w:rsidR="004A4109">
              <w:rPr>
                <w:rFonts w:asciiTheme="minorHAnsi" w:hAnsiTheme="minorHAnsi"/>
              </w:rPr>
              <w:t>centre</w:t>
            </w:r>
            <w:proofErr w:type="spellEnd"/>
            <w:r w:rsidR="004A4109">
              <w:rPr>
                <w:rFonts w:asciiTheme="minorHAnsi" w:hAnsiTheme="minorHAnsi"/>
              </w:rPr>
              <w:t xml:space="preserve">, and district hospital. In total, 89 </w:t>
            </w:r>
            <w:r w:rsidR="00B10E65">
              <w:rPr>
                <w:rFonts w:asciiTheme="minorHAnsi" w:hAnsiTheme="minorHAnsi"/>
              </w:rPr>
              <w:t>semi-structured and informal</w:t>
            </w:r>
            <w:r w:rsidR="004A4109">
              <w:rPr>
                <w:rFonts w:asciiTheme="minorHAnsi" w:hAnsiTheme="minorHAnsi"/>
              </w:rPr>
              <w:t xml:space="preserve"> interviews were conducted with 47 informants and key stakeholders</w:t>
            </w:r>
            <w:r w:rsidR="001E1D87">
              <w:rPr>
                <w:rFonts w:asciiTheme="minorHAnsi" w:hAnsiTheme="minorHAnsi"/>
              </w:rPr>
              <w:t>, including healthcare staff, policy makers and academics, patients and relatives, and pharmaceutical representatives</w:t>
            </w:r>
            <w:r w:rsidR="004A4109">
              <w:rPr>
                <w:rFonts w:asciiTheme="minorHAnsi" w:hAnsiTheme="minorHAnsi"/>
              </w:rPr>
              <w:t>.</w:t>
            </w:r>
            <w:r w:rsidR="001E1D87">
              <w:rPr>
                <w:rFonts w:asciiTheme="minorHAnsi" w:hAnsiTheme="minorHAnsi"/>
              </w:rPr>
              <w:t xml:space="preserve"> In addition, three focus group discussions were </w:t>
            </w:r>
            <w:r w:rsidR="001E1D87">
              <w:rPr>
                <w:rFonts w:asciiTheme="minorHAnsi" w:hAnsiTheme="minorHAnsi"/>
              </w:rPr>
              <w:lastRenderedPageBreak/>
              <w:t xml:space="preserve">conducted with elderly and working age residents, and community health volunteers. </w:t>
            </w:r>
            <w:r w:rsidR="004A4109">
              <w:rPr>
                <w:rFonts w:asciiTheme="minorHAnsi" w:hAnsiTheme="minorHAnsi"/>
              </w:rPr>
              <w:t xml:space="preserve"> </w:t>
            </w:r>
          </w:p>
          <w:p w14:paraId="1371A170" w14:textId="77777777" w:rsidR="00705570" w:rsidRPr="001E1D87" w:rsidRDefault="00705570" w:rsidP="000972D2"/>
          <w:p w14:paraId="16BF50ED" w14:textId="58BB50A1" w:rsidR="00642DDA" w:rsidRPr="001E1D87" w:rsidRDefault="00EE13B0" w:rsidP="00642DDA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 w:rsidRPr="001E1D87">
              <w:rPr>
                <w:rFonts w:asciiTheme="minorHAnsi" w:hAnsiTheme="minorHAnsi"/>
                <w:b/>
              </w:rPr>
              <w:t>Household medicines survey</w:t>
            </w:r>
            <w:r w:rsidR="00705570" w:rsidRPr="001E1D87">
              <w:rPr>
                <w:rFonts w:asciiTheme="minorHAnsi" w:hAnsiTheme="minorHAnsi"/>
                <w:b/>
              </w:rPr>
              <w:t xml:space="preserve">: </w:t>
            </w:r>
            <w:r w:rsidR="004A4109" w:rsidRPr="001E1D87">
              <w:rPr>
                <w:rFonts w:asciiTheme="minorHAnsi" w:hAnsiTheme="minorHAnsi"/>
              </w:rPr>
              <w:t xml:space="preserve">A survey was conducted with 95 households in 3 communities </w:t>
            </w:r>
            <w:r w:rsidR="00642DDA" w:rsidRPr="001E1D87">
              <w:rPr>
                <w:rFonts w:asciiTheme="minorHAnsi" w:hAnsiTheme="minorHAnsi"/>
              </w:rPr>
              <w:t xml:space="preserve">to assess stocks, recognition, use, and origin of antibiotics in the community. </w:t>
            </w:r>
            <w:r w:rsidR="00642DDA" w:rsidRPr="001E1D87">
              <w:rPr>
                <w:rFonts w:asciiTheme="minorHAnsi" w:hAnsiTheme="minorHAnsi"/>
                <w:i/>
                <w:iCs/>
              </w:rPr>
              <w:t xml:space="preserve"> </w:t>
            </w:r>
          </w:p>
          <w:p w14:paraId="1FE3284A" w14:textId="77777777" w:rsidR="00705570" w:rsidRPr="00243614" w:rsidRDefault="00705570" w:rsidP="000972D2">
            <w:pPr>
              <w:rPr>
                <w:rFonts w:eastAsiaTheme="minorEastAsia"/>
              </w:rPr>
            </w:pPr>
          </w:p>
          <w:p w14:paraId="799D1918" w14:textId="2CF2F4D4" w:rsidR="00642DDA" w:rsidRPr="00642DDA" w:rsidRDefault="00705570" w:rsidP="00642DDA">
            <w:r w:rsidRPr="00642DDA">
              <w:rPr>
                <w:b/>
                <w:lang w:bidi="th-TH"/>
              </w:rPr>
              <w:t>P</w:t>
            </w:r>
            <w:r w:rsidRPr="00642DDA">
              <w:rPr>
                <w:b/>
                <w:iCs/>
                <w:lang w:bidi="th-TH"/>
              </w:rPr>
              <w:t xml:space="preserve">articipatory research </w:t>
            </w:r>
            <w:r w:rsidRPr="00642DDA">
              <w:rPr>
                <w:b/>
                <w:lang w:bidi="th-TH"/>
              </w:rPr>
              <w:t>activities</w:t>
            </w:r>
            <w:r w:rsidRPr="00642DDA">
              <w:rPr>
                <w:b/>
                <w:bCs/>
                <w:lang w:bidi="th-TH"/>
              </w:rPr>
              <w:t xml:space="preserve">: </w:t>
            </w:r>
            <w:r w:rsidR="000C6F6F">
              <w:rPr>
                <w:lang w:bidi="th-TH"/>
              </w:rPr>
              <w:t>Conducted</w:t>
            </w:r>
            <w:r w:rsidR="000C6F6F" w:rsidRPr="000C6F6F">
              <w:rPr>
                <w:lang w:bidi="th-TH"/>
              </w:rPr>
              <w:t xml:space="preserve"> </w:t>
            </w:r>
            <w:r w:rsidR="00642DDA" w:rsidRPr="000C6F6F">
              <w:t>to</w:t>
            </w:r>
            <w:r w:rsidR="00642DDA" w:rsidRPr="00642DDA">
              <w:t xml:space="preserve"> provide preliminary feedback on research findings in order to elicit feedback and discussion among participants and local public health officials. </w:t>
            </w:r>
            <w:r w:rsidR="000C6F6F">
              <w:t xml:space="preserve">In total, </w:t>
            </w:r>
            <w:r w:rsidR="004A4109">
              <w:t xml:space="preserve">263 individuals were involved in public engagement and feedback activities. </w:t>
            </w:r>
          </w:p>
          <w:p w14:paraId="688D61A4" w14:textId="4E679C42" w:rsidR="00EE13B0" w:rsidRPr="007A1564" w:rsidRDefault="00EE13B0" w:rsidP="004A4109">
            <w:pPr>
              <w:pStyle w:val="ListParagraph"/>
              <w:rPr>
                <w:rFonts w:eastAsia="Times New Roman"/>
              </w:rPr>
            </w:pPr>
          </w:p>
        </w:tc>
      </w:tr>
      <w:tr w:rsidR="00705570" w:rsidRPr="00243614" w14:paraId="50C365D5" w14:textId="77777777" w:rsidTr="000972D2">
        <w:tc>
          <w:tcPr>
            <w:tcW w:w="1617" w:type="dxa"/>
          </w:tcPr>
          <w:p w14:paraId="62AAA5F1" w14:textId="77777777" w:rsidR="00705570" w:rsidRPr="00243614" w:rsidRDefault="00705570" w:rsidP="000972D2">
            <w:r w:rsidRPr="00243614">
              <w:lastRenderedPageBreak/>
              <w:t>Project period</w:t>
            </w:r>
          </w:p>
        </w:tc>
        <w:tc>
          <w:tcPr>
            <w:tcW w:w="7689" w:type="dxa"/>
          </w:tcPr>
          <w:p w14:paraId="78031047" w14:textId="69599968" w:rsidR="00705570" w:rsidRDefault="00705570" w:rsidP="000972D2">
            <w:r w:rsidRPr="00243614">
              <w:t>Approximately 4 years from 2018 to 2021</w:t>
            </w:r>
            <w:r w:rsidR="00045102">
              <w:t xml:space="preserve"> (Fieldwork </w:t>
            </w:r>
            <w:r w:rsidR="004A4109">
              <w:t xml:space="preserve">was </w:t>
            </w:r>
            <w:r w:rsidR="00045102">
              <w:t xml:space="preserve">conducted between </w:t>
            </w:r>
            <w:r w:rsidR="00642DDA" w:rsidRPr="004A4109">
              <w:t>August</w:t>
            </w:r>
            <w:r w:rsidR="00045102" w:rsidRPr="004A4109">
              <w:t xml:space="preserve"> 2018-November 2020)</w:t>
            </w:r>
          </w:p>
          <w:p w14:paraId="47ACF1C1" w14:textId="744AE368" w:rsidR="00045102" w:rsidRPr="00243614" w:rsidRDefault="00045102" w:rsidP="000972D2"/>
        </w:tc>
      </w:tr>
    </w:tbl>
    <w:p w14:paraId="73268BB8" w14:textId="789BB7F8" w:rsidR="00705570" w:rsidRPr="00243614" w:rsidRDefault="00705570" w:rsidP="00705570"/>
    <w:p w14:paraId="294C9CEF" w14:textId="25EC1EB5" w:rsidR="00417C33" w:rsidRDefault="00417C33"/>
    <w:sectPr w:rsidR="00417C33" w:rsidSect="000D48A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4481B"/>
    <w:multiLevelType w:val="hybridMultilevel"/>
    <w:tmpl w:val="DECCE238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8F5959"/>
    <w:multiLevelType w:val="hybridMultilevel"/>
    <w:tmpl w:val="177C6DA2"/>
    <w:lvl w:ilvl="0" w:tplc="04090011">
      <w:start w:val="1"/>
      <w:numFmt w:val="decimal"/>
      <w:lvlText w:val="%1)"/>
      <w:lvlJc w:val="left"/>
      <w:pPr>
        <w:ind w:left="6" w:hanging="360"/>
      </w:pPr>
    </w:lvl>
    <w:lvl w:ilvl="1" w:tplc="04090019" w:tentative="1">
      <w:start w:val="1"/>
      <w:numFmt w:val="lowerLetter"/>
      <w:lvlText w:val="%2."/>
      <w:lvlJc w:val="left"/>
      <w:pPr>
        <w:ind w:left="726" w:hanging="360"/>
      </w:pPr>
    </w:lvl>
    <w:lvl w:ilvl="2" w:tplc="0409001B" w:tentative="1">
      <w:start w:val="1"/>
      <w:numFmt w:val="lowerRoman"/>
      <w:lvlText w:val="%3."/>
      <w:lvlJc w:val="right"/>
      <w:pPr>
        <w:ind w:left="1446" w:hanging="180"/>
      </w:pPr>
    </w:lvl>
    <w:lvl w:ilvl="3" w:tplc="0409000F" w:tentative="1">
      <w:start w:val="1"/>
      <w:numFmt w:val="decimal"/>
      <w:lvlText w:val="%4."/>
      <w:lvlJc w:val="left"/>
      <w:pPr>
        <w:ind w:left="2166" w:hanging="360"/>
      </w:pPr>
    </w:lvl>
    <w:lvl w:ilvl="4" w:tplc="04090019" w:tentative="1">
      <w:start w:val="1"/>
      <w:numFmt w:val="lowerLetter"/>
      <w:lvlText w:val="%5."/>
      <w:lvlJc w:val="left"/>
      <w:pPr>
        <w:ind w:left="2886" w:hanging="360"/>
      </w:pPr>
    </w:lvl>
    <w:lvl w:ilvl="5" w:tplc="0409001B" w:tentative="1">
      <w:start w:val="1"/>
      <w:numFmt w:val="lowerRoman"/>
      <w:lvlText w:val="%6."/>
      <w:lvlJc w:val="right"/>
      <w:pPr>
        <w:ind w:left="3606" w:hanging="180"/>
      </w:pPr>
    </w:lvl>
    <w:lvl w:ilvl="6" w:tplc="0409000F" w:tentative="1">
      <w:start w:val="1"/>
      <w:numFmt w:val="decimal"/>
      <w:lvlText w:val="%7."/>
      <w:lvlJc w:val="left"/>
      <w:pPr>
        <w:ind w:left="4326" w:hanging="360"/>
      </w:pPr>
    </w:lvl>
    <w:lvl w:ilvl="7" w:tplc="04090019" w:tentative="1">
      <w:start w:val="1"/>
      <w:numFmt w:val="lowerLetter"/>
      <w:lvlText w:val="%8."/>
      <w:lvlJc w:val="left"/>
      <w:pPr>
        <w:ind w:left="5046" w:hanging="360"/>
      </w:pPr>
    </w:lvl>
    <w:lvl w:ilvl="8" w:tplc="040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" w15:restartNumberingAfterBreak="0">
    <w:nsid w:val="1E2528C3"/>
    <w:multiLevelType w:val="hybridMultilevel"/>
    <w:tmpl w:val="C58AFA3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D0464B"/>
    <w:multiLevelType w:val="hybridMultilevel"/>
    <w:tmpl w:val="E3C6BAF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3742E"/>
    <w:multiLevelType w:val="hybridMultilevel"/>
    <w:tmpl w:val="177C6DA2"/>
    <w:lvl w:ilvl="0" w:tplc="04090011">
      <w:start w:val="1"/>
      <w:numFmt w:val="decimal"/>
      <w:lvlText w:val="%1)"/>
      <w:lvlJc w:val="left"/>
      <w:pPr>
        <w:ind w:left="6" w:hanging="360"/>
      </w:pPr>
    </w:lvl>
    <w:lvl w:ilvl="1" w:tplc="04090019" w:tentative="1">
      <w:start w:val="1"/>
      <w:numFmt w:val="lowerLetter"/>
      <w:lvlText w:val="%2."/>
      <w:lvlJc w:val="left"/>
      <w:pPr>
        <w:ind w:left="726" w:hanging="360"/>
      </w:pPr>
    </w:lvl>
    <w:lvl w:ilvl="2" w:tplc="0409001B" w:tentative="1">
      <w:start w:val="1"/>
      <w:numFmt w:val="lowerRoman"/>
      <w:lvlText w:val="%3."/>
      <w:lvlJc w:val="right"/>
      <w:pPr>
        <w:ind w:left="1446" w:hanging="180"/>
      </w:pPr>
    </w:lvl>
    <w:lvl w:ilvl="3" w:tplc="0409000F" w:tentative="1">
      <w:start w:val="1"/>
      <w:numFmt w:val="decimal"/>
      <w:lvlText w:val="%4."/>
      <w:lvlJc w:val="left"/>
      <w:pPr>
        <w:ind w:left="2166" w:hanging="360"/>
      </w:pPr>
    </w:lvl>
    <w:lvl w:ilvl="4" w:tplc="04090019" w:tentative="1">
      <w:start w:val="1"/>
      <w:numFmt w:val="lowerLetter"/>
      <w:lvlText w:val="%5."/>
      <w:lvlJc w:val="left"/>
      <w:pPr>
        <w:ind w:left="2886" w:hanging="360"/>
      </w:pPr>
    </w:lvl>
    <w:lvl w:ilvl="5" w:tplc="0409001B" w:tentative="1">
      <w:start w:val="1"/>
      <w:numFmt w:val="lowerRoman"/>
      <w:lvlText w:val="%6."/>
      <w:lvlJc w:val="right"/>
      <w:pPr>
        <w:ind w:left="3606" w:hanging="180"/>
      </w:pPr>
    </w:lvl>
    <w:lvl w:ilvl="6" w:tplc="0409000F" w:tentative="1">
      <w:start w:val="1"/>
      <w:numFmt w:val="decimal"/>
      <w:lvlText w:val="%7."/>
      <w:lvlJc w:val="left"/>
      <w:pPr>
        <w:ind w:left="4326" w:hanging="360"/>
      </w:pPr>
    </w:lvl>
    <w:lvl w:ilvl="7" w:tplc="04090019" w:tentative="1">
      <w:start w:val="1"/>
      <w:numFmt w:val="lowerLetter"/>
      <w:lvlText w:val="%8."/>
      <w:lvlJc w:val="left"/>
      <w:pPr>
        <w:ind w:left="5046" w:hanging="360"/>
      </w:pPr>
    </w:lvl>
    <w:lvl w:ilvl="8" w:tplc="040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5" w15:restartNumberingAfterBreak="0">
    <w:nsid w:val="41AF24E8"/>
    <w:multiLevelType w:val="hybridMultilevel"/>
    <w:tmpl w:val="177C6DA2"/>
    <w:lvl w:ilvl="0" w:tplc="04090011">
      <w:start w:val="1"/>
      <w:numFmt w:val="decimal"/>
      <w:lvlText w:val="%1)"/>
      <w:lvlJc w:val="left"/>
      <w:pPr>
        <w:ind w:left="6" w:hanging="360"/>
      </w:pPr>
    </w:lvl>
    <w:lvl w:ilvl="1" w:tplc="04090019" w:tentative="1">
      <w:start w:val="1"/>
      <w:numFmt w:val="lowerLetter"/>
      <w:lvlText w:val="%2."/>
      <w:lvlJc w:val="left"/>
      <w:pPr>
        <w:ind w:left="726" w:hanging="360"/>
      </w:pPr>
    </w:lvl>
    <w:lvl w:ilvl="2" w:tplc="0409001B" w:tentative="1">
      <w:start w:val="1"/>
      <w:numFmt w:val="lowerRoman"/>
      <w:lvlText w:val="%3."/>
      <w:lvlJc w:val="right"/>
      <w:pPr>
        <w:ind w:left="1446" w:hanging="180"/>
      </w:pPr>
    </w:lvl>
    <w:lvl w:ilvl="3" w:tplc="0409000F" w:tentative="1">
      <w:start w:val="1"/>
      <w:numFmt w:val="decimal"/>
      <w:lvlText w:val="%4."/>
      <w:lvlJc w:val="left"/>
      <w:pPr>
        <w:ind w:left="2166" w:hanging="360"/>
      </w:pPr>
    </w:lvl>
    <w:lvl w:ilvl="4" w:tplc="04090019" w:tentative="1">
      <w:start w:val="1"/>
      <w:numFmt w:val="lowerLetter"/>
      <w:lvlText w:val="%5."/>
      <w:lvlJc w:val="left"/>
      <w:pPr>
        <w:ind w:left="2886" w:hanging="360"/>
      </w:pPr>
    </w:lvl>
    <w:lvl w:ilvl="5" w:tplc="0409001B" w:tentative="1">
      <w:start w:val="1"/>
      <w:numFmt w:val="lowerRoman"/>
      <w:lvlText w:val="%6."/>
      <w:lvlJc w:val="right"/>
      <w:pPr>
        <w:ind w:left="3606" w:hanging="180"/>
      </w:pPr>
    </w:lvl>
    <w:lvl w:ilvl="6" w:tplc="0409000F" w:tentative="1">
      <w:start w:val="1"/>
      <w:numFmt w:val="decimal"/>
      <w:lvlText w:val="%7."/>
      <w:lvlJc w:val="left"/>
      <w:pPr>
        <w:ind w:left="4326" w:hanging="360"/>
      </w:pPr>
    </w:lvl>
    <w:lvl w:ilvl="7" w:tplc="04090019" w:tentative="1">
      <w:start w:val="1"/>
      <w:numFmt w:val="lowerLetter"/>
      <w:lvlText w:val="%8."/>
      <w:lvlJc w:val="left"/>
      <w:pPr>
        <w:ind w:left="5046" w:hanging="360"/>
      </w:pPr>
    </w:lvl>
    <w:lvl w:ilvl="8" w:tplc="040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6" w15:restartNumberingAfterBreak="0">
    <w:nsid w:val="43943FDD"/>
    <w:multiLevelType w:val="hybridMultilevel"/>
    <w:tmpl w:val="DBA87D5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C5AD9"/>
    <w:multiLevelType w:val="hybridMultilevel"/>
    <w:tmpl w:val="FE5E2782"/>
    <w:lvl w:ilvl="0" w:tplc="303E003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9F8E01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ECC658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C60632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17025C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D3E733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B8C508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CF2C9F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C76FA5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 w15:restartNumberingAfterBreak="0">
    <w:nsid w:val="55C36CA6"/>
    <w:multiLevelType w:val="hybridMultilevel"/>
    <w:tmpl w:val="E2B606A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634403"/>
    <w:multiLevelType w:val="hybridMultilevel"/>
    <w:tmpl w:val="177C6DA2"/>
    <w:lvl w:ilvl="0" w:tplc="04090011">
      <w:start w:val="1"/>
      <w:numFmt w:val="decimal"/>
      <w:lvlText w:val="%1)"/>
      <w:lvlJc w:val="left"/>
      <w:pPr>
        <w:ind w:left="6" w:hanging="360"/>
      </w:pPr>
    </w:lvl>
    <w:lvl w:ilvl="1" w:tplc="04090019" w:tentative="1">
      <w:start w:val="1"/>
      <w:numFmt w:val="lowerLetter"/>
      <w:lvlText w:val="%2."/>
      <w:lvlJc w:val="left"/>
      <w:pPr>
        <w:ind w:left="726" w:hanging="360"/>
      </w:pPr>
    </w:lvl>
    <w:lvl w:ilvl="2" w:tplc="0409001B" w:tentative="1">
      <w:start w:val="1"/>
      <w:numFmt w:val="lowerRoman"/>
      <w:lvlText w:val="%3."/>
      <w:lvlJc w:val="right"/>
      <w:pPr>
        <w:ind w:left="1446" w:hanging="180"/>
      </w:pPr>
    </w:lvl>
    <w:lvl w:ilvl="3" w:tplc="0409000F" w:tentative="1">
      <w:start w:val="1"/>
      <w:numFmt w:val="decimal"/>
      <w:lvlText w:val="%4."/>
      <w:lvlJc w:val="left"/>
      <w:pPr>
        <w:ind w:left="2166" w:hanging="360"/>
      </w:pPr>
    </w:lvl>
    <w:lvl w:ilvl="4" w:tplc="04090019" w:tentative="1">
      <w:start w:val="1"/>
      <w:numFmt w:val="lowerLetter"/>
      <w:lvlText w:val="%5."/>
      <w:lvlJc w:val="left"/>
      <w:pPr>
        <w:ind w:left="2886" w:hanging="360"/>
      </w:pPr>
    </w:lvl>
    <w:lvl w:ilvl="5" w:tplc="0409001B" w:tentative="1">
      <w:start w:val="1"/>
      <w:numFmt w:val="lowerRoman"/>
      <w:lvlText w:val="%6."/>
      <w:lvlJc w:val="right"/>
      <w:pPr>
        <w:ind w:left="3606" w:hanging="180"/>
      </w:pPr>
    </w:lvl>
    <w:lvl w:ilvl="6" w:tplc="0409000F" w:tentative="1">
      <w:start w:val="1"/>
      <w:numFmt w:val="decimal"/>
      <w:lvlText w:val="%7."/>
      <w:lvlJc w:val="left"/>
      <w:pPr>
        <w:ind w:left="4326" w:hanging="360"/>
      </w:pPr>
    </w:lvl>
    <w:lvl w:ilvl="7" w:tplc="04090019" w:tentative="1">
      <w:start w:val="1"/>
      <w:numFmt w:val="lowerLetter"/>
      <w:lvlText w:val="%8."/>
      <w:lvlJc w:val="left"/>
      <w:pPr>
        <w:ind w:left="5046" w:hanging="360"/>
      </w:pPr>
    </w:lvl>
    <w:lvl w:ilvl="8" w:tplc="040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0" w15:restartNumberingAfterBreak="0">
    <w:nsid w:val="7F3B4DF9"/>
    <w:multiLevelType w:val="hybridMultilevel"/>
    <w:tmpl w:val="F6D25674"/>
    <w:lvl w:ilvl="0" w:tplc="144CF0A2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88C"/>
    <w:rsid w:val="0000341A"/>
    <w:rsid w:val="00013D01"/>
    <w:rsid w:val="00045102"/>
    <w:rsid w:val="000753C8"/>
    <w:rsid w:val="000A05D2"/>
    <w:rsid w:val="000C6F6F"/>
    <w:rsid w:val="000D48A0"/>
    <w:rsid w:val="000E03A5"/>
    <w:rsid w:val="00127859"/>
    <w:rsid w:val="001E1D87"/>
    <w:rsid w:val="00235F0F"/>
    <w:rsid w:val="00365CE9"/>
    <w:rsid w:val="003E5909"/>
    <w:rsid w:val="003F088C"/>
    <w:rsid w:val="00417C33"/>
    <w:rsid w:val="004410A9"/>
    <w:rsid w:val="004A0BD9"/>
    <w:rsid w:val="004A4109"/>
    <w:rsid w:val="005321D3"/>
    <w:rsid w:val="005A6CA4"/>
    <w:rsid w:val="005D18CF"/>
    <w:rsid w:val="005F4566"/>
    <w:rsid w:val="00642DDA"/>
    <w:rsid w:val="0070473E"/>
    <w:rsid w:val="00705570"/>
    <w:rsid w:val="007F21DF"/>
    <w:rsid w:val="008078A6"/>
    <w:rsid w:val="00894510"/>
    <w:rsid w:val="009056ED"/>
    <w:rsid w:val="00A10D30"/>
    <w:rsid w:val="00A91DE5"/>
    <w:rsid w:val="00B10E65"/>
    <w:rsid w:val="00B74E7D"/>
    <w:rsid w:val="00B85384"/>
    <w:rsid w:val="00BA0FCA"/>
    <w:rsid w:val="00BA7BA4"/>
    <w:rsid w:val="00BB56AB"/>
    <w:rsid w:val="00C86D49"/>
    <w:rsid w:val="00CF45E3"/>
    <w:rsid w:val="00D45D69"/>
    <w:rsid w:val="00D86419"/>
    <w:rsid w:val="00DD68D7"/>
    <w:rsid w:val="00DE32B6"/>
    <w:rsid w:val="00E33852"/>
    <w:rsid w:val="00E85B8A"/>
    <w:rsid w:val="00EE13B0"/>
    <w:rsid w:val="00EF2D60"/>
    <w:rsid w:val="00F40DEB"/>
    <w:rsid w:val="00F47C44"/>
    <w:rsid w:val="00F97A44"/>
    <w:rsid w:val="00FE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77CA"/>
  <w15:chartTrackingRefBased/>
  <w15:docId w15:val="{1046D5C1-09F7-F74E-A693-7851B4EF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3F088C"/>
    <w:rPr>
      <w:rFonts w:ascii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088C"/>
    <w:rPr>
      <w:rFonts w:ascii="Times New Roman" w:hAnsi="Times New Roman" w:cs="Times New Roman"/>
      <w:sz w:val="20"/>
      <w:szCs w:val="20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3F088C"/>
    <w:pPr>
      <w:ind w:left="720"/>
      <w:contextualSpacing/>
    </w:pPr>
    <w:rPr>
      <w:rFonts w:ascii="Times New Roman" w:hAnsi="Times New Roman" w:cs="Times New Roman"/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F088C"/>
    <w:rPr>
      <w:rFonts w:ascii="Times New Roman" w:hAnsi="Times New Roman" w:cs="Times New Roman"/>
      <w:lang w:eastAsia="en-GB"/>
    </w:rPr>
  </w:style>
  <w:style w:type="table" w:styleId="TableGrid">
    <w:name w:val="Table Grid"/>
    <w:basedOn w:val="TableNormal"/>
    <w:uiPriority w:val="39"/>
    <w:rsid w:val="00705570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Perris</dc:creator>
  <cp:keywords/>
  <dc:description/>
  <cp:lastModifiedBy>Anna Perris</cp:lastModifiedBy>
  <cp:revision>14</cp:revision>
  <dcterms:created xsi:type="dcterms:W3CDTF">2021-05-26T15:42:00Z</dcterms:created>
  <dcterms:modified xsi:type="dcterms:W3CDTF">2021-08-03T16:30:00Z</dcterms:modified>
</cp:coreProperties>
</file>