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BE70C" w14:textId="77777777" w:rsidR="0065639A" w:rsidRPr="0065639A" w:rsidRDefault="0065639A" w:rsidP="0065639A">
      <w:pPr>
        <w:ind w:firstLine="0"/>
        <w:contextualSpacing/>
        <w:rPr>
          <w:b/>
        </w:rPr>
      </w:pPr>
      <w:r w:rsidRPr="0065639A">
        <w:rPr>
          <w:b/>
        </w:rPr>
        <w:t xml:space="preserve">Overview of original studies </w:t>
      </w:r>
    </w:p>
    <w:p w14:paraId="580B85CF" w14:textId="7FE403F9" w:rsidR="0065639A" w:rsidRPr="0065639A" w:rsidRDefault="0065639A" w:rsidP="0065639A">
      <w:pPr>
        <w:contextualSpacing/>
      </w:pPr>
      <w:r w:rsidRPr="0065639A">
        <w:t>Data were analysed from two previous studies by the authors testing adaptations to questions in order to support autistic adults’ episodic memory recall in different contexts, as outlined below (s</w:t>
      </w:r>
      <w:r w:rsidRPr="0065639A">
        <w:rPr>
          <w:rFonts w:ascii="Calibri" w:hAnsi="Calibri" w:cs="Calibri"/>
        </w:rPr>
        <w:t xml:space="preserve">ee </w:t>
      </w:r>
      <w:r w:rsidR="0090398F">
        <w:rPr>
          <w:rFonts w:ascii="Calibri" w:hAnsi="Calibri" w:cs="Calibri"/>
        </w:rPr>
        <w:t>Table 1</w:t>
      </w:r>
      <w:r w:rsidRPr="0065639A">
        <w:rPr>
          <w:rFonts w:ascii="Calibri" w:hAnsi="Calibri" w:cs="Calibri"/>
        </w:rPr>
        <w:t xml:space="preserve"> for further details of the measures in each study)</w:t>
      </w:r>
      <w:r w:rsidRPr="0065639A">
        <w:t>.</w:t>
      </w:r>
    </w:p>
    <w:p w14:paraId="4D1936DB" w14:textId="77777777" w:rsidR="0065639A" w:rsidRPr="0065639A" w:rsidRDefault="0065639A" w:rsidP="0065639A">
      <w:pPr>
        <w:spacing w:after="0"/>
        <w:contextualSpacing/>
        <w:rPr>
          <w:strike/>
        </w:rPr>
      </w:pPr>
      <w:r w:rsidRPr="0065639A">
        <w:rPr>
          <w:rStyle w:val="Heading3Char"/>
        </w:rPr>
        <w:t xml:space="preserve">Recall specificity in police, healthcare, and employment interviews. </w:t>
      </w:r>
      <w:r w:rsidRPr="0065639A">
        <w:fldChar w:fldCharType="begin"/>
      </w:r>
      <w:r w:rsidRPr="0065639A">
        <w:instrText xml:space="preserve"> ADDIN ZOTERO_ITEM CSL_CITATION {"citationID":"iAltZMU2","properties":{"formattedCitation":"(Norris et al., 2020)","plainCitation":"(Norris et al., 2020)","dontUpdate":true,"noteIndex":0},"citationItems":[{"id":957,"uris":["http://zotero.org/users/2472632/items/BUJ8UKWW"],"uri":["http://zotero.org/users/2472632/items/BUJ8UKWW"],"itemData":{"id":957,"type":"article-journal","abstract":"Recalling specific past experiences is critical for most formal social interactions, including when being interviewed for employment, as a witness or defendant in the criminal justice system, or as a patient during a clinical consultation. Such interviews can be difficult for autistic adults under standard open questioning, yet applied research into effective methods to facilitate autistic adults’ recall is only recently beginning to emerge. The current study tested the efficacy of different prompting techniques to support autistic adults’ recall of specific personal memories; 30 autistic and 30 typically developing adults (intelligence quotients &gt; 85) were asked to recall specific instances from their past, relevant to criminal justice system, healthcare, and employment interviews. Questions comprised ‘open questions’, ‘semantic prompting’ (where semantic knowledge was used to prompt specific episodic retrieval) and ‘visual–verbal prompting’ (a pie-diagram with prompts to recall specific details, for example, who, what, and where). Half the participants received the questions in advance. Consistent with previous research, autistic participants reported memories with reduced specificity. For both groups, visual–verbal prompting support improved specificity and episodic relevance, while semantic prompting also aided recall for employment questions (but not health or criminal justice system). Findings offer new practical insight for interviewers to facilitate communication with typically developing and autistic adults.","container-title":"Autism","DOI":"10.1177/1362361320909174","ISSN":"1362-3613","journalAbbreviation":"Autism","language":"en","note":"publisher: SAGE Publications Ltd","page":"1362361320909174","source":"SAGE Journals","title":"Interviewing autistic adults: Adaptations to support recall in police, employment, and healthcare interviews","title-short":"Interviewing autistic adults","author":[{"family":"Norris","given":"Jade Eloise"},{"family":"Crane","given":"Laura"},{"family":"Maras","given":"Katie"}],"issued":{"date-parts":[["2020",3,23]]}}}],"schema":"https://github.com/citation-style-language/schema/raw/master/csl-citation.json"} </w:instrText>
      </w:r>
      <w:r w:rsidRPr="0065639A">
        <w:fldChar w:fldCharType="separate"/>
      </w:r>
      <w:r w:rsidRPr="0065639A">
        <w:rPr>
          <w:rFonts w:ascii="Calibri" w:hAnsi="Calibri" w:cs="Calibri"/>
        </w:rPr>
        <w:t>Norris et al. (2020)</w:t>
      </w:r>
      <w:r w:rsidRPr="0065639A">
        <w:fldChar w:fldCharType="end"/>
      </w:r>
      <w:r w:rsidRPr="0065639A">
        <w:t xml:space="preserve"> tested the effectiveness of three levels of questioning support on the specificity and relevance of interviewees’ episodic ABM recall. Thirty autistic and 30 TD participants were asked a series of questions about personally experienced events that could be relevant to interviews in police (e.g., a time you have been to the bank), employment (e.g., a time you have worked as part of a team), and healthcare contexts (e.g., a time you have felt sad), with participants instructed to recall a specific instances in as much detail as possible. Levels of questioning support differed (within participants): in open (i.e., unsupportive) questions, participants were asked to recall an instance (‘tell me about…’) with no further prompting, while in a ‘visual-verbal prompting’ (V-VP) technique (supportive)</w:t>
      </w:r>
      <w:r w:rsidRPr="0065639A">
        <w:rPr>
          <w:rFonts w:cs="Calibri"/>
        </w:rPr>
        <w:t xml:space="preserve">, initial </w:t>
      </w:r>
      <w:r w:rsidRPr="0065639A">
        <w:t>open questions were immediately followed by specific prompts (e.g., “tell me about a time you went to the bank… Tell me when it happened, the setting, the people who were there, the actions that occurred, and any objects that were there?” See Norris et al., 2020 for full details). Responses were coded for specificity</w:t>
      </w:r>
      <w:r w:rsidRPr="0065639A">
        <w:rPr>
          <w:rFonts w:cstheme="minorHAnsi"/>
          <w:color w:val="000000" w:themeColor="text1"/>
        </w:rPr>
        <w:t xml:space="preserve"> on a 5-point scale </w:t>
      </w:r>
      <w:r w:rsidRPr="0065639A">
        <w:rPr>
          <w:rFonts w:cstheme="minorHAnsi"/>
          <w:color w:val="000000" w:themeColor="text1"/>
        </w:rPr>
        <w:fldChar w:fldCharType="begin"/>
      </w:r>
      <w:r w:rsidRPr="0065639A">
        <w:rPr>
          <w:rFonts w:cstheme="minorHAnsi"/>
          <w:color w:val="000000" w:themeColor="text1"/>
        </w:rPr>
        <w:instrText xml:space="preserve"> ADDIN ZOTERO_ITEM CSL_CITATION {"citationID":"pYWnY0Aa","properties":{"formattedCitation":"(Piolino et al., 2002)","plainCitation":"(Piolino et al., 2002)","noteIndex":0},"citationItems":[{"id":876,"uris":["http://zotero.org/users/2472632/items/IGWR364X"],"uri":["http://zotero.org/users/2472632/items/IGWR364X"],"itemData":{"id":876,"type":"article-journal","abstract":"Many laboratory studies have demonstrated an age effect on episodic memory which is in contrast with the preservation of semantic memory. The aim of this study was the assessment of age effects on autobiographical memory according to the length of the retention interval, taking into account the episodic and semantic components. A total of 52 subjects, aged between 40 and 79, were divided into four age groups. They were tested with a sophisticated autobiographical questionnaire consisting of two tasks, one involving the recall of semantic information and another the recall of episodic events. Results revealed that episodic recall deteriorated more with age and retention interval than semantic recall. These data, gathered using an ecological test, confirm age differences demonstrated by laboratory tests on the episodic-semantic distinction. Furthermore, the profile of results obtained for the recall of specific detailed events, and analysed according to age of encoding, confirms the distribution of episodic memories across the lifespan, as modelled by Rubin, Wetzler, and Nebes (1986) with the cue-word technique.","container-title":"Memory","DOI":"10.1080/09658210143000353","ISSN":"0965-8211","issue":"4","note":"PMID: 12097209","page":"239-257","source":"Taylor and Francis+NEJM","title":"Episodic and semantic remote autobiographical memory in ageing","volume":"10","author":[{"family":"Piolino","given":"Pascale"},{"family":"Desgranges","given":"Béatrice"},{"family":"Benali","given":"Karim"},{"family":"Eustache","given":"Francis"}],"issued":{"date-parts":[["2002",7,1]]}}}],"schema":"https://github.com/citation-style-language/schema/raw/master/csl-citation.json"} </w:instrText>
      </w:r>
      <w:r w:rsidRPr="0065639A">
        <w:rPr>
          <w:rFonts w:cstheme="minorHAnsi"/>
          <w:color w:val="000000" w:themeColor="text1"/>
        </w:rPr>
        <w:fldChar w:fldCharType="separate"/>
      </w:r>
      <w:r w:rsidRPr="0065639A">
        <w:rPr>
          <w:rFonts w:ascii="Calibri" w:hAnsi="Calibri" w:cs="Calibri"/>
        </w:rPr>
        <w:t>(Piolino et al., 2002)</w:t>
      </w:r>
      <w:r w:rsidRPr="0065639A">
        <w:rPr>
          <w:rFonts w:cstheme="minorHAnsi"/>
          <w:color w:val="000000" w:themeColor="text1"/>
        </w:rPr>
        <w:fldChar w:fldCharType="end"/>
      </w:r>
      <w:r w:rsidRPr="0065639A">
        <w:rPr>
          <w:rFonts w:cstheme="minorHAnsi"/>
          <w:color w:val="000000" w:themeColor="text1"/>
        </w:rPr>
        <w:t>; for example, a score of</w:t>
      </w:r>
      <w:r w:rsidRPr="0065639A">
        <w:t xml:space="preserve"> </w:t>
      </w:r>
      <w:r w:rsidRPr="0065639A">
        <w:rPr>
          <w:rFonts w:cstheme="minorHAnsi"/>
          <w:color w:val="000000" w:themeColor="text1"/>
        </w:rPr>
        <w:t xml:space="preserve">4 was given for the recall of a specific event (isolated, situated in time and space) with rich detail (e.g., actions, thoughts, perceptions, and images), whereas answers with no memory recalled scored 0 </w:t>
      </w:r>
      <w:r w:rsidRPr="0065639A">
        <w:rPr>
          <w:rFonts w:cstheme="minorHAnsi"/>
          <w:color w:val="000000" w:themeColor="text1"/>
        </w:rPr>
        <w:fldChar w:fldCharType="begin"/>
      </w:r>
      <w:r w:rsidRPr="0065639A">
        <w:rPr>
          <w:rFonts w:cstheme="minorHAnsi"/>
          <w:color w:val="000000" w:themeColor="text1"/>
        </w:rPr>
        <w:instrText xml:space="preserve"> ADDIN ZOTERO_ITEM CSL_CITATION {"citationID":"SzGP2aTT","properties":{"formattedCitation":"(Norris et al., 2020)","plainCitation":"(Norris et al., 2020)","dontUpdate":true,"noteIndex":0},"citationItems":[{"id":957,"uris":["http://zotero.org/users/2472632/items/BUJ8UKWW"],"uri":["http://zotero.org/users/2472632/items/BUJ8UKWW"],"itemData":{"id":957,"type":"article-journal","abstract":"Recalling specific past experiences is critical for most formal social interactions, including when being interviewed for employment, as a witness or defendant in the criminal justice system, or as a patient during a clinical consultation. Such interviews can be difficult for autistic adults under standard open questioning, yet applied research into effective methods to facilitate autistic adults’ recall is only recently beginning to emerge. The current study tested the efficacy of different prompting techniques to support autistic adults’ recall of specific personal memories; 30 autistic and 30 typically developing adults (intelligence quotients &gt; 85) were asked to recall specific instances from their past, relevant to criminal justice system, healthcare, and employment interviews. Questions comprised ‘open questions’, ‘semantic prompting’ (where semantic knowledge was used to prompt specific episodic retrieval) and ‘visual–verbal prompting’ (a pie-diagram with prompts to recall specific details, for example, who, what, and where). Half the participants received the questions in advance. Consistent with previous research, autistic participants reported memories with reduced specificity. For both groups, visual–verbal prompting support improved specificity and episodic relevance, while semantic prompting also aided recall for employment questions (but not health or criminal justice system). Findings offer new practical insight for interviewers to facilitate communication with typically developing and autistic adults.","container-title":"Autism","DOI":"10.1177/1362361320909174","ISSN":"1362-3613","journalAbbreviation":"Autism","language":"en","note":"publisher: SAGE Publications Ltd","page":"1362361320909174","source":"SAGE Journals","title":"Interviewing autistic adults: Adaptations to support recall in police, employment, and healthcare interviews","title-short":"Interviewing autistic adults","author":[{"family":"Norris","given":"Jade Eloise"},{"family":"Crane","given":"Laura"},{"family":"Maras","given":"Katie"}],"issued":{"date-parts":[["2020",3,23]]}}}],"schema":"https://github.com/citation-style-language/schema/raw/master/csl-citation.json"} </w:instrText>
      </w:r>
      <w:r w:rsidRPr="0065639A">
        <w:rPr>
          <w:rFonts w:cstheme="minorHAnsi"/>
          <w:color w:val="000000" w:themeColor="text1"/>
        </w:rPr>
        <w:fldChar w:fldCharType="separate"/>
      </w:r>
      <w:r w:rsidRPr="0065639A">
        <w:rPr>
          <w:rFonts w:ascii="Calibri" w:hAnsi="Calibri" w:cs="Calibri"/>
        </w:rPr>
        <w:t>(see Norris et al., 2020)</w:t>
      </w:r>
      <w:r w:rsidRPr="0065639A">
        <w:rPr>
          <w:rFonts w:cstheme="minorHAnsi"/>
          <w:color w:val="000000" w:themeColor="text1"/>
        </w:rPr>
        <w:fldChar w:fldCharType="end"/>
      </w:r>
      <w:r w:rsidRPr="0065639A">
        <w:rPr>
          <w:rFonts w:cstheme="minorHAnsi"/>
          <w:color w:val="000000" w:themeColor="text1"/>
        </w:rPr>
        <w:t xml:space="preserve">. </w:t>
      </w:r>
      <w:r w:rsidRPr="0065639A">
        <w:t xml:space="preserve">In the present study, we were interested in the relationships between executive functions, ToM, expressive language, and recall specificity in response to unsupportive open questions versus supportive V-VP questions, as autistic people provided less specific answers overall compared to TD participants, but </w:t>
      </w:r>
      <w:r w:rsidRPr="0065639A">
        <w:rPr>
          <w:rFonts w:cstheme="minorHAnsi"/>
          <w:color w:val="000000" w:themeColor="text1"/>
        </w:rPr>
        <w:t xml:space="preserve">V-VP task support was beneficial in improving specificity across all participants </w:t>
      </w:r>
      <w:r w:rsidRPr="0065639A">
        <w:rPr>
          <w:rFonts w:cstheme="minorHAnsi"/>
          <w:color w:val="000000" w:themeColor="text1"/>
        </w:rPr>
        <w:fldChar w:fldCharType="begin"/>
      </w:r>
      <w:r w:rsidRPr="0065639A">
        <w:rPr>
          <w:rFonts w:cstheme="minorHAnsi"/>
          <w:color w:val="000000" w:themeColor="text1"/>
        </w:rPr>
        <w:instrText xml:space="preserve"> ADDIN ZOTERO_ITEM CSL_CITATION {"citationID":"AKcJA853","properties":{"formattedCitation":"(Norris et al., 2020)","plainCitation":"(Norris et al., 2020)","noteIndex":0},"citationItems":[{"id":957,"uris":["http://zotero.org/users/2472632/items/BUJ8UKWW"],"uri":["http://zotero.org/users/2472632/items/BUJ8UKWW"],"itemData":{"id":957,"type":"article-journal","abstract":"Recalling specific past experiences is critical for most formal social interactions, including when being interviewed for employment, as a witness or defendant in the criminal justice system, or as a patient during a clinical consultation. Such interviews can be difficult for autistic adults under standard open questioning, yet applied research into effective methods to facilitate autistic adults’ recall is only recently beginning to emerge. The current study tested the efficacy of different prompting techniques to support autistic adults’ recall of specific personal memories; 30 autistic and 30 typically developing adults (intelligence quotients &gt; 85) were asked to recall specific instances from their past, relevant to criminal justice system, healthcare, and employment interviews. Questions comprised ‘open questions’, ‘semantic prompting’ (where semantic knowledge was used to prompt specific episodic retrieval) and ‘visual–verbal prompting’ (a pie-diagram with prompts to recall specific details, for example, who, what, and where). Half the participants received the questions in advance. Consistent with previous research, autistic participants reported memories with reduced specificity. For both groups, visual–verbal prompting support improved specificity and episodic relevance, while semantic prompting also aided recall for employment questions (but not health or criminal justice system). Findings offer new practical insight for interviewers to facilitate communication with typically developing and autistic adults.","container-title":"Autism","DOI":"10.1177/1362361320909174","ISSN":"1362-3613","journalAbbreviation":"Autism","language":"en","note":"publisher: SAGE Publications Ltd","page":"1362361320909174","source":"SAGE Journals","title":"Interviewing autistic adults: Adaptations to support recall in police, employment, and healthcare interviews","title-short":"Interviewing autistic adults","author":[{"family":"Norris","given":"Jade Eloise"},{"family":"Crane","given":"Laura"},{"family":"Maras","given":"Katie"}],"issued":{"date-parts":[["2020",3,23]]}}}],"schema":"https://github.com/citation-style-language/schema/raw/master/csl-citation.json"} </w:instrText>
      </w:r>
      <w:r w:rsidRPr="0065639A">
        <w:rPr>
          <w:rFonts w:cstheme="minorHAnsi"/>
          <w:color w:val="000000" w:themeColor="text1"/>
        </w:rPr>
        <w:fldChar w:fldCharType="separate"/>
      </w:r>
      <w:r w:rsidRPr="0065639A">
        <w:rPr>
          <w:rFonts w:ascii="Calibri" w:hAnsi="Calibri" w:cs="Calibri"/>
        </w:rPr>
        <w:t>(Norris et al., 2020)</w:t>
      </w:r>
      <w:r w:rsidRPr="0065639A">
        <w:rPr>
          <w:rFonts w:cstheme="minorHAnsi"/>
          <w:color w:val="000000" w:themeColor="text1"/>
        </w:rPr>
        <w:fldChar w:fldCharType="end"/>
      </w:r>
      <w:r w:rsidRPr="0065639A">
        <w:rPr>
          <w:rFonts w:cstheme="minorHAnsi"/>
          <w:color w:val="000000" w:themeColor="text1"/>
        </w:rPr>
        <w:t>.</w:t>
      </w:r>
    </w:p>
    <w:p w14:paraId="615AB8B2" w14:textId="7AF768BD" w:rsidR="0090398F" w:rsidRPr="007609EE" w:rsidRDefault="0065639A" w:rsidP="0090398F">
      <w:pPr>
        <w:spacing w:after="0"/>
        <w:contextualSpacing/>
      </w:pPr>
      <w:r w:rsidRPr="0065639A">
        <w:rPr>
          <w:rStyle w:val="Heading3Char"/>
        </w:rPr>
        <w:t xml:space="preserve">Recall quality in employment interviews. </w:t>
      </w:r>
      <w:r w:rsidRPr="0065639A">
        <w:fldChar w:fldCharType="begin"/>
      </w:r>
      <w:r w:rsidRPr="0065639A">
        <w:instrText xml:space="preserve"> ADDIN ZOTERO_ITEM CSL_CITATION {"citationID":"9sN7OODv","properties":{"formattedCitation":"(Maras, Norris, Nicholson, et al., 2020)","plainCitation":"(Maras, Norris, Nicholson, et al., 2020)","dontUpdate":true,"noteIndex":0},"citationItems":[{"id":3004,"uris":["http://zotero.org/users/2472632/items/UT87KQEL"],"uri":["http://zotero.org/users/2472632/items/UT87KQEL"],"itemData":{"id":3004,"type":"article-journal","abstract":"Despite possessing valuable skills, social communication differences mean that autistic people are frequently disadvantaged in job interviews. We examined how autistic and non-autistic adults compared on standard (unmodified) job interview questions, and then used these findings to develop and evaluate supportive adaptations to questions. Fifty adults (25 autistic, 25 non-autistic) took part in two mock job interviews. Interview 1 provided a baseline measure of performance when answering typical, unmodified interview questions. Employment experts (unaware of participants’ autism diagnoses) rated all interviewees on question-specific performance and overall impressions and then provided feedback about how interviewees could improve and how questions could be adapted to facilitate this. Interviewees also provided feedback about the interview process from their perspective. Adaptations to the questions were developed, with Interview 2 taking place approximately 6 months later. Results demonstrated that, in Interview 1, employment experts rated autistic interviewees less favourably than nonautistic interviewees. Ratings of both autistic and non-autistic participants’ answers improved in Interview 2, but particularly for autistic interviewees (such that differences between autistic and non-autistic interviewees’ performance reduced in Interview 2). Employers should be aware that adaptations to job interview questions are critical to level the playing field for autistic candidates.","container-title":"Autism","DOI":"10.1177/1362361320981319","ISSN":"1362-3613","journalAbbreviation":"Autism","language":"en","note":"publisher: SAGE Publications Ltd","page":"1362361320981319","source":"SAGE Journals","title":"Ameliorating the disadvantage for autistic job seekers: An initial evaluation of adapted employment interview questions","title-short":"Ameliorating the disadvantage for autistic job seekers","author":[{"family":"Maras","given":"Katie"},{"family":"Norris","given":"Jade Eloise"},{"family":"Nicholson","given":"Jemma"},{"family":"Heasman","given":"Brett"},{"family":"Remington","given":"Anna"},{"family":"Crane","given":"Laura"}],"issued":{"date-parts":[["2020",12,18]]}}}],"schema":"https://github.com/citation-style-language/schema/raw/master/csl-citation.json"} </w:instrText>
      </w:r>
      <w:r w:rsidRPr="0065639A">
        <w:fldChar w:fldCharType="separate"/>
      </w:r>
      <w:r w:rsidRPr="0065639A">
        <w:rPr>
          <w:rFonts w:ascii="Calibri" w:hAnsi="Calibri" w:cs="Calibri"/>
        </w:rPr>
        <w:t>Maras, Norris, Nicholson, et al. (2020)</w:t>
      </w:r>
      <w:r w:rsidRPr="0065639A">
        <w:fldChar w:fldCharType="end"/>
      </w:r>
      <w:r w:rsidRPr="0065639A">
        <w:t xml:space="preserve"> examined the efficacy of adapted employment interview questions for improving the quality of candidates’ recall. Twenty-five autistic and 25 TD participants underwent mock employment interviews, in two phases approximately six months apart. In Phase 1, participants were asked standard (unadapted, i.e., unsupportive) employment interview questions (e.g., ‘Do you work well as part of a team?’). Employment professionals then rated the quality of participants’ responses from the interview transcripts, blind to group, and the questions were adapted to be more supportive based on professionals’ and participants’ feedback (predominantly by making questions more explicit in terms of the information required from interviewees, with prompts to help them structure their answers). Twenty-one autistic and 21 TD participants returned for the Phase 2 interview with a </w:t>
      </w:r>
      <w:r w:rsidRPr="0065639A">
        <w:lastRenderedPageBreak/>
        <w:t xml:space="preserve">counterbalanced set of adapted (i.e., supportive) questions (e.g., ‘I’m going to ask you to give me an example of a time you’ve worked in a team. What was your role in the team? How did you work with the other team members to solve problems?’ [each sub-question asked one at a time]). Autistic participants’ responses were rated more poorly than TD participants with unsupportive questioning, but there was no group difference when supportive questions were used </w:t>
      </w:r>
      <w:r w:rsidRPr="0065639A">
        <w:fldChar w:fldCharType="begin"/>
      </w:r>
      <w:r w:rsidRPr="0065639A">
        <w:instrText xml:space="preserve"> ADDIN ZOTERO_ITEM CSL_CITATION {"citationID":"85z69N7D","properties":{"formattedCitation":"(Maras, Norris, et al., 2020)","plainCitation":"(Maras, Norris, et al., 2020)","noteIndex":0},"citationItems":[{"id":3004,"uris":["http://zotero.org/users/2472632/items/UT87KQEL"],"uri":["http://zotero.org/users/2472632/items/UT87KQEL"],"itemData":{"id":3004,"type":"article-journal","abstract":"Despite possessing valuable skills, social communication differences mean that autistic people are frequently disadvantaged in job interviews. We examined how autistic and non-autistic adults compared on standard (unmodified) job interview questions, and then used these findings to develop and evaluate supportive adaptations to questions. Fifty adults (25 autistic, 25 non-autistic) took part in two mock job interviews. Interview 1 provided a baseline measure of performance when answering typical, unmodified interview questions. Employment experts (unaware of participants’ autism diagnoses) rated all interviewees on question-specific performance and overall impressions and then provided feedback about how interviewees could improve and how questions could be adapted to facilitate this. Interviewees also provided feedback about the interview process from their perspective. Adaptations to the questions were developed, with Interview 2 taking place approximately 6 months later. Results demonstrated that, in Interview 1, employment experts rated autistic interviewees less favourably than nonautistic interviewees. Ratings of both autistic and non-autistic participants’ answers improved in Interview 2, but particularly for autistic interviewees (such that differences between autistic and non-autistic interviewees’ performance reduced in Interview 2). Employers should be aware that adaptations to job interview questions are critical to level the playing field for autistic candidates.","container-title":"Autism","DOI":"10.1177/1362361320981319","ISSN":"1362-3613","journalAbbreviation":"Autism","language":"en","note":"publisher: SAGE Publications Ltd","page":"1362361320981319","source":"SAGE Journals","title":"Ameliorating the disadvantage for autistic job seekers: An initial evaluation of adapted employment interview questions","title-short":"Ameliorating the disadvantage for autistic job seekers","author":[{"family":"Maras","given":"Katie"},{"family":"Norris","given":"Jade Eloise"},{"family":"Nicholson","given":"Jemma"},{"family":"Heasman","given":"Brett"},{"family":"Remington","given":"Anna"},{"family":"Crane","given":"Laura"}],"issued":{"date-parts":[["2020",12,18]]}}}],"schema":"https://github.com/citation-style-language/schema/raw/master/csl-citation.json"} </w:instrText>
      </w:r>
      <w:r w:rsidRPr="0065639A">
        <w:fldChar w:fldCharType="separate"/>
      </w:r>
      <w:r w:rsidRPr="0065639A">
        <w:rPr>
          <w:rFonts w:ascii="Calibri" w:hAnsi="Calibri" w:cs="Calibri"/>
        </w:rPr>
        <w:t>(Maras, Norris, et al., 2020)</w:t>
      </w:r>
      <w:r w:rsidRPr="0065639A">
        <w:fldChar w:fldCharType="end"/>
      </w:r>
      <w:r w:rsidRPr="0065639A">
        <w:t>.</w:t>
      </w:r>
    </w:p>
    <w:p w14:paraId="706C5C07" w14:textId="6F9F4411" w:rsidR="0090398F" w:rsidRPr="007609EE" w:rsidRDefault="0090398F" w:rsidP="0090398F">
      <w:pPr>
        <w:pStyle w:val="Heading3"/>
        <w:ind w:firstLine="0"/>
      </w:pPr>
      <w:r>
        <w:rPr>
          <w:iCs/>
        </w:rPr>
        <w:t>Table 1</w:t>
      </w:r>
      <w:r w:rsidRPr="007609EE">
        <w:rPr>
          <w:iCs/>
        </w:rPr>
        <w:t xml:space="preserve">. </w:t>
      </w:r>
      <w:r w:rsidRPr="007609EE">
        <w:t>Summary of interview type, unsupported and supported questioning examples, and the dependent variables for each study</w:t>
      </w:r>
    </w:p>
    <w:tbl>
      <w:tblPr>
        <w:tblStyle w:val="TableGrid"/>
        <w:tblW w:w="8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0"/>
        <w:gridCol w:w="3639"/>
        <w:gridCol w:w="3640"/>
      </w:tblGrid>
      <w:tr w:rsidR="0090398F" w:rsidRPr="007609EE" w14:paraId="3EFE03BA" w14:textId="77777777" w:rsidTr="00C14367">
        <w:trPr>
          <w:trHeight w:val="551"/>
        </w:trPr>
        <w:tc>
          <w:tcPr>
            <w:tcW w:w="1650" w:type="dxa"/>
            <w:tcBorders>
              <w:right w:val="single" w:sz="4" w:space="0" w:color="auto"/>
            </w:tcBorders>
          </w:tcPr>
          <w:p w14:paraId="081370CE" w14:textId="77777777" w:rsidR="0090398F" w:rsidRPr="007609EE" w:rsidRDefault="0090398F" w:rsidP="00C14367">
            <w:pPr>
              <w:spacing w:line="276" w:lineRule="auto"/>
              <w:ind w:firstLine="0"/>
              <w:contextualSpacing/>
              <w:rPr>
                <w:b/>
                <w:bCs/>
                <w:sz w:val="20"/>
                <w:szCs w:val="20"/>
              </w:rPr>
            </w:pPr>
            <w:r w:rsidRPr="007609EE">
              <w:rPr>
                <w:b/>
                <w:bCs/>
                <w:sz w:val="20"/>
                <w:szCs w:val="20"/>
              </w:rPr>
              <w:t>Study reference</w:t>
            </w:r>
          </w:p>
        </w:tc>
        <w:tc>
          <w:tcPr>
            <w:tcW w:w="3639" w:type="dxa"/>
            <w:tcBorders>
              <w:left w:val="single" w:sz="4" w:space="0" w:color="auto"/>
              <w:right w:val="single" w:sz="4" w:space="0" w:color="auto"/>
            </w:tcBorders>
          </w:tcPr>
          <w:p w14:paraId="6CDB56D7" w14:textId="77777777" w:rsidR="0090398F" w:rsidRPr="007609EE" w:rsidRDefault="0090398F" w:rsidP="00C14367">
            <w:pPr>
              <w:spacing w:line="276" w:lineRule="auto"/>
              <w:ind w:firstLine="0"/>
              <w:contextualSpacing/>
              <w:rPr>
                <w:sz w:val="20"/>
                <w:szCs w:val="20"/>
              </w:rPr>
            </w:pPr>
            <w:r w:rsidRPr="007609EE">
              <w:rPr>
                <w:sz w:val="20"/>
                <w:szCs w:val="20"/>
              </w:rPr>
              <w:fldChar w:fldCharType="begin"/>
            </w:r>
            <w:r w:rsidRPr="007609EE">
              <w:rPr>
                <w:sz w:val="20"/>
                <w:szCs w:val="20"/>
              </w:rPr>
              <w:instrText xml:space="preserve"> ADDIN ZOTERO_ITEM CSL_CITATION {"citationID":"NQXBTQYO","properties":{"formattedCitation":"(Norris et al., 2020)","plainCitation":"(Norris et al., 2020)","dontUpdate":true,"noteIndex":0},"citationItems":[{"id":957,"uris":["http://zotero.org/users/2472632/items/BUJ8UKWW"],"uri":["http://zotero.org/users/2472632/items/BUJ8UKWW"],"itemData":{"id":957,"type":"article-journal","abstract":"Recalling specific past experiences is critical for most formal social interactions, including when being interviewed for employment, as a witness or defendant in the criminal justice system, or as a patient during a clinical consultation. Such interviews can be difficult for autistic adults under standard open questioning, yet applied research into effective methods to facilitate autistic adults’ recall is only recently beginning to emerge. The current study tested the efficacy of different prompting techniques to support autistic adults’ recall of specific personal memories; 30 autistic and 30 typically developing adults (intelligence quotients &gt; 85) were asked to recall specific instances from their past, relevant to criminal justice system, healthcare, and employment interviews. Questions comprised ‘open questions’, ‘semantic prompting’ (where semantic knowledge was used to prompt specific episodic retrieval) and ‘visual–verbal prompting’ (a pie-diagram with prompts to recall specific details, for example, who, what, and where). Half the participants received the questions in advance. Consistent with previous research, autistic participants reported memories with reduced specificity. For both groups, visual–verbal prompting support improved specificity and episodic relevance, while semantic prompting also aided recall for employment questions (but not health or criminal justice system). Findings offer new practical insight for interviewers to facilitate communication with typically developing and autistic adults.","container-title":"Autism","DOI":"10.1177/1362361320909174","ISSN":"1362-3613","journalAbbreviation":"Autism","language":"en","note":"publisher: SAGE Publications Ltd","page":"1362361320909174","source":"SAGE Journals","title":"Interviewing autistic adults: Adaptations to support recall in police, employment, and healthcare interviews","title-short":"Interviewing autistic adults","author":[{"family":"Norris","given":"Jade Eloise"},{"family":"Crane","given":"Laura"},{"family":"Maras","given":"Katie"}],"issued":{"date-parts":[["2020",3,23]]}}}],"schema":"https://github.com/citation-style-language/schema/raw/master/csl-citation.json"} </w:instrText>
            </w:r>
            <w:r w:rsidRPr="007609EE">
              <w:rPr>
                <w:sz w:val="20"/>
                <w:szCs w:val="20"/>
              </w:rPr>
              <w:fldChar w:fldCharType="separate"/>
            </w:r>
            <w:r w:rsidRPr="007609EE">
              <w:rPr>
                <w:rFonts w:ascii="Calibri" w:hAnsi="Calibri" w:cs="Calibri"/>
                <w:sz w:val="20"/>
                <w:szCs w:val="20"/>
              </w:rPr>
              <w:t>Norris et al. (2020)</w:t>
            </w:r>
            <w:r w:rsidRPr="007609EE">
              <w:rPr>
                <w:sz w:val="20"/>
                <w:szCs w:val="20"/>
              </w:rPr>
              <w:fldChar w:fldCharType="end"/>
            </w:r>
          </w:p>
        </w:tc>
        <w:tc>
          <w:tcPr>
            <w:tcW w:w="3640" w:type="dxa"/>
            <w:tcBorders>
              <w:left w:val="single" w:sz="4" w:space="0" w:color="auto"/>
            </w:tcBorders>
          </w:tcPr>
          <w:p w14:paraId="359F654D" w14:textId="77777777" w:rsidR="0090398F" w:rsidRPr="007609EE" w:rsidRDefault="0090398F" w:rsidP="00C14367">
            <w:pPr>
              <w:spacing w:line="276" w:lineRule="auto"/>
              <w:ind w:firstLine="0"/>
              <w:contextualSpacing/>
              <w:rPr>
                <w:sz w:val="20"/>
                <w:szCs w:val="20"/>
                <w:lang w:val="fr-FR"/>
              </w:rPr>
            </w:pPr>
            <w:r w:rsidRPr="007609EE">
              <w:rPr>
                <w:sz w:val="20"/>
                <w:szCs w:val="20"/>
              </w:rPr>
              <w:fldChar w:fldCharType="begin"/>
            </w:r>
            <w:r w:rsidRPr="007609EE">
              <w:rPr>
                <w:sz w:val="20"/>
                <w:szCs w:val="20"/>
                <w:lang w:val="fr-FR"/>
              </w:rPr>
              <w:instrText xml:space="preserve"> ADDIN ZOTERO_ITEM CSL_CITATION {"citationID":"gQu03PWE","properties":{"formattedCitation":"(Maras, Norris, Nicholson, et al., 2020)","plainCitation":"(Maras, Norris, Nicholson, et al., 2020)","dontUpdate":true,"noteIndex":0},"citationItems":[{"id":3004,"uris":["http://zotero.org/users/2472632/items/UT87KQEL"],"uri":["http://zotero.org/users/2472632/items/UT87KQEL"],"itemData":{"id":3004,"type":"article-journal","abstract":"Despite possessing valuable skills, social communication differences mean that autistic people are frequently disadvantaged in job interviews. We examined how autistic and non-autistic adults compared on standard (unmodified) job interview questions, and then used these findings to develop and evaluate supportive adaptations to questions. Fifty adults (25 autistic, 25 non-autistic) took part in two mock job interviews. Interview 1 provided a baseline measure of performance when answering typical, unmodified interview questions. Employment experts (unaware of participants’ autism diagnoses) rated all interviewees on question-specific performance and overall impressions and then provided feedback about how interviewees could improve and how questions could be adapted to facilitate this. Interviewees also provided feedback about the interview process from their perspective. Adaptations to the questions were developed, with Interview 2 taking place approximately 6 months later. Results demonstrated that, in Interview 1, employment experts rated autistic interviewees less favourably than nonautistic interviewees. Ratings of both autistic and non-autistic participants’ answers improved in Interview 2, but particularly for autistic interviewees (such that differences between autistic and non-autistic interviewees’ performance reduced in Interview 2). Employers should be aware that adaptations to job interview questions are critical to level the playing field for autistic candidates.","container-title":"Autism","DOI":"10.1177/1362361320981319","ISSN":"1362-3613","journalAbbreviation":"Autism","language":"en","note":"publisher: SAGE Publications Ltd","page":"1362361320981319","source":"SAGE Journals","title":"Ameliorating the disadvantage for autistic job seekers: An initial evaluation of adapted employment interview questions","title-short":"Ameliorating the disadvantage for autistic job seekers","author":[{"family":"Maras","given":"Katie"},{"family":"Norris","given":"Jade Eloise"},{"family":"Nicholson","given":"Jemma"},{"family":"Heasman","given":"Brett"},{"family":"Remington","given":"Anna"},{"family":"Crane","given":"Laura"}],"issued":{"date-parts":[["2020",12,18]]}}}],"schema":"https://github.com/citation-style-language/schema/raw/master/csl-citation.json"} </w:instrText>
            </w:r>
            <w:r w:rsidRPr="007609EE">
              <w:rPr>
                <w:sz w:val="20"/>
                <w:szCs w:val="20"/>
              </w:rPr>
              <w:fldChar w:fldCharType="separate"/>
            </w:r>
            <w:r w:rsidRPr="007609EE">
              <w:rPr>
                <w:rFonts w:ascii="Calibri" w:hAnsi="Calibri" w:cs="Calibri"/>
                <w:sz w:val="20"/>
                <w:szCs w:val="20"/>
                <w:lang w:val="fr-FR"/>
              </w:rPr>
              <w:t>Maras, Norris, Nicholson, et al. (2020)</w:t>
            </w:r>
            <w:r w:rsidRPr="007609EE">
              <w:rPr>
                <w:sz w:val="20"/>
                <w:szCs w:val="20"/>
              </w:rPr>
              <w:fldChar w:fldCharType="end"/>
            </w:r>
          </w:p>
        </w:tc>
      </w:tr>
      <w:tr w:rsidR="0090398F" w:rsidRPr="007609EE" w14:paraId="62E32C61" w14:textId="77777777" w:rsidTr="00C14367">
        <w:trPr>
          <w:trHeight w:val="3224"/>
        </w:trPr>
        <w:tc>
          <w:tcPr>
            <w:tcW w:w="1650" w:type="dxa"/>
            <w:tcBorders>
              <w:right w:val="single" w:sz="4" w:space="0" w:color="auto"/>
            </w:tcBorders>
          </w:tcPr>
          <w:p w14:paraId="31E1DEB9" w14:textId="77777777" w:rsidR="0090398F" w:rsidRPr="007609EE" w:rsidRDefault="0090398F" w:rsidP="00C14367">
            <w:pPr>
              <w:spacing w:line="276" w:lineRule="auto"/>
              <w:ind w:firstLine="0"/>
              <w:contextualSpacing/>
              <w:rPr>
                <w:b/>
                <w:bCs/>
                <w:sz w:val="20"/>
                <w:szCs w:val="20"/>
              </w:rPr>
            </w:pPr>
            <w:r w:rsidRPr="007609EE">
              <w:rPr>
                <w:b/>
                <w:bCs/>
                <w:sz w:val="20"/>
                <w:szCs w:val="20"/>
              </w:rPr>
              <w:t>Interview type</w:t>
            </w:r>
            <w:r w:rsidRPr="007609EE">
              <w:rPr>
                <w:rStyle w:val="FootnoteReference"/>
                <w:b/>
                <w:bCs/>
                <w:sz w:val="20"/>
                <w:szCs w:val="20"/>
              </w:rPr>
              <w:footnoteReference w:id="1"/>
            </w:r>
          </w:p>
        </w:tc>
        <w:tc>
          <w:tcPr>
            <w:tcW w:w="3639" w:type="dxa"/>
            <w:tcBorders>
              <w:left w:val="single" w:sz="4" w:space="0" w:color="auto"/>
              <w:right w:val="single" w:sz="4" w:space="0" w:color="auto"/>
            </w:tcBorders>
          </w:tcPr>
          <w:p w14:paraId="412A251E" w14:textId="77777777" w:rsidR="0090398F" w:rsidRPr="007609EE" w:rsidRDefault="0090398F" w:rsidP="00C14367">
            <w:pPr>
              <w:spacing w:line="276" w:lineRule="auto"/>
              <w:ind w:firstLine="0"/>
              <w:contextualSpacing/>
              <w:rPr>
                <w:sz w:val="20"/>
                <w:szCs w:val="20"/>
              </w:rPr>
            </w:pPr>
            <w:r w:rsidRPr="007609EE">
              <w:rPr>
                <w:sz w:val="20"/>
                <w:szCs w:val="20"/>
              </w:rPr>
              <w:t>Autobiographical memory interview, recalling personally-experienced episodic memories relevant to police interviews (events where crimes could happen; e.g., a memory of going to a party), healthcare consultations (memories related to physical and mental health difficulties), and employment interviews (social and non-social work-related memories, e.g., working as a team, meeting a deadline)</w:t>
            </w:r>
          </w:p>
        </w:tc>
        <w:tc>
          <w:tcPr>
            <w:tcW w:w="3640" w:type="dxa"/>
            <w:tcBorders>
              <w:left w:val="single" w:sz="4" w:space="0" w:color="auto"/>
            </w:tcBorders>
          </w:tcPr>
          <w:p w14:paraId="08DEB570" w14:textId="77777777" w:rsidR="0090398F" w:rsidRPr="007609EE" w:rsidRDefault="0090398F" w:rsidP="00C14367">
            <w:pPr>
              <w:spacing w:line="276" w:lineRule="auto"/>
              <w:ind w:firstLine="0"/>
              <w:contextualSpacing/>
              <w:rPr>
                <w:sz w:val="20"/>
                <w:szCs w:val="20"/>
              </w:rPr>
            </w:pPr>
            <w:r w:rsidRPr="007609EE">
              <w:rPr>
                <w:sz w:val="20"/>
                <w:szCs w:val="20"/>
              </w:rPr>
              <w:t>Mock employment interviews, whereby participants were asked commonly-used work-related questions such as ‘What are some of your strengths?’, and ‘Tell me about a time you had to work with someone who was difficult to get along with – how did you handle it?’ across two Phases (unsupported and supported, see below)</w:t>
            </w:r>
          </w:p>
        </w:tc>
      </w:tr>
      <w:tr w:rsidR="0090398F" w:rsidRPr="007609EE" w14:paraId="025FFEC1" w14:textId="77777777" w:rsidTr="00C14367">
        <w:trPr>
          <w:trHeight w:val="816"/>
        </w:trPr>
        <w:tc>
          <w:tcPr>
            <w:tcW w:w="1650" w:type="dxa"/>
            <w:tcBorders>
              <w:right w:val="single" w:sz="4" w:space="0" w:color="auto"/>
            </w:tcBorders>
          </w:tcPr>
          <w:p w14:paraId="402A62E6" w14:textId="77777777" w:rsidR="0090398F" w:rsidRPr="007609EE" w:rsidRDefault="0090398F" w:rsidP="00C14367">
            <w:pPr>
              <w:spacing w:line="276" w:lineRule="auto"/>
              <w:ind w:firstLine="0"/>
              <w:contextualSpacing/>
              <w:rPr>
                <w:b/>
                <w:bCs/>
                <w:sz w:val="20"/>
                <w:szCs w:val="20"/>
              </w:rPr>
            </w:pPr>
            <w:r w:rsidRPr="007609EE">
              <w:rPr>
                <w:b/>
                <w:bCs/>
                <w:sz w:val="20"/>
                <w:szCs w:val="20"/>
              </w:rPr>
              <w:t>Unsupported questioning example</w:t>
            </w:r>
          </w:p>
        </w:tc>
        <w:tc>
          <w:tcPr>
            <w:tcW w:w="3639" w:type="dxa"/>
            <w:tcBorders>
              <w:left w:val="single" w:sz="4" w:space="0" w:color="auto"/>
              <w:right w:val="single" w:sz="4" w:space="0" w:color="auto"/>
            </w:tcBorders>
          </w:tcPr>
          <w:p w14:paraId="3520ED58" w14:textId="77777777" w:rsidR="0090398F" w:rsidRPr="007609EE" w:rsidRDefault="0090398F" w:rsidP="00C14367">
            <w:pPr>
              <w:spacing w:line="276" w:lineRule="auto"/>
              <w:ind w:firstLine="0"/>
              <w:contextualSpacing/>
              <w:rPr>
                <w:sz w:val="20"/>
                <w:szCs w:val="20"/>
              </w:rPr>
            </w:pPr>
            <w:r w:rsidRPr="007609EE">
              <w:rPr>
                <w:sz w:val="20"/>
                <w:szCs w:val="20"/>
              </w:rPr>
              <w:t>“Tell me about a time you went to a party?”</w:t>
            </w:r>
          </w:p>
          <w:p w14:paraId="4B3E1000" w14:textId="77777777" w:rsidR="0090398F" w:rsidRPr="007609EE" w:rsidRDefault="0090398F" w:rsidP="00C14367">
            <w:pPr>
              <w:spacing w:line="276" w:lineRule="auto"/>
              <w:ind w:firstLine="0"/>
              <w:contextualSpacing/>
              <w:rPr>
                <w:sz w:val="20"/>
                <w:szCs w:val="20"/>
              </w:rPr>
            </w:pPr>
          </w:p>
          <w:p w14:paraId="26F8B155" w14:textId="77777777" w:rsidR="0090398F" w:rsidRPr="007609EE" w:rsidRDefault="0090398F" w:rsidP="00C14367">
            <w:pPr>
              <w:spacing w:line="276" w:lineRule="auto"/>
              <w:ind w:firstLine="0"/>
              <w:contextualSpacing/>
              <w:rPr>
                <w:sz w:val="20"/>
                <w:szCs w:val="20"/>
              </w:rPr>
            </w:pPr>
          </w:p>
        </w:tc>
        <w:tc>
          <w:tcPr>
            <w:tcW w:w="3640" w:type="dxa"/>
            <w:tcBorders>
              <w:left w:val="single" w:sz="4" w:space="0" w:color="auto"/>
            </w:tcBorders>
          </w:tcPr>
          <w:p w14:paraId="2DB7E1D9" w14:textId="77777777" w:rsidR="0090398F" w:rsidRPr="007609EE" w:rsidRDefault="0090398F" w:rsidP="00C14367">
            <w:pPr>
              <w:spacing w:line="276" w:lineRule="auto"/>
              <w:ind w:firstLine="0"/>
              <w:contextualSpacing/>
              <w:rPr>
                <w:sz w:val="20"/>
                <w:szCs w:val="20"/>
              </w:rPr>
            </w:pPr>
            <w:r w:rsidRPr="007609EE">
              <w:rPr>
                <w:sz w:val="20"/>
                <w:szCs w:val="20"/>
              </w:rPr>
              <w:t>“What are some of your strengths?’</w:t>
            </w:r>
          </w:p>
        </w:tc>
      </w:tr>
      <w:tr w:rsidR="0090398F" w:rsidRPr="007609EE" w14:paraId="0D3109EA" w14:textId="77777777" w:rsidTr="00C14367">
        <w:trPr>
          <w:trHeight w:val="2737"/>
        </w:trPr>
        <w:tc>
          <w:tcPr>
            <w:tcW w:w="1650" w:type="dxa"/>
            <w:tcBorders>
              <w:right w:val="single" w:sz="4" w:space="0" w:color="auto"/>
            </w:tcBorders>
          </w:tcPr>
          <w:p w14:paraId="37BCD914" w14:textId="77777777" w:rsidR="0090398F" w:rsidRPr="007609EE" w:rsidRDefault="0090398F" w:rsidP="00C14367">
            <w:pPr>
              <w:spacing w:line="276" w:lineRule="auto"/>
              <w:ind w:firstLine="0"/>
              <w:contextualSpacing/>
              <w:rPr>
                <w:b/>
                <w:bCs/>
                <w:sz w:val="20"/>
                <w:szCs w:val="20"/>
              </w:rPr>
            </w:pPr>
            <w:r w:rsidRPr="007609EE">
              <w:rPr>
                <w:b/>
                <w:bCs/>
                <w:sz w:val="20"/>
                <w:szCs w:val="20"/>
              </w:rPr>
              <w:t xml:space="preserve">Supported questioning example </w:t>
            </w:r>
          </w:p>
        </w:tc>
        <w:tc>
          <w:tcPr>
            <w:tcW w:w="3639" w:type="dxa"/>
            <w:tcBorders>
              <w:left w:val="single" w:sz="4" w:space="0" w:color="auto"/>
              <w:right w:val="single" w:sz="4" w:space="0" w:color="auto"/>
            </w:tcBorders>
          </w:tcPr>
          <w:p w14:paraId="62E09920" w14:textId="77777777" w:rsidR="0090398F" w:rsidRPr="007609EE" w:rsidRDefault="0090398F" w:rsidP="00C14367">
            <w:pPr>
              <w:spacing w:line="276" w:lineRule="auto"/>
              <w:ind w:firstLine="0"/>
              <w:contextualSpacing/>
              <w:rPr>
                <w:sz w:val="20"/>
                <w:szCs w:val="20"/>
              </w:rPr>
            </w:pPr>
            <w:r w:rsidRPr="007609EE">
              <w:rPr>
                <w:sz w:val="20"/>
                <w:szCs w:val="20"/>
              </w:rPr>
              <w:t xml:space="preserve">“Tell me about a time you went to a party - Tell me about </w:t>
            </w:r>
            <w:r w:rsidRPr="007609EE">
              <w:rPr>
                <w:b/>
                <w:bCs/>
                <w:sz w:val="20"/>
                <w:szCs w:val="20"/>
              </w:rPr>
              <w:t>when</w:t>
            </w:r>
            <w:r w:rsidRPr="007609EE">
              <w:rPr>
                <w:sz w:val="20"/>
                <w:szCs w:val="20"/>
              </w:rPr>
              <w:t xml:space="preserve"> it happened, the </w:t>
            </w:r>
            <w:r w:rsidRPr="007609EE">
              <w:rPr>
                <w:b/>
                <w:bCs/>
                <w:sz w:val="20"/>
                <w:szCs w:val="20"/>
              </w:rPr>
              <w:t>setting</w:t>
            </w:r>
            <w:r w:rsidRPr="007609EE">
              <w:rPr>
                <w:sz w:val="20"/>
                <w:szCs w:val="20"/>
              </w:rPr>
              <w:t xml:space="preserve">, the </w:t>
            </w:r>
            <w:r w:rsidRPr="007609EE">
              <w:rPr>
                <w:b/>
                <w:bCs/>
                <w:sz w:val="20"/>
                <w:szCs w:val="20"/>
              </w:rPr>
              <w:t>people</w:t>
            </w:r>
            <w:r w:rsidRPr="007609EE">
              <w:rPr>
                <w:sz w:val="20"/>
                <w:szCs w:val="20"/>
              </w:rPr>
              <w:t xml:space="preserve"> who were there, the </w:t>
            </w:r>
            <w:r w:rsidRPr="007609EE">
              <w:rPr>
                <w:b/>
                <w:bCs/>
                <w:sz w:val="20"/>
                <w:szCs w:val="20"/>
              </w:rPr>
              <w:t>actions</w:t>
            </w:r>
            <w:r w:rsidRPr="007609EE">
              <w:rPr>
                <w:sz w:val="20"/>
                <w:szCs w:val="20"/>
              </w:rPr>
              <w:t xml:space="preserve"> that occurred, and any </w:t>
            </w:r>
            <w:r w:rsidRPr="007609EE">
              <w:rPr>
                <w:b/>
                <w:bCs/>
                <w:sz w:val="20"/>
                <w:szCs w:val="20"/>
              </w:rPr>
              <w:t>objects</w:t>
            </w:r>
            <w:r w:rsidRPr="007609EE">
              <w:rPr>
                <w:sz w:val="20"/>
                <w:szCs w:val="20"/>
              </w:rPr>
              <w:t xml:space="preserve"> that were there?”</w:t>
            </w:r>
          </w:p>
          <w:p w14:paraId="5D5F4EB1" w14:textId="77777777" w:rsidR="0090398F" w:rsidRPr="007609EE" w:rsidRDefault="0090398F" w:rsidP="00C14367">
            <w:pPr>
              <w:spacing w:line="276" w:lineRule="auto"/>
              <w:ind w:firstLine="0"/>
              <w:contextualSpacing/>
              <w:rPr>
                <w:sz w:val="20"/>
                <w:szCs w:val="20"/>
              </w:rPr>
            </w:pPr>
          </w:p>
          <w:p w14:paraId="2C5AD5FC" w14:textId="77777777" w:rsidR="0090398F" w:rsidRPr="007609EE" w:rsidRDefault="0090398F" w:rsidP="00C14367">
            <w:pPr>
              <w:spacing w:line="276" w:lineRule="auto"/>
              <w:ind w:firstLine="0"/>
              <w:contextualSpacing/>
              <w:rPr>
                <w:sz w:val="20"/>
                <w:szCs w:val="20"/>
              </w:rPr>
            </w:pPr>
            <w:r w:rsidRPr="007609EE">
              <w:rPr>
                <w:sz w:val="20"/>
                <w:szCs w:val="20"/>
              </w:rPr>
              <w:t>(Participants had a diagram with the bolded words in front of them)</w:t>
            </w:r>
          </w:p>
        </w:tc>
        <w:tc>
          <w:tcPr>
            <w:tcW w:w="3640" w:type="dxa"/>
            <w:tcBorders>
              <w:left w:val="single" w:sz="4" w:space="0" w:color="auto"/>
            </w:tcBorders>
          </w:tcPr>
          <w:p w14:paraId="33CFFDCA" w14:textId="77777777" w:rsidR="0090398F" w:rsidRPr="007609EE" w:rsidRDefault="0090398F" w:rsidP="00C14367">
            <w:pPr>
              <w:spacing w:line="276" w:lineRule="auto"/>
              <w:ind w:firstLine="0"/>
              <w:contextualSpacing/>
              <w:rPr>
                <w:sz w:val="20"/>
                <w:szCs w:val="20"/>
              </w:rPr>
            </w:pPr>
            <w:r w:rsidRPr="007609EE">
              <w:rPr>
                <w:sz w:val="20"/>
                <w:szCs w:val="20"/>
              </w:rPr>
              <w:t>“I’m going to ask about your strengths: What do you consider to be your main strengths (things that you are good at)?” [participant answers] “How have you used these strengths at work?” [participant answers]</w:t>
            </w:r>
          </w:p>
          <w:p w14:paraId="4D47EEAC" w14:textId="77777777" w:rsidR="0090398F" w:rsidRPr="007609EE" w:rsidRDefault="0090398F" w:rsidP="00C14367">
            <w:pPr>
              <w:spacing w:line="276" w:lineRule="auto"/>
              <w:ind w:firstLine="0"/>
              <w:contextualSpacing/>
              <w:rPr>
                <w:sz w:val="20"/>
                <w:szCs w:val="20"/>
              </w:rPr>
            </w:pPr>
          </w:p>
          <w:p w14:paraId="5B9C107A" w14:textId="77777777" w:rsidR="0090398F" w:rsidRPr="007609EE" w:rsidRDefault="0090398F" w:rsidP="00C14367">
            <w:pPr>
              <w:spacing w:line="276" w:lineRule="auto"/>
              <w:ind w:firstLine="0"/>
              <w:contextualSpacing/>
              <w:rPr>
                <w:sz w:val="20"/>
                <w:szCs w:val="20"/>
              </w:rPr>
            </w:pPr>
            <w:r w:rsidRPr="007609EE">
              <w:rPr>
                <w:sz w:val="20"/>
                <w:szCs w:val="20"/>
              </w:rPr>
              <w:t>(Participants had a copy of the questions in front of them)</w:t>
            </w:r>
          </w:p>
        </w:tc>
      </w:tr>
      <w:tr w:rsidR="0090398F" w:rsidRPr="007609EE" w14:paraId="46B5A003" w14:textId="77777777" w:rsidTr="00C14367">
        <w:trPr>
          <w:trHeight w:val="2185"/>
        </w:trPr>
        <w:tc>
          <w:tcPr>
            <w:tcW w:w="1650" w:type="dxa"/>
            <w:tcBorders>
              <w:right w:val="single" w:sz="4" w:space="0" w:color="auto"/>
            </w:tcBorders>
          </w:tcPr>
          <w:p w14:paraId="2D561792" w14:textId="77777777" w:rsidR="0090398F" w:rsidRPr="007609EE" w:rsidRDefault="0090398F" w:rsidP="00C14367">
            <w:pPr>
              <w:spacing w:line="276" w:lineRule="auto"/>
              <w:ind w:firstLine="0"/>
              <w:contextualSpacing/>
              <w:rPr>
                <w:b/>
                <w:bCs/>
                <w:sz w:val="20"/>
                <w:szCs w:val="20"/>
              </w:rPr>
            </w:pPr>
            <w:r w:rsidRPr="007609EE">
              <w:rPr>
                <w:b/>
                <w:bCs/>
                <w:sz w:val="20"/>
                <w:szCs w:val="20"/>
              </w:rPr>
              <w:t>Scoring and dependent variable</w:t>
            </w:r>
          </w:p>
        </w:tc>
        <w:tc>
          <w:tcPr>
            <w:tcW w:w="3639" w:type="dxa"/>
            <w:tcBorders>
              <w:left w:val="single" w:sz="4" w:space="0" w:color="auto"/>
              <w:right w:val="single" w:sz="4" w:space="0" w:color="auto"/>
            </w:tcBorders>
          </w:tcPr>
          <w:p w14:paraId="5AD31367" w14:textId="77777777" w:rsidR="0090398F" w:rsidRPr="007609EE" w:rsidRDefault="0090398F" w:rsidP="00C14367">
            <w:pPr>
              <w:spacing w:line="276" w:lineRule="auto"/>
              <w:ind w:firstLine="0"/>
              <w:contextualSpacing/>
              <w:rPr>
                <w:sz w:val="20"/>
                <w:szCs w:val="20"/>
              </w:rPr>
            </w:pPr>
            <w:r w:rsidRPr="007609EE">
              <w:rPr>
                <w:sz w:val="20"/>
                <w:szCs w:val="20"/>
              </w:rPr>
              <w:t xml:space="preserve">Specificity </w:t>
            </w:r>
          </w:p>
          <w:p w14:paraId="6E9C4EAD" w14:textId="77777777" w:rsidR="0090398F" w:rsidRPr="007609EE" w:rsidRDefault="0090398F" w:rsidP="00C14367">
            <w:pPr>
              <w:spacing w:line="276" w:lineRule="auto"/>
              <w:ind w:firstLine="0"/>
              <w:contextualSpacing/>
              <w:rPr>
                <w:sz w:val="20"/>
                <w:szCs w:val="20"/>
              </w:rPr>
            </w:pPr>
          </w:p>
          <w:p w14:paraId="7D833123" w14:textId="77777777" w:rsidR="0090398F" w:rsidRPr="007609EE" w:rsidRDefault="0090398F" w:rsidP="00C14367">
            <w:pPr>
              <w:spacing w:line="276" w:lineRule="auto"/>
              <w:ind w:firstLine="0"/>
              <w:contextualSpacing/>
              <w:rPr>
                <w:sz w:val="20"/>
                <w:szCs w:val="20"/>
              </w:rPr>
            </w:pPr>
            <w:r w:rsidRPr="007609EE">
              <w:rPr>
                <w:sz w:val="20"/>
                <w:szCs w:val="20"/>
              </w:rPr>
              <w:t>Scored on a scale of 0 (absence of a memory) to 4 (memory is highly specific, clearly situated in time and space)</w:t>
            </w:r>
          </w:p>
        </w:tc>
        <w:tc>
          <w:tcPr>
            <w:tcW w:w="3640" w:type="dxa"/>
            <w:tcBorders>
              <w:left w:val="single" w:sz="4" w:space="0" w:color="auto"/>
            </w:tcBorders>
          </w:tcPr>
          <w:p w14:paraId="2D011A4E" w14:textId="77777777" w:rsidR="0090398F" w:rsidRPr="007609EE" w:rsidRDefault="0090398F" w:rsidP="00C14367">
            <w:pPr>
              <w:spacing w:line="276" w:lineRule="auto"/>
              <w:ind w:firstLine="0"/>
              <w:contextualSpacing/>
              <w:rPr>
                <w:sz w:val="20"/>
                <w:szCs w:val="20"/>
              </w:rPr>
            </w:pPr>
            <w:r w:rsidRPr="007609EE">
              <w:rPr>
                <w:sz w:val="20"/>
                <w:szCs w:val="20"/>
              </w:rPr>
              <w:t>Quality (employer rated)</w:t>
            </w:r>
          </w:p>
          <w:p w14:paraId="1E5AEF4A" w14:textId="77777777" w:rsidR="0090398F" w:rsidRPr="007609EE" w:rsidRDefault="0090398F" w:rsidP="00C14367">
            <w:pPr>
              <w:spacing w:line="276" w:lineRule="auto"/>
              <w:ind w:firstLine="0"/>
              <w:contextualSpacing/>
              <w:rPr>
                <w:sz w:val="20"/>
                <w:szCs w:val="20"/>
              </w:rPr>
            </w:pPr>
          </w:p>
          <w:p w14:paraId="219AB244" w14:textId="77777777" w:rsidR="0090398F" w:rsidRPr="007609EE" w:rsidRDefault="0090398F" w:rsidP="00C14367">
            <w:pPr>
              <w:spacing w:line="276" w:lineRule="auto"/>
              <w:ind w:firstLine="0"/>
              <w:contextualSpacing/>
              <w:rPr>
                <w:sz w:val="20"/>
                <w:szCs w:val="20"/>
              </w:rPr>
            </w:pPr>
            <w:r w:rsidRPr="007609EE">
              <w:rPr>
                <w:sz w:val="20"/>
                <w:szCs w:val="20"/>
              </w:rPr>
              <w:t>Scored on a scale of 1 (very poor; a single yes/no answer with little to no elaboration/irrelevant/off-topic response) to 5 (excellent; fully satisfied all aspects of the question, relevant to employment)</w:t>
            </w:r>
          </w:p>
        </w:tc>
      </w:tr>
    </w:tbl>
    <w:p w14:paraId="7395B89A" w14:textId="77777777" w:rsidR="0090398F" w:rsidRPr="0065639A" w:rsidRDefault="0090398F" w:rsidP="0065639A">
      <w:pPr>
        <w:spacing w:after="0"/>
        <w:contextualSpacing/>
      </w:pPr>
    </w:p>
    <w:p w14:paraId="33904AC7" w14:textId="77777777" w:rsidR="0065639A" w:rsidRPr="0065639A" w:rsidRDefault="0065639A" w:rsidP="0065639A">
      <w:pPr>
        <w:pStyle w:val="Heading2"/>
      </w:pPr>
      <w:r w:rsidRPr="0065639A">
        <w:t>Participants</w:t>
      </w:r>
    </w:p>
    <w:p w14:paraId="41917E3F" w14:textId="61482388" w:rsidR="0065639A" w:rsidRPr="0065639A" w:rsidRDefault="0065639A" w:rsidP="0065639A">
      <w:pPr>
        <w:contextualSpacing/>
      </w:pPr>
      <w:r w:rsidRPr="0065639A">
        <w:t xml:space="preserve">In both studies, </w:t>
      </w:r>
      <w:r w:rsidRPr="0065639A">
        <w:rPr>
          <w:rFonts w:cstheme="minorHAnsi"/>
        </w:rPr>
        <w:t xml:space="preserve">participants were recruited mainly from the South West of England and surrounding areas, including via previous research participation, autism-related and local community Facebook groups, social and support groups, and local community recruitment (including posters, magazine articles, and social media posts). All autistic participants had received a formal clinical diagnosis of an Autism Spectrum Disorder according to </w:t>
      </w:r>
      <w:r w:rsidRPr="0065639A">
        <w:rPr>
          <w:rFonts w:cstheme="minorHAnsi"/>
          <w:color w:val="000000" w:themeColor="text1"/>
        </w:rPr>
        <w:t>DSM–IV (American Psychiatric Association, 2000) or DSM-5 criteria (American Psychiatric Association, 2013),</w:t>
      </w:r>
      <w:r w:rsidRPr="0065639A">
        <w:rPr>
          <w:rFonts w:cstheme="minorHAnsi"/>
          <w:color w:val="000000" w:themeColor="text1"/>
          <w:lang w:val="en-US"/>
        </w:rPr>
        <w:t xml:space="preserve"> </w:t>
      </w:r>
      <w:r w:rsidRPr="0065639A">
        <w:rPr>
          <w:rFonts w:cstheme="minorHAnsi"/>
          <w:lang w:val="en-US"/>
        </w:rPr>
        <w:t xml:space="preserve">and </w:t>
      </w:r>
      <w:r w:rsidRPr="0065639A">
        <w:rPr>
          <w:rFonts w:cstheme="minorHAnsi"/>
        </w:rPr>
        <w:t xml:space="preserve">confirmed this with a copy of their clinical diagnostic report. Those who had received a diagnosis but were unable to access their report received the Autism Diagnostic Observation Schedule, Second Edition (ADOS-2; Lord et al., 2012) to confirm the diagnosis. </w:t>
      </w:r>
      <w:r w:rsidRPr="0065639A">
        <w:t xml:space="preserve">All TD participants scored below the recommended minimum cut-off of 32 on the Autism Spectrum Quotient (AQ-50 with 80% specificity; Baron-Cohen, Wheelwright, Skinner, Martin, &amp; Clubley, 2001). </w:t>
      </w:r>
      <w:r w:rsidRPr="0065639A">
        <w:rPr>
          <w:rFonts w:cstheme="minorHAnsi"/>
        </w:rPr>
        <w:t xml:space="preserve">Participants provided their written informed consent to take part and were fully debriefed after each study. Ethical approval was obtained from the Psychology Research Ethics Committee at </w:t>
      </w:r>
      <w:r w:rsidRPr="00F9612C">
        <w:rPr>
          <w:rFonts w:cstheme="minorHAnsi"/>
        </w:rPr>
        <w:t xml:space="preserve">the University </w:t>
      </w:r>
      <w:r w:rsidR="00F9612C" w:rsidRPr="00F9612C">
        <w:rPr>
          <w:rFonts w:cstheme="minorHAnsi"/>
        </w:rPr>
        <w:t>of Bath</w:t>
      </w:r>
      <w:r w:rsidRPr="0065639A">
        <w:t>.</w:t>
      </w:r>
    </w:p>
    <w:p w14:paraId="05A51B72" w14:textId="77777777" w:rsidR="0065639A" w:rsidRPr="0065639A" w:rsidRDefault="0065639A" w:rsidP="0065639A">
      <w:pPr>
        <w:pStyle w:val="Heading2"/>
      </w:pPr>
      <w:r w:rsidRPr="0065639A">
        <w:t>Materials</w:t>
      </w:r>
    </w:p>
    <w:p w14:paraId="2A1A8EC0" w14:textId="77777777" w:rsidR="0065639A" w:rsidRPr="0065639A" w:rsidRDefault="0065639A" w:rsidP="0065639A">
      <w:pPr>
        <w:pStyle w:val="Heading3"/>
        <w:rPr>
          <w:rStyle w:val="Heading2Char"/>
          <w:b w:val="0"/>
          <w:i w:val="0"/>
        </w:rPr>
      </w:pPr>
      <w:r w:rsidRPr="0065639A">
        <w:t>Inhibition</w:t>
      </w:r>
    </w:p>
    <w:p w14:paraId="57E32747" w14:textId="77777777" w:rsidR="0065639A" w:rsidRPr="0065639A" w:rsidRDefault="0065639A" w:rsidP="0065639A">
      <w:pPr>
        <w:spacing w:after="0"/>
        <w:contextualSpacing/>
        <w:rPr>
          <w:rFonts w:cstheme="minorHAnsi"/>
          <w:b/>
          <w:color w:val="FF0000"/>
        </w:rPr>
      </w:pPr>
      <w:r w:rsidRPr="0065639A">
        <w:rPr>
          <w:rFonts w:cstheme="minorHAnsi"/>
        </w:rPr>
        <w:t xml:space="preserve">The </w:t>
      </w:r>
      <w:r w:rsidRPr="0065639A">
        <w:t xml:space="preserve">Delis-Kaplan Executive Function System (D-KEFS; </w:t>
      </w:r>
      <w:r w:rsidRPr="0065639A">
        <w:fldChar w:fldCharType="begin"/>
      </w:r>
      <w:r w:rsidRPr="0065639A">
        <w:instrText xml:space="preserve"> ADDIN ZOTERO_ITEM CSL_CITATION {"citationID":"w1wsoS9x","properties":{"formattedCitation":"(Delis et al., 2001)","plainCitation":"(Delis et al., 2001)","dontUpdate":true,"noteIndex":0},"citationItems":[{"id":119,"uris":["http://zotero.org/users/2472632/items/8HX5GYYB"],"uri":["http://zotero.org/users/2472632/items/8HX5GYYB"],"itemData":{"id":119,"type":"article-journal","container-title":"Pearson Clinical","title":"Delis-Kaplan executive function system.","author":[{"family":"Delis","given":"Dean C."},{"family":"Kaplan","given":"E"},{"family":"Kramer","given":"J. H"}],"issued":{"date-parts":[["2001"]]}}}],"schema":"https://github.com/citation-style-language/schema/raw/master/csl-citation.json"} </w:instrText>
      </w:r>
      <w:r w:rsidRPr="0065639A">
        <w:fldChar w:fldCharType="separate"/>
      </w:r>
      <w:r w:rsidRPr="0065639A">
        <w:t>Delis et al., 2001)</w:t>
      </w:r>
      <w:r w:rsidRPr="0065639A">
        <w:fldChar w:fldCharType="end"/>
      </w:r>
      <w:r w:rsidRPr="0065639A">
        <w:t xml:space="preserve"> </w:t>
      </w:r>
      <w:r w:rsidRPr="0065639A">
        <w:rPr>
          <w:rFonts w:cstheme="minorHAnsi"/>
        </w:rPr>
        <w:t>Colour Stroop task consists of a speed-reading phase (black ink colour-words), colour naming phase (naming the colour of squares), inhibition phase (naming the ink colour of incongruent colour words, i.e. ‘red’ printed in green), and a switching phase (switching between naming the ink colour or reading the incongruent-coloured word). T</w:t>
      </w:r>
      <w:r w:rsidRPr="0065639A">
        <w:t xml:space="preserve">he normed contrast score of the </w:t>
      </w:r>
      <w:r w:rsidRPr="0065639A">
        <w:rPr>
          <w:i/>
        </w:rPr>
        <w:t>inhibition phase</w:t>
      </w:r>
      <w:r w:rsidRPr="0065639A">
        <w:t xml:space="preserve"> minus the </w:t>
      </w:r>
      <w:r w:rsidRPr="0065639A">
        <w:rPr>
          <w:i/>
        </w:rPr>
        <w:t>colour naming phase</w:t>
      </w:r>
      <w:r w:rsidRPr="0065639A">
        <w:rPr>
          <w:rFonts w:cstheme="minorHAnsi"/>
          <w:b/>
        </w:rPr>
        <w:t xml:space="preserve"> </w:t>
      </w:r>
      <w:r w:rsidRPr="0065639A">
        <w:rPr>
          <w:rFonts w:cstheme="minorHAnsi"/>
        </w:rPr>
        <w:t xml:space="preserve">was used to </w:t>
      </w:r>
      <w:r w:rsidRPr="0065639A">
        <w:rPr>
          <w:rFonts w:eastAsia="Times New Roman" w:cstheme="minorHAnsi"/>
        </w:rPr>
        <w:t>index inhibition</w:t>
      </w:r>
      <w:r w:rsidRPr="0065639A">
        <w:t>,</w:t>
      </w:r>
      <w:r w:rsidRPr="0065639A">
        <w:rPr>
          <w:rFonts w:eastAsia="Times New Roman" w:cstheme="minorHAnsi"/>
        </w:rPr>
        <w:t xml:space="preserve"> minimising the impact of processing speed </w:t>
      </w:r>
      <w:r w:rsidRPr="0065639A">
        <w:fldChar w:fldCharType="begin"/>
      </w:r>
      <w:r w:rsidRPr="0065639A">
        <w:instrText xml:space="preserve"> ADDIN ZOTERO_ITEM CSL_CITATION {"citationID":"Kn1IF2wY","properties":{"formattedCitation":"(Coolin et al., 2014)","plainCitation":"(Coolin et al., 2014)","noteIndex":0},"citationItems":[{"id":159,"uris":["http://zotero.org/users/2472632/items/MVS6QC8N"],"uri":["http://zotero.org/users/2472632/items/MVS6QC8N"],"itemData":{"id":159,"type":"article-journal","abstract":"Background/Study Context: After learning an event’s outcome, people’s recollection of their former prediction of that event shifts towards the actual outcome. This hindsight bias (HB) phenomenon tends to be stronger in older compared with younger adults; however, it is unclear whether age-related changes in other cognitive abilities mediate this relationship.Methods: Sixty-four younger adults (Mage = 20.1; range = 18–25) and 60 community-dwelling older adults (Mage = 72.5; range = 65–87) completed a memory design HB task. Two aspects of HB, its occurrence and magnitude, were examined. Multiple regression and mediation analyses were conducted to determine whether episodic memory and inhibition mediate age differences in the occurrence and magnitude of HB.Results: Older adults exhibited a greater occurrence and magnitude of HB as compared with younger adults. The present findings revealed that episodic memory and inhibition mediated age-related increases in HB occurrence. Conversely, neither cognitive ability mediated age-related increases in HB magnitude.Conclusion: Older adults’ susceptibility to the occurrence of HB is partly due to age-related declines in episodic memory and inhibition. Conversely, age differences in the magnitude of HB appear to be independent of episodic memory and inhibition. These findings have important implications for understanding the mechanisms by which susceptibility to HB changes across the adult life span.","container-title":"Experimental Aging Research","DOI":"10.1080/0361073X.2014.896667","ISSN":"0361-073X","issue":"3","journalAbbreviation":"Experimental Aging Research","page":"357-374","source":"tandfonline.com (Atypon)","title":"Age Differences in Hindsight Bias: The Role of Episodic Memory and Inhibition","title-short":"Age Differences in Hindsight Bias","volume":"40","author":[{"family":"Coolin","given":"Alisha"},{"family":"Bernstein","given":"Daniel M."},{"family":"Thornton","given":"Allen E."},{"family":"Thornton","given":"Wendy Loken"}],"issued":{"date-parts":[["2014",5,27]]}}}],"schema":"https://github.com/citation-style-language/schema/raw/master/csl-citation.json"} </w:instrText>
      </w:r>
      <w:r w:rsidRPr="0065639A">
        <w:fldChar w:fldCharType="separate"/>
      </w:r>
      <w:r w:rsidRPr="0065639A">
        <w:rPr>
          <w:rFonts w:ascii="Calibri" w:hAnsi="Calibri" w:cs="Calibri"/>
        </w:rPr>
        <w:t>(Coolin et al., 2014)</w:t>
      </w:r>
      <w:r w:rsidRPr="0065639A">
        <w:fldChar w:fldCharType="end"/>
      </w:r>
      <w:r w:rsidRPr="0065639A">
        <w:t>.</w:t>
      </w:r>
    </w:p>
    <w:p w14:paraId="4066AC3B" w14:textId="77777777" w:rsidR="0065639A" w:rsidRPr="0065639A" w:rsidRDefault="0065639A" w:rsidP="0065639A">
      <w:pPr>
        <w:pStyle w:val="Heading3"/>
      </w:pPr>
      <w:r w:rsidRPr="0065639A">
        <w:rPr>
          <w:rStyle w:val="Heading3Char"/>
        </w:rPr>
        <w:t xml:space="preserve">Working memory </w:t>
      </w:r>
    </w:p>
    <w:p w14:paraId="3DEA1A51" w14:textId="77777777" w:rsidR="0065639A" w:rsidRPr="0065639A" w:rsidRDefault="0065639A" w:rsidP="0065639A">
      <w:pPr>
        <w:spacing w:after="0"/>
        <w:contextualSpacing/>
      </w:pPr>
      <w:r w:rsidRPr="0065639A">
        <w:t xml:space="preserve">The Corsi Block-Tapping Task </w:t>
      </w:r>
      <w:r w:rsidRPr="0065639A">
        <w:rPr>
          <w:rStyle w:val="Heading3Char"/>
          <w:b/>
          <w:i w:val="0"/>
        </w:rPr>
        <w:fldChar w:fldCharType="begin"/>
      </w:r>
      <w:r w:rsidRPr="0065639A">
        <w:rPr>
          <w:rStyle w:val="Heading3Char"/>
        </w:rPr>
        <w:instrText xml:space="preserve"> ADDIN ZOTERO_ITEM CSL_CITATION {"citationID":"clE1VOHS","properties":{"formattedCitation":"(Corsi, 1973)","plainCitation":"(Corsi, 1973)","noteIndex":0},"citationItems":[{"id":112,"uris":["http://zotero.org/users/2472632/items/P54GKRGC"],"uri":["http://zotero.org/users/2472632/items/P54GKRGC"],"itemData":{"id":112,"type":"thesis","event-place":"US","number-of-pages":"891","publisher":"ProQuest Information &amp; Learning","publisher-place":"US","source":"APA PsycNET","title":"Human memory and the medial temporal region of the brain","author":[{"family":"Corsi","given":"Philip M."}],"issued":{"date-parts":[["1973"]]}}}],"schema":"https://github.com/citation-style-language/schema/raw/master/csl-citation.json"} </w:instrText>
      </w:r>
      <w:r w:rsidRPr="0065639A">
        <w:rPr>
          <w:rStyle w:val="Heading3Char"/>
          <w:b/>
          <w:i w:val="0"/>
        </w:rPr>
        <w:fldChar w:fldCharType="separate"/>
      </w:r>
      <w:r w:rsidRPr="0065639A">
        <w:rPr>
          <w:rStyle w:val="Heading3Char"/>
        </w:rPr>
        <w:t>(Corsi, 1973)</w:t>
      </w:r>
      <w:r w:rsidRPr="0065639A">
        <w:rPr>
          <w:rStyle w:val="Heading3Char"/>
          <w:b/>
          <w:i w:val="0"/>
        </w:rPr>
        <w:fldChar w:fldCharType="end"/>
      </w:r>
      <w:r w:rsidRPr="0065639A">
        <w:rPr>
          <w:rStyle w:val="Heading3Char"/>
        </w:rPr>
        <w:t xml:space="preserve"> </w:t>
      </w:r>
      <w:r w:rsidRPr="0065639A">
        <w:t xml:space="preserve">is a spatial working memory (WM) span task (computerised version via Inquisit; </w:t>
      </w:r>
      <w:hyperlink r:id="rId6" w:history="1">
        <w:r w:rsidRPr="0065639A">
          <w:rPr>
            <w:rStyle w:val="Hyperlink"/>
          </w:rPr>
          <w:t>www.millisecond.com</w:t>
        </w:r>
      </w:hyperlink>
      <w:r w:rsidRPr="0065639A">
        <w:rPr>
          <w:rStyle w:val="Hyperlink"/>
          <w:color w:val="000000" w:themeColor="text1"/>
        </w:rPr>
        <w:t xml:space="preserve">) </w:t>
      </w:r>
      <w:r w:rsidRPr="0065639A">
        <w:rPr>
          <w:rStyle w:val="Hyperlink"/>
        </w:rPr>
        <w:t>consisting of a f</w:t>
      </w:r>
      <w:r w:rsidRPr="0065639A">
        <w:t>orwards and backwards span (</w:t>
      </w:r>
      <w:r w:rsidRPr="0065639A">
        <w:fldChar w:fldCharType="begin"/>
      </w:r>
      <w:r w:rsidRPr="0065639A">
        <w:instrText xml:space="preserve"> ADDIN ZOTERO_ITEM CSL_CITATION {"citationID":"hqMyFYNT","properties":{"formattedCitation":"(Kessels et al., 2000, 2008)","plainCitation":"(Kessels et al., 2000, 2008)","dontUpdate":true,"noteIndex":0},"citationItems":[{"id":114,"uris":["http://zotero.org/users/2472632/items/QKMCH6IQ"],"uri":["http://zotero.org/users/2472632/items/QKMCH6IQ"],"itemData":{"id":114,"type":"article-journal","abstract":"The Corsi Block-Tapping Task measures visuospatial short-term and working memory, but a standardized backward condition is lacking. The authors present a standardized backward procedure that was examined in 246 healthy older adults (ages 50 to 92), comparing the results with the Digit Span subtest of the Wechsler Adult Intelligence Scale— Third Edition. Principal component analysis resulted in a two-factor model, dissociating a verbal and a spatial working-memory factor. Also the Corsi backward is not more difficult than the Corsi forward, in contrast to the Digit Span backward that is more difficult than the Digit Span forward. This may suggest that the Corsi Block-Tapping Task backward task relies on processing within working-memory's slave systems, whereas the Digit Span backward also relies on the central executive component of working memory. Finally, regression-based normative data and cutoff scores for older adults are presented for use in clinical practice.","container-title":"Assessment","DOI":"10.1177/1073191108315611","ISSN":"1073-1911","issue":"4","journalAbbreviation":"Assessment","language":"en","page":"426-434","source":"SAGE Journals","title":"The Backward Span of the Corsi Block-Tapping Task and Its Association With the WAIS-III Digit Span","volume":"15","author":[{"family":"Kessels","given":"Roy P. C."},{"family":"Berg","given":"Esther","non-dropping-particle":"van den"},{"family":"Ruis","given":"Carla"},{"family":"Brands","given":"Augustina M. A."}],"issued":{"date-parts":[["2008",12,1]]}}},{"id":113,"uris":["http://zotero.org/users/2472632/items/59PY7U7P"],"uri":["http://zotero.org/users/2472632/items/59PY7U7P"],"itemData":{"id":113,"type":"article-journal","abstract":"This article describes a standardized administration and scoring procedure for the widely used Corsi Block-Tapping Task, designed to assess the visual memory span. This method was applied in a group of healthy participants (n = 70) and a group of patients with cerebral lesions (n = 70), that were categorized on the basis of lesion location (left or right hemisphere, bilateral or subcortical). The percentile distribution as well as cutoff points on the basis of the control data are provided. It was found that 20% of the patients perform in the borderline range on this task, and over 8% have an impaired performance (\"retarded\"). In addition, right hemisphere patients performed worse than left hemisphere patients. These data show that the Corsi Block-Tapping Task can be effectively used to assess visuospatial short-term memory in patients with brain damage, and is selective for the side of the lesion.","container-title":"Applied Neuropsychology","DOI":"10.1207/S15324826AN0704_8","ISSN":"0908-4282","issue":"4","note":"PMID: 11296689","page":"252-258","source":"Taylor and Francis+NEJM","title":"The Corsi Block-Tapping Task: Standardization and Normative Data","title-short":"The Corsi Block-Tapping Task","volume":"7","author":[{"family":"Kessels","given":"Roy P. C."},{"family":"Zandvoort","given":"Martine J. E.","dropping-particle":"van"},{"family":"Postma","given":"Albert"},{"family":"Kappelle","given":"L. Jaap"},{"family":"Haan","given":"Edward H. F.","dropping-particle":"de"}],"issued":{"date-parts":[["2000",12,1]]}}}],"schema":"https://github.com/citation-style-language/schema/raw/master/csl-citation.json"} </w:instrText>
      </w:r>
      <w:r w:rsidRPr="0065639A">
        <w:fldChar w:fldCharType="separate"/>
      </w:r>
      <w:r w:rsidRPr="0065639A">
        <w:rPr>
          <w:rFonts w:ascii="Calibri" w:hAnsi="Calibri" w:cs="Calibri"/>
        </w:rPr>
        <w:t>Kessels et al., 2000, 2008)</w:t>
      </w:r>
      <w:r w:rsidRPr="0065639A">
        <w:fldChar w:fldCharType="end"/>
      </w:r>
      <w:r w:rsidRPr="0065639A">
        <w:t xml:space="preserve">. In up to eight trials of spans increasing by +1, participants were shown a visual array of nine blocks on a screen which ‘lit up’ in a fixed sequence. Participants were instructed to use the mouse to click the blocks in the same order as the lighting-up sequence (forward span) or in reverse order (backward span). The sequence length started at two, increasing </w:t>
      </w:r>
      <w:r w:rsidRPr="0065639A">
        <w:lastRenderedPageBreak/>
        <w:t xml:space="preserve">by one up to a maximum of eight. The task terminated when participants gave incorrect responses to two trials of the same span. Each participant’s longest backward span was used as an index of WM </w:t>
      </w:r>
      <w:r w:rsidRPr="0065639A">
        <w:fldChar w:fldCharType="begin"/>
      </w:r>
      <w:r w:rsidRPr="0065639A">
        <w:instrText xml:space="preserve"> ADDIN ZOTERO_ITEM CSL_CITATION {"citationID":"DLC0BiUD","properties":{"formattedCitation":"(Kessels et al., 2000, 2008)","plainCitation":"(Kessels et al., 2000, 2008)","noteIndex":0},"citationItems":[{"id":113,"uris":["http://zotero.org/users/2472632/items/59PY7U7P"],"uri":["http://zotero.org/users/2472632/items/59PY7U7P"],"itemData":{"id":113,"type":"article-journal","abstract":"This article describes a standardized administration and scoring procedure for the widely used Corsi Block-Tapping Task, designed to assess the visual memory span. This method was applied in a group of healthy participants (n = 70) and a group of patients with cerebral lesions (n = 70), that were categorized on the basis of lesion location (left or right hemisphere, bilateral or subcortical). The percentile distribution as well as cutoff points on the basis of the control data are provided. It was found that 20% of the patients perform in the borderline range on this task, and over 8% have an impaired performance (\"retarded\"). In addition, right hemisphere patients performed worse than left hemisphere patients. These data show that the Corsi Block-Tapping Task can be effectively used to assess visuospatial short-term memory in patients with brain damage, and is selective for the side of the lesion.","container-title":"Applied Neuropsychology","DOI":"10.1207/S15324826AN0704_8","ISSN":"0908-4282","issue":"4","note":"PMID: 11296689","page":"252-258","source":"Taylor and Francis+NEJM","title":"The Corsi Block-Tapping Task: Standardization and Normative Data","title-short":"The Corsi Block-Tapping Task","volume":"7","author":[{"family":"Kessels","given":"Roy P. C."},{"family":"Zandvoort","given":"Martine J. E.","dropping-particle":"van"},{"family":"Postma","given":"Albert"},{"family":"Kappelle","given":"L. Jaap"},{"family":"Haan","given":"Edward H. F.","dropping-particle":"de"}],"issued":{"date-parts":[["2000",12,1]]}}},{"id":114,"uris":["http://zotero.org/users/2472632/items/QKMCH6IQ"],"uri":["http://zotero.org/users/2472632/items/QKMCH6IQ"],"itemData":{"id":114,"type":"article-journal","abstract":"The Corsi Block-Tapping Task measures visuospatial short-term and working memory, but a standardized backward condition is lacking. The authors present a standardized backward procedure that was examined in 246 healthy older adults (ages 50 to 92), comparing the results with the Digit Span subtest of the Wechsler Adult Intelligence Scale— Third Edition. Principal component analysis resulted in a two-factor model, dissociating a verbal and a spatial working-memory factor. Also the Corsi backward is not more difficult than the Corsi forward, in contrast to the Digit Span backward that is more difficult than the Digit Span forward. This may suggest that the Corsi Block-Tapping Task backward task relies on processing within working-memory's slave systems, whereas the Digit Span backward also relies on the central executive component of working memory. Finally, regression-based normative data and cutoff scores for older adults are presented for use in clinical practice.","container-title":"Assessment","DOI":"10.1177/1073191108315611","ISSN":"1073-1911","issue":"4","journalAbbreviation":"Assessment","language":"en","page":"426-434","source":"SAGE Journals","title":"The Backward Span of the Corsi Block-Tapping Task and Its Association With the WAIS-III Digit Span","volume":"15","author":[{"family":"Kessels","given":"Roy P. C."},{"family":"Berg","given":"Esther","non-dropping-particle":"van den"},{"family":"Ruis","given":"Carla"},{"family":"Brands","given":"Augustina M. A."}],"issued":{"date-parts":[["2008",12,1]]}}}],"schema":"https://github.com/citation-style-language/schema/raw/master/csl-citation.json"} </w:instrText>
      </w:r>
      <w:r w:rsidRPr="0065639A">
        <w:fldChar w:fldCharType="separate"/>
      </w:r>
      <w:r w:rsidRPr="0065639A">
        <w:rPr>
          <w:rFonts w:ascii="Calibri" w:hAnsi="Calibri" w:cs="Calibri"/>
        </w:rPr>
        <w:t>(Kessels et al., 2000, 2008)</w:t>
      </w:r>
      <w:r w:rsidRPr="0065639A">
        <w:fldChar w:fldCharType="end"/>
      </w:r>
      <w:r w:rsidRPr="0065639A">
        <w:t xml:space="preserve">. Online measures are reported to have good convergent validity with standard (i.e., non-online) Corsi Block tasks </w:t>
      </w:r>
      <w:r w:rsidRPr="0065639A">
        <w:fldChar w:fldCharType="begin"/>
      </w:r>
      <w:r w:rsidRPr="0065639A">
        <w:instrText xml:space="preserve"> ADDIN ZOTERO_ITEM CSL_CITATION {"citationID":"MY9lpFAV","properties":{"formattedCitation":"(Siddi et al., 2020)","plainCitation":"(Siddi et al., 2020)","noteIndex":0},"citationItems":[{"id":3108,"uris":["http://zotero.org/users/2472632/items/A37MIQAQ"],"uri":["http://zotero.org/users/2472632/items/A37MIQAQ"],"itemData":{"id":3108,"type":"article-journal","abstract":"Working memory (WM) refers to the capacity system for temporary storage and processing of information, which is known to depend on the integrity of the prefrontal cortex. Impairment in working memory is a core cognitive deficit among individuals with psychotic disorders. The Corsi block-tapping test is a widely-used instrument to assess visuospatial working memory. The traditional version is composed of 9 square blocks positioned on a physical board. In recent years, the number of digital instruments has increased significantly; several advantages might derive from the use of a digital version of the Corsi test.","container-title":"BMC Psychiatry","DOI":"10.1186/s12888-020-02716-8","ISSN":"1471-244X","issue":"1","journalAbbreviation":"BMC Psychiatry","page":"329","source":"BioMed Central","title":"Comparison of the touch-screen and traditional versions of the Corsi block-tapping test in patients with psychosis and healthy controls","volume":"20","author":[{"family":"Siddi","given":"Sara"},{"family":"Preti","given":"Antonio"},{"family":"Lara","given":"Elvira"},{"family":"Brébion","given":"Gildas"},{"family":"Vila","given":"Regina"},{"family":"Iglesias","given":"Maria"},{"family":"Cuevas-Esteban","given":"Jorge"},{"family":"López-Carrilero","given":"Raquel"},{"family":"Butjosa","given":"Anna"},{"family":"Haro","given":"Josep Maria"}],"issued":{"date-parts":[["2020",6,23]]}}}],"schema":"https://github.com/citation-style-language/schema/raw/master/csl-citation.json"} </w:instrText>
      </w:r>
      <w:r w:rsidRPr="0065639A">
        <w:fldChar w:fldCharType="separate"/>
      </w:r>
      <w:r w:rsidRPr="0065639A">
        <w:rPr>
          <w:rFonts w:ascii="Calibri" w:hAnsi="Calibri" w:cs="Calibri"/>
        </w:rPr>
        <w:t>(e.g., Siddi et al., 2020)</w:t>
      </w:r>
      <w:r w:rsidRPr="0065639A">
        <w:fldChar w:fldCharType="end"/>
      </w:r>
      <w:r w:rsidRPr="0065639A">
        <w:t xml:space="preserve">, and with split-half reliability reported to be moderate </w:t>
      </w:r>
      <w:r w:rsidRPr="0065639A">
        <w:fldChar w:fldCharType="begin"/>
      </w:r>
      <w:r w:rsidRPr="0065639A">
        <w:instrText xml:space="preserve"> ADDIN ZOTERO_ITEM CSL_CITATION {"citationID":"dzl4ROGC","properties":{"formattedCitation":"(de Paula et al., 2016)","plainCitation":"(de Paula et al., 2016)","noteIndex":0},"citationItems":[{"id":3105,"uris":["http://zotero.org/users/2472632/items/U5ZZDWYF"],"uri":["http://zotero.org/users/2472632/items/U5ZZDWYF"],"itemData":{"id":3105,"type":"article-journal","container-title":"Brazilian Journal of Psychiatry","DOI":"10.1590/1516-4446-2015-1879","ISSN":"1516-4446","issue":"3","language":"en","note":"publisher: Associação Brasileira de Psiquiatria","page":"262-263","source":"SciELO","title":"Reliability of working memory assessment in neurocognitive disorders: a study of the Digit Span and Corsi Block-Tapping tasks","title-short":"Reliability of working memory assessment in neurocognitive disorders","volume":"38","author":[{"family":"Paula","given":"Jonas J.","non-dropping-particle":"de"},{"family":"Malloy-Diniz","given":"Leandro F."},{"family":"Romano-Silva","given":"Marco A."},{"family":"Paula","given":"Jonas J.","non-dropping-particle":"de"},{"family":"Malloy-Diniz","given":"Leandro F."},{"family":"Romano-Silva","given":"Marco A."}],"issued":{"date-parts":[["2016",9]]}}}],"schema":"https://github.com/citation-style-language/schema/raw/master/csl-citation.json"} </w:instrText>
      </w:r>
      <w:r w:rsidRPr="0065639A">
        <w:fldChar w:fldCharType="separate"/>
      </w:r>
      <w:r w:rsidRPr="0065639A">
        <w:rPr>
          <w:rFonts w:ascii="Calibri" w:hAnsi="Calibri" w:cs="Calibri"/>
        </w:rPr>
        <w:t>(0.78; de Paula et al., 2016)</w:t>
      </w:r>
      <w:r w:rsidRPr="0065639A">
        <w:fldChar w:fldCharType="end"/>
      </w:r>
      <w:r w:rsidRPr="0065639A">
        <w:t>.</w:t>
      </w:r>
    </w:p>
    <w:p w14:paraId="590068D2" w14:textId="77777777" w:rsidR="0065639A" w:rsidRPr="0065639A" w:rsidRDefault="0065639A" w:rsidP="0065639A">
      <w:pPr>
        <w:pStyle w:val="Heading3"/>
      </w:pPr>
      <w:r w:rsidRPr="0065639A">
        <w:t>Theory of Mind</w:t>
      </w:r>
    </w:p>
    <w:p w14:paraId="7FC2207E" w14:textId="77777777" w:rsidR="0065639A" w:rsidRPr="0065639A" w:rsidRDefault="0065639A" w:rsidP="0065639A">
      <w:pPr>
        <w:spacing w:after="0"/>
        <w:contextualSpacing/>
      </w:pPr>
      <w:r w:rsidRPr="0065639A">
        <w:t xml:space="preserve">The Adult Theory of Mind (A-ToM) test </w:t>
      </w:r>
      <w:r w:rsidRPr="0065639A">
        <w:fldChar w:fldCharType="begin"/>
      </w:r>
      <w:r w:rsidRPr="0065639A">
        <w:instrText xml:space="preserve"> ADDIN ZOTERO_ITEM CSL_CITATION {"citationID":"l6PolhJ2","properties":{"formattedCitation":"(Brewer et al., 2017)","plainCitation":"(Brewer et al., 2017)","noteIndex":0},"citationItems":[{"id":890,"uris":["http://zotero.org/users/2472632/items/WIEC245Z"],"uri":["http://zotero.org/users/2472632/items/WIEC245Z"],"itemData":{"id":890,"type":"article-journal","abstract":"Deficits in Theory of Mind (ToM)—the ability to interpret others’ beliefs, intentions and emotions—undermine the ability of individuals with Autism Spectrum Disorder (ASD) to interact in socially normative ways. This study provides psychometric data for the Adult-Theory of Mind (A-ToM) measure using video-scenarios based in part on Happé’s (Instructions for theory of mind story task, 1999) Strange Stories test. The final items discriminated IQ-matched adults with ASD from controls on the social but not the physical items. Additional validity data included a two-component principal components solution, correlations with existing ToM scales, and the absence of correlations with self-report measures of empathy and social anxiety (not requiring inferences about the intent of others). The expected group differences in ToM were accompanied by marked variability in the ASD sample.","container-title":"Journal of Autism and Developmental Disorders","DOI":"10.1007/s10803-017-3080-x","ISSN":"1573-3432","issue":"7","journalAbbreviation":"J Autism Dev Disord","language":"en","page":"1927-1941","source":"Springer Link","title":"Measuring Theory of Mind in Adults with Autism Spectrum Disorder","volume":"47","author":[{"family":"Brewer","given":"Neil"},{"family":"Young","given":"Robyn L."},{"family":"Barnett","given":"Emily"}],"issued":{"date-parts":[["2017",7,1]]}}}],"schema":"https://github.com/citation-style-language/schema/raw/master/csl-citation.json"} </w:instrText>
      </w:r>
      <w:r w:rsidRPr="0065639A">
        <w:fldChar w:fldCharType="separate"/>
      </w:r>
      <w:r w:rsidRPr="0065639A">
        <w:t>(Brewer et al., 2017)</w:t>
      </w:r>
      <w:r w:rsidRPr="0065639A">
        <w:fldChar w:fldCharType="end"/>
      </w:r>
      <w:r w:rsidRPr="0065639A">
        <w:t xml:space="preserve"> was used to measure Theory of Mind (ToM). Following </w:t>
      </w:r>
      <w:r w:rsidRPr="0065639A">
        <w:fldChar w:fldCharType="begin"/>
      </w:r>
      <w:r w:rsidRPr="0065639A">
        <w:instrText xml:space="preserve"> ADDIN ZOTERO_ITEM CSL_CITATION {"citationID":"kibGf7qD","properties":{"formattedCitation":"(Brewer et al., 2017)","plainCitation":"(Brewer et al., 2017)","dontUpdate":true,"noteIndex":0},"citationItems":[{"id":890,"uris":["http://zotero.org/users/2472632/items/WIEC245Z"],"uri":["http://zotero.org/users/2472632/items/WIEC245Z"],"itemData":{"id":890,"type":"article-journal","abstract":"Deficits in Theory of Mind (ToM)—the ability to interpret others’ beliefs, intentions and emotions—undermine the ability of individuals with Autism Spectrum Disorder (ASD) to interact in socially normative ways. This study provides psychometric data for the Adult-Theory of Mind (A-ToM) measure using video-scenarios based in part on Happé’s (Instructions for theory of mind story task, 1999) Strange Stories test. The final items discriminated IQ-matched adults with ASD from controls on the social but not the physical items. Additional validity data included a two-component principal components solution, correlations with existing ToM scales, and the absence of correlations with self-report measures of empathy and social anxiety (not requiring inferences about the intent of others). The expected group differences in ToM were accompanied by marked variability in the ASD sample.","container-title":"Journal of Autism and Developmental Disorders","DOI":"10.1007/s10803-017-3080-x","ISSN":"1573-3432","issue":"7","journalAbbreviation":"J Autism Dev Disord","language":"en","page":"1927-1941","source":"Springer Link","title":"Measuring Theory of Mind in Adults with Autism Spectrum Disorder","volume":"47","author":[{"family":"Brewer","given":"Neil"},{"family":"Young","given":"Robyn L."},{"family":"Barnett","given":"Emily"}],"issued":{"date-parts":[["2017",7,1]]}}}],"schema":"https://github.com/citation-style-language/schema/raw/master/csl-citation.json"} </w:instrText>
      </w:r>
      <w:r w:rsidRPr="0065639A">
        <w:fldChar w:fldCharType="separate"/>
      </w:r>
      <w:r w:rsidRPr="0065639A">
        <w:t>Brewer et al. (2017)</w:t>
      </w:r>
      <w:r w:rsidRPr="0065639A">
        <w:fldChar w:fldCharType="end"/>
      </w:r>
      <w:r w:rsidRPr="0065639A">
        <w:t xml:space="preserve">, participants watched six videos of social situations (e.g., involving </w:t>
      </w:r>
      <w:r w:rsidRPr="0065639A">
        <w:rPr>
          <w:i/>
        </w:rPr>
        <w:t>faux pas</w:t>
      </w:r>
      <w:r w:rsidRPr="0065639A">
        <w:t xml:space="preserve">, sarcasm, white lies, etc.) and six physical videos (situations which did not require consideration of mental states; e.g., comparing interest rates offered by a bank and car finance) which played in a randomised order via Qualtrics. One question about what they had seen in the video was displayed on-screen immediately after the video ended, and participants were asked to type their response within 60 seconds. Participants’ answers were rated by two independent raters on a 0–2 scale: 0 (incorrect), 1 (partially correct) or 2 (correct) (see </w:t>
      </w:r>
      <w:r w:rsidRPr="0065639A">
        <w:fldChar w:fldCharType="begin"/>
      </w:r>
      <w:r w:rsidRPr="0065639A">
        <w:instrText xml:space="preserve"> ADDIN ZOTERO_ITEM CSL_CITATION {"citationID":"OrOoAwoZ","properties":{"formattedCitation":"(Brewer et al., 2017)","plainCitation":"(Brewer et al., 2017)","dontUpdate":true,"noteIndex":0},"citationItems":[{"id":890,"uris":["http://zotero.org/users/2472632/items/WIEC245Z"],"uri":["http://zotero.org/users/2472632/items/WIEC245Z"],"itemData":{"id":890,"type":"article-journal","abstract":"Deficits in Theory of Mind (ToM)—the ability to interpret others’ beliefs, intentions and emotions—undermine the ability of individuals with Autism Spectrum Disorder (ASD) to interact in socially normative ways. This study provides psychometric data for the Adult-Theory of Mind (A-ToM) measure using video-scenarios based in part on Happé’s (Instructions for theory of mind story task, 1999) Strange Stories test. The final items discriminated IQ-matched adults with ASD from controls on the social but not the physical items. Additional validity data included a two-component principal components solution, correlations with existing ToM scales, and the absence of correlations with self-report measures of empathy and social anxiety (not requiring inferences about the intent of others). The expected group differences in ToM were accompanied by marked variability in the ASD sample.","container-title":"Journal of Autism and Developmental Disorders","DOI":"10.1007/s10803-017-3080-x","ISSN":"1573-3432","issue":"7","journalAbbreviation":"J Autism Dev Disord","language":"en","page":"1927-1941","source":"Springer Link","title":"Measuring Theory of Mind in Adults with Autism Spectrum Disorder","volume":"47","author":[{"family":"Brewer","given":"Neil"},{"family":"Young","given":"Robyn L."},{"family":"Barnett","given":"Emily"}],"issued":{"date-parts":[["2017",7,1]]}}}],"schema":"https://github.com/citation-style-language/schema/raw/master/csl-citation.json"} </w:instrText>
      </w:r>
      <w:r w:rsidRPr="0065639A">
        <w:fldChar w:fldCharType="separate"/>
      </w:r>
      <w:r w:rsidRPr="0065639A">
        <w:rPr>
          <w:rFonts w:ascii="Calibri" w:hAnsi="Calibri" w:cs="Calibri"/>
        </w:rPr>
        <w:t>Brewer et al., 2017</w:t>
      </w:r>
      <w:r w:rsidRPr="0065639A">
        <w:fldChar w:fldCharType="end"/>
      </w:r>
      <w:r w:rsidRPr="0065639A">
        <w:t xml:space="preserve"> for scoring criteria). Each rater pair met to discuss discrepancies in coding and agreed all final scores. Test retest reliability are reported at </w:t>
      </w:r>
      <w:r w:rsidRPr="0065639A">
        <w:rPr>
          <w:i/>
          <w:iCs/>
        </w:rPr>
        <w:t>r</w:t>
      </w:r>
      <w:r w:rsidRPr="0065639A">
        <w:t xml:space="preserve"> = .82 for the physical scale, and </w:t>
      </w:r>
      <w:r w:rsidRPr="0065639A">
        <w:rPr>
          <w:i/>
          <w:iCs/>
        </w:rPr>
        <w:t>r</w:t>
      </w:r>
      <w:r w:rsidRPr="0065639A">
        <w:t xml:space="preserve"> = .64 for the social scales </w:t>
      </w:r>
      <w:r w:rsidRPr="0065639A">
        <w:fldChar w:fldCharType="begin"/>
      </w:r>
      <w:r w:rsidRPr="0065639A">
        <w:instrText xml:space="preserve"> ADDIN ZOTERO_ITEM CSL_CITATION {"citationID":"6WaTJ8tT","properties":{"formattedCitation":"(Brewer et al., 2017)","plainCitation":"(Brewer et al., 2017)","noteIndex":0},"citationItems":[{"id":890,"uris":["http://zotero.org/users/2472632/items/WIEC245Z"],"uri":["http://zotero.org/users/2472632/items/WIEC245Z"],"itemData":{"id":890,"type":"article-journal","abstract":"Deficits in Theory of Mind (ToM)—the ability to interpret others’ beliefs, intentions and emotions—undermine the ability of individuals with Autism Spectrum Disorder (ASD) to interact in socially normative ways. This study provides psychometric data for the Adult-Theory of Mind (A-ToM) measure using video-scenarios based in part on Happé’s (Instructions for theory of mind story task, 1999) Strange Stories test. The final items discriminated IQ-matched adults with ASD from controls on the social but not the physical items. Additional validity data included a two-component principal components solution, correlations with existing ToM scales, and the absence of correlations with self-report measures of empathy and social anxiety (not requiring inferences about the intent of others). The expected group differences in ToM were accompanied by marked variability in the ASD sample.","container-title":"Journal of Autism and Developmental Disorders","DOI":"10.1007/s10803-017-3080-x","ISSN":"1573-3432","issue":"7","journalAbbreviation":"J Autism Dev Disord","language":"en","page":"1927-1941","source":"Springer Link","title":"Measuring Theory of Mind in Adults with Autism Spectrum Disorder","volume":"47","author":[{"family":"Brewer","given":"Neil"},{"family":"Young","given":"Robyn L."},{"family":"Barnett","given":"Emily"}],"issued":{"date-parts":[["2017",7,1]]}}}],"schema":"https://github.com/citation-style-language/schema/raw/master/csl-citation.json"} </w:instrText>
      </w:r>
      <w:r w:rsidRPr="0065639A">
        <w:fldChar w:fldCharType="separate"/>
      </w:r>
      <w:r w:rsidRPr="0065639A">
        <w:rPr>
          <w:rFonts w:ascii="Calibri" w:hAnsi="Calibri" w:cs="Calibri"/>
        </w:rPr>
        <w:t>(Brewer et al., 2017)</w:t>
      </w:r>
      <w:r w:rsidRPr="0065639A">
        <w:fldChar w:fldCharType="end"/>
      </w:r>
      <w:r w:rsidRPr="0065639A">
        <w:t>.</w:t>
      </w:r>
    </w:p>
    <w:p w14:paraId="55658AAB" w14:textId="77777777" w:rsidR="0065639A" w:rsidRPr="0065639A" w:rsidRDefault="0065639A" w:rsidP="0065639A">
      <w:pPr>
        <w:pStyle w:val="Heading3"/>
      </w:pPr>
      <w:r w:rsidRPr="0065639A">
        <w:t>Expressive language</w:t>
      </w:r>
    </w:p>
    <w:p w14:paraId="33859691" w14:textId="77777777" w:rsidR="0065639A" w:rsidRPr="0065639A" w:rsidRDefault="0065639A" w:rsidP="0065639A">
      <w:pPr>
        <w:spacing w:after="0"/>
        <w:contextualSpacing/>
      </w:pPr>
      <w:r w:rsidRPr="0065639A">
        <w:t xml:space="preserve">The Expression, Reception and Recall of Narrative Instrument (ERRNI; </w:t>
      </w:r>
      <w:r w:rsidRPr="0065639A">
        <w:fldChar w:fldCharType="begin"/>
      </w:r>
      <w:r w:rsidRPr="0065639A">
        <w:instrText xml:space="preserve"> ADDIN ZOTERO_ITEM CSL_CITATION {"citationID":"td2yH2t5","properties":{"formattedCitation":"(Bishop, 2004)","plainCitation":"(Bishop, 2004)","dontUpdate":true,"noteIndex":0},"citationItems":[{"id":150,"uris":["http://zotero.org/users/2472632/items/T4VR9KRW"],"uri":["http://zotero.org/users/2472632/items/T4VR9KRW"],"itemData":{"id":150,"type":"book","publisher":"Harcourt assessment","title":"Expression, Reception and Recall of Narrative Instrument: ERRNI","author":[{"family":"Bishop","given":"D. V"}],"issued":{"date-parts":[["2004"]]}}}],"schema":"https://github.com/citation-style-language/schema/raw/master/csl-citation.json"} </w:instrText>
      </w:r>
      <w:r w:rsidRPr="0065639A">
        <w:fldChar w:fldCharType="separate"/>
      </w:r>
      <w:r w:rsidRPr="0065639A">
        <w:t>Bishop, 2004)</w:t>
      </w:r>
      <w:r w:rsidRPr="0065639A">
        <w:fldChar w:fldCharType="end"/>
      </w:r>
      <w:r w:rsidRPr="0065639A">
        <w:t xml:space="preserve"> was used to measure expressive language.</w:t>
      </w:r>
      <w:r w:rsidRPr="0065639A">
        <w:rPr>
          <w:iCs/>
        </w:rPr>
        <w:t xml:space="preserve"> </w:t>
      </w:r>
      <w:r w:rsidRPr="0065639A">
        <w:rPr>
          <w:rFonts w:cstheme="minorHAnsi"/>
        </w:rPr>
        <w:t xml:space="preserve">For the ERRNI task, participants were provided with a wordless picture book and asked to silently view all the images until they had the story in their mind. They were then asked to narrate the story aloud, following the pictures. Then, after 15-30 minutes participants were again asked to tell the story out loud </w:t>
      </w:r>
      <w:r w:rsidRPr="0065639A">
        <w:rPr>
          <w:rFonts w:cstheme="minorHAnsi"/>
          <w:i/>
        </w:rPr>
        <w:t>without</w:t>
      </w:r>
      <w:r w:rsidRPr="0065639A">
        <w:rPr>
          <w:rFonts w:cstheme="minorHAnsi"/>
        </w:rPr>
        <w:t xml:space="preserve"> looking at the picture book. The current study focuses on the syntactic complexity of expressive language, indicated by Mean Length of Utterances scores (MLU; the mean number of words in each utterance) from the recall trial. </w:t>
      </w:r>
    </w:p>
    <w:p w14:paraId="26EE075A" w14:textId="77777777" w:rsidR="0065639A" w:rsidRPr="0065639A" w:rsidRDefault="0065639A" w:rsidP="0065639A">
      <w:pPr>
        <w:pStyle w:val="Heading2"/>
      </w:pPr>
      <w:r w:rsidRPr="0065639A">
        <w:t>Procedure</w:t>
      </w:r>
    </w:p>
    <w:p w14:paraId="149CD6E6" w14:textId="77777777" w:rsidR="0065639A" w:rsidRPr="0065639A" w:rsidRDefault="0065639A" w:rsidP="0065639A">
      <w:pPr>
        <w:spacing w:after="0"/>
        <w:contextualSpacing/>
      </w:pPr>
      <w:r w:rsidRPr="0065639A">
        <w:t xml:space="preserve">The current study included data from 57 participants who were administered tests of executive functioning, ToM, and language during the studies, conducted over a two-year period. Thirty-three of the participants (18 autistic, 15 TD) took part in both studies, and 24 in the ABM study only (10 autistic, 14 TD). The tests were administered after the episodic memory task in each study, and participants were able to take breaks when required. During the study of </w:t>
      </w:r>
      <w:r w:rsidRPr="0065639A">
        <w:rPr>
          <w:i/>
          <w:iCs/>
        </w:rPr>
        <w:t xml:space="preserve">Recall specificity </w:t>
      </w:r>
      <w:r w:rsidRPr="0065639A">
        <w:rPr>
          <w:i/>
          <w:iCs/>
        </w:rPr>
        <w:lastRenderedPageBreak/>
        <w:t>in police, healthcare, and job interviews</w:t>
      </w:r>
      <w:r w:rsidRPr="0065639A">
        <w:t xml:space="preserve">, participants were administered the ERRNI, inhibition, </w:t>
      </w:r>
      <w:r w:rsidRPr="0065639A">
        <w:rPr>
          <w:rFonts w:cstheme="minorHAnsi"/>
        </w:rPr>
        <w:t>WM</w:t>
      </w:r>
      <w:r w:rsidRPr="0065639A">
        <w:t xml:space="preserve">, and ToM tasks. For </w:t>
      </w:r>
      <w:r w:rsidRPr="0065639A">
        <w:rPr>
          <w:i/>
        </w:rPr>
        <w:t xml:space="preserve">Recall quality in employment interviews </w:t>
      </w:r>
      <w:r w:rsidRPr="0065639A">
        <w:rPr>
          <w:iCs/>
        </w:rPr>
        <w:t>study</w:t>
      </w:r>
      <w:r w:rsidRPr="0065639A">
        <w:t xml:space="preserve">, the inhibition and WM tests were administered to any participants who had not previously completed them. </w:t>
      </w:r>
    </w:p>
    <w:p w14:paraId="14EE1AFE" w14:textId="77777777" w:rsidR="002874D2" w:rsidRDefault="002874D2" w:rsidP="0065639A"/>
    <w:sectPr w:rsidR="002874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83618" w14:textId="77777777" w:rsidR="00DA1B41" w:rsidRDefault="00DA1B41" w:rsidP="0065639A">
      <w:pPr>
        <w:spacing w:after="0" w:line="240" w:lineRule="auto"/>
      </w:pPr>
      <w:r>
        <w:separator/>
      </w:r>
    </w:p>
  </w:endnote>
  <w:endnote w:type="continuationSeparator" w:id="0">
    <w:p w14:paraId="1EF4D2A8" w14:textId="77777777" w:rsidR="00DA1B41" w:rsidRDefault="00DA1B41" w:rsidP="0065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17F5C" w14:textId="77777777" w:rsidR="00DA1B41" w:rsidRDefault="00DA1B41" w:rsidP="0065639A">
      <w:pPr>
        <w:spacing w:after="0" w:line="240" w:lineRule="auto"/>
      </w:pPr>
      <w:r>
        <w:separator/>
      </w:r>
    </w:p>
  </w:footnote>
  <w:footnote w:type="continuationSeparator" w:id="0">
    <w:p w14:paraId="24DA8698" w14:textId="77777777" w:rsidR="00DA1B41" w:rsidRDefault="00DA1B41" w:rsidP="0065639A">
      <w:pPr>
        <w:spacing w:after="0" w:line="240" w:lineRule="auto"/>
      </w:pPr>
      <w:r>
        <w:continuationSeparator/>
      </w:r>
    </w:p>
  </w:footnote>
  <w:footnote w:id="1">
    <w:p w14:paraId="40C86D9A" w14:textId="77777777" w:rsidR="0090398F" w:rsidRPr="006B0DB0" w:rsidRDefault="0090398F" w:rsidP="0090398F">
      <w:pPr>
        <w:pStyle w:val="FootnoteText"/>
        <w:rPr>
          <w:lang w:val="en-US"/>
        </w:rPr>
      </w:pPr>
      <w:r w:rsidRPr="00AE6A31">
        <w:rPr>
          <w:rStyle w:val="FootnoteReference"/>
          <w:sz w:val="18"/>
          <w:szCs w:val="18"/>
        </w:rPr>
        <w:footnoteRef/>
      </w:r>
      <w:r w:rsidRPr="00AE6A31">
        <w:rPr>
          <w:sz w:val="18"/>
          <w:szCs w:val="18"/>
        </w:rPr>
        <w:t xml:space="preserve"> </w:t>
      </w:r>
      <w:r w:rsidRPr="00AE6A31">
        <w:rPr>
          <w:sz w:val="18"/>
          <w:szCs w:val="18"/>
          <w:lang w:val="en-US"/>
        </w:rPr>
        <w:t>See original papers for full methods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9A"/>
    <w:rsid w:val="00043E17"/>
    <w:rsid w:val="002874D2"/>
    <w:rsid w:val="003D6AAB"/>
    <w:rsid w:val="00402DEF"/>
    <w:rsid w:val="00454ABA"/>
    <w:rsid w:val="0065639A"/>
    <w:rsid w:val="0090398F"/>
    <w:rsid w:val="0092669B"/>
    <w:rsid w:val="00DA1B41"/>
    <w:rsid w:val="00F96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40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39A"/>
    <w:pPr>
      <w:spacing w:line="360" w:lineRule="auto"/>
      <w:ind w:firstLine="720"/>
    </w:pPr>
  </w:style>
  <w:style w:type="paragraph" w:styleId="Heading1">
    <w:name w:val="heading 1"/>
    <w:basedOn w:val="Normal"/>
    <w:next w:val="Normal"/>
    <w:link w:val="Heading1Char"/>
    <w:uiPriority w:val="9"/>
    <w:qFormat/>
    <w:rsid w:val="0065639A"/>
    <w:pPr>
      <w:keepNext/>
      <w:keepLines/>
      <w:pageBreakBefore/>
      <w:spacing w:before="360" w:after="240"/>
      <w:ind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5639A"/>
    <w:pPr>
      <w:keepNext/>
      <w:keepLines/>
      <w:spacing w:before="360" w:after="240"/>
      <w:ind w:firstLine="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5639A"/>
    <w:pPr>
      <w:keepNext/>
      <w:keepLines/>
      <w:spacing w:before="240" w:after="12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39A"/>
    <w:rPr>
      <w:rFonts w:eastAsiaTheme="majorEastAsia" w:cstheme="majorBidi"/>
      <w:b/>
      <w:szCs w:val="32"/>
    </w:rPr>
  </w:style>
  <w:style w:type="character" w:customStyle="1" w:styleId="Heading2Char">
    <w:name w:val="Heading 2 Char"/>
    <w:basedOn w:val="DefaultParagraphFont"/>
    <w:link w:val="Heading2"/>
    <w:uiPriority w:val="9"/>
    <w:rsid w:val="0065639A"/>
    <w:rPr>
      <w:rFonts w:eastAsiaTheme="majorEastAsia" w:cstheme="majorBidi"/>
      <w:b/>
      <w:szCs w:val="26"/>
    </w:rPr>
  </w:style>
  <w:style w:type="character" w:customStyle="1" w:styleId="Heading3Char">
    <w:name w:val="Heading 3 Char"/>
    <w:basedOn w:val="DefaultParagraphFont"/>
    <w:link w:val="Heading3"/>
    <w:uiPriority w:val="9"/>
    <w:rsid w:val="0065639A"/>
    <w:rPr>
      <w:rFonts w:eastAsiaTheme="majorEastAsia" w:cstheme="majorBidi"/>
      <w:i/>
      <w:szCs w:val="24"/>
    </w:rPr>
  </w:style>
  <w:style w:type="character" w:styleId="Hyperlink">
    <w:name w:val="Hyperlink"/>
    <w:basedOn w:val="DefaultParagraphFont"/>
    <w:uiPriority w:val="99"/>
    <w:unhideWhenUsed/>
    <w:rsid w:val="0065639A"/>
    <w:rPr>
      <w:color w:val="0000FF"/>
      <w:u w:val="single"/>
    </w:rPr>
  </w:style>
  <w:style w:type="table" w:styleId="TableGrid">
    <w:name w:val="Table Grid"/>
    <w:basedOn w:val="TableNormal"/>
    <w:uiPriority w:val="39"/>
    <w:rsid w:val="00903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039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398F"/>
    <w:rPr>
      <w:sz w:val="20"/>
      <w:szCs w:val="20"/>
    </w:rPr>
  </w:style>
  <w:style w:type="character" w:styleId="FootnoteReference">
    <w:name w:val="footnote reference"/>
    <w:basedOn w:val="DefaultParagraphFont"/>
    <w:uiPriority w:val="99"/>
    <w:semiHidden/>
    <w:unhideWhenUsed/>
    <w:rsid w:val="0090398F"/>
    <w:rPr>
      <w:vertAlign w:val="superscript"/>
    </w:rPr>
  </w:style>
  <w:style w:type="paragraph" w:styleId="Header">
    <w:name w:val="header"/>
    <w:basedOn w:val="Normal"/>
    <w:link w:val="HeaderChar"/>
    <w:uiPriority w:val="99"/>
    <w:unhideWhenUsed/>
    <w:rsid w:val="00402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DEF"/>
  </w:style>
  <w:style w:type="paragraph" w:styleId="Footer">
    <w:name w:val="footer"/>
    <w:basedOn w:val="Normal"/>
    <w:link w:val="FooterChar"/>
    <w:uiPriority w:val="99"/>
    <w:unhideWhenUsed/>
    <w:rsid w:val="00402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isecond.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8082</Words>
  <Characters>46074</Characters>
  <Application>Microsoft Office Word</Application>
  <DocSecurity>0</DocSecurity>
  <Lines>383</Lines>
  <Paragraphs>108</Paragraphs>
  <ScaleCrop>false</ScaleCrop>
  <Company/>
  <LinksUpToDate>false</LinksUpToDate>
  <CharactersWithSpaces>54048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2021-06-25T09:19:00Z</dcterms:created>
  <dcterms:modified xsi:type="dcterms:W3CDTF">2021-06-25T09:19:00Z</dcterms:modified>
</cp:coreProperties>
</file>