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1660A" w14:textId="77777777" w:rsidR="0049218A" w:rsidRDefault="0049218A" w:rsidP="00FE6031">
      <w:pPr>
        <w:pStyle w:val="IntenseQuote"/>
      </w:pPr>
      <w:r>
        <w:t>Metadata Record</w:t>
      </w:r>
    </w:p>
    <w:p w14:paraId="3B5271D5" w14:textId="77777777" w:rsidR="00820FF4" w:rsidRDefault="005109D6" w:rsidP="00FE6031">
      <w:pPr>
        <w:pStyle w:val="IntenseQuote"/>
      </w:pPr>
      <w:r>
        <w:t xml:space="preserve">Local Authorities &amp; Sustainable Energy Innovations </w:t>
      </w:r>
    </w:p>
    <w:p w14:paraId="0F209E5F" w14:textId="77B02398" w:rsidR="0049218A" w:rsidRPr="00540F49" w:rsidRDefault="005109D6" w:rsidP="00FE6031">
      <w:pPr>
        <w:pStyle w:val="IntenseQuote"/>
      </w:pPr>
      <w:r>
        <w:t>ESRC Grant N</w:t>
      </w:r>
      <w:r w:rsidR="0049218A">
        <w:t xml:space="preserve">umber: </w:t>
      </w:r>
      <w:r w:rsidR="0049218A" w:rsidRPr="00540F49">
        <w:rPr>
          <w:rFonts w:ascii="Calibri" w:eastAsia="Times New Roman" w:hAnsi="Calibri" w:cs="Calibri"/>
          <w:color w:val="201F1E"/>
          <w:sz w:val="22"/>
          <w:szCs w:val="22"/>
          <w:lang w:eastAsia="en-GB"/>
        </w:rPr>
        <w:t>ES/N017765/1</w:t>
      </w:r>
    </w:p>
    <w:p w14:paraId="6E2EDABB" w14:textId="77777777" w:rsidR="00AD15A6" w:rsidRDefault="00AD15A6" w:rsidP="004D2A7B">
      <w:r w:rsidRPr="00AD15A6">
        <w:rPr>
          <w:b/>
          <w:bCs/>
        </w:rPr>
        <w:t>Project Summary</w:t>
      </w:r>
      <w:r>
        <w:t>:</w:t>
      </w:r>
    </w:p>
    <w:p w14:paraId="4FCF0614" w14:textId="4F3DD3D2" w:rsidR="00AD15A6" w:rsidRPr="00787009" w:rsidRDefault="00321098" w:rsidP="00CB238E">
      <w:pPr>
        <w:autoSpaceDE w:val="0"/>
        <w:autoSpaceDN w:val="0"/>
        <w:adjustRightInd w:val="0"/>
        <w:jc w:val="both"/>
        <w:rPr>
          <w:rFonts w:cstheme="minorHAnsi"/>
          <w:sz w:val="22"/>
          <w:szCs w:val="22"/>
        </w:rPr>
      </w:pPr>
      <w:r w:rsidRPr="00787009">
        <w:rPr>
          <w:rFonts w:cstheme="minorHAnsi"/>
          <w:sz w:val="22"/>
          <w:szCs w:val="22"/>
        </w:rPr>
        <w:t xml:space="preserve">Both energy and political landscapes are changing in the UK, but so </w:t>
      </w:r>
      <w:proofErr w:type="gramStart"/>
      <w:r w:rsidRPr="00787009">
        <w:rPr>
          <w:rFonts w:cstheme="minorHAnsi"/>
          <w:sz w:val="22"/>
          <w:szCs w:val="22"/>
        </w:rPr>
        <w:t>far</w:t>
      </w:r>
      <w:proofErr w:type="gramEnd"/>
      <w:r w:rsidRPr="00787009">
        <w:rPr>
          <w:rFonts w:cstheme="minorHAnsi"/>
          <w:sz w:val="22"/>
          <w:szCs w:val="22"/>
        </w:rPr>
        <w:t xml:space="preserve"> no analysis has considered how these movements</w:t>
      </w:r>
      <w:r w:rsidR="00EA51C1" w:rsidRPr="00787009">
        <w:rPr>
          <w:rFonts w:cstheme="minorHAnsi"/>
          <w:sz w:val="22"/>
          <w:szCs w:val="22"/>
        </w:rPr>
        <w:t xml:space="preserve"> </w:t>
      </w:r>
      <w:r w:rsidRPr="00787009">
        <w:rPr>
          <w:rFonts w:cstheme="minorHAnsi"/>
          <w:sz w:val="22"/>
          <w:szCs w:val="22"/>
        </w:rPr>
        <w:t>towards greater decentralisation relate to one another. Indeed, local authorities are becoming increasingly involved in</w:t>
      </w:r>
      <w:r w:rsidR="00EA51C1" w:rsidRPr="00787009">
        <w:rPr>
          <w:rFonts w:cstheme="minorHAnsi"/>
          <w:sz w:val="22"/>
          <w:szCs w:val="22"/>
        </w:rPr>
        <w:t xml:space="preserve"> </w:t>
      </w:r>
      <w:r w:rsidRPr="00787009">
        <w:rPr>
          <w:rFonts w:cstheme="minorHAnsi"/>
          <w:sz w:val="22"/>
          <w:szCs w:val="22"/>
        </w:rPr>
        <w:t>enabling and providing sustainable energy programmes whilst, at the same time,</w:t>
      </w:r>
      <w:r w:rsidR="00EA51C1" w:rsidRPr="00787009">
        <w:rPr>
          <w:rFonts w:cstheme="minorHAnsi"/>
          <w:sz w:val="22"/>
          <w:szCs w:val="22"/>
        </w:rPr>
        <w:t xml:space="preserve"> some</w:t>
      </w:r>
      <w:r w:rsidRPr="00787009">
        <w:rPr>
          <w:rFonts w:cstheme="minorHAnsi"/>
          <w:sz w:val="22"/>
          <w:szCs w:val="22"/>
        </w:rPr>
        <w:t xml:space="preserve"> are applying for and securing</w:t>
      </w:r>
      <w:r w:rsidR="00EA51C1" w:rsidRPr="00787009">
        <w:rPr>
          <w:rFonts w:cstheme="minorHAnsi"/>
          <w:sz w:val="22"/>
          <w:szCs w:val="22"/>
        </w:rPr>
        <w:t xml:space="preserve"> </w:t>
      </w:r>
      <w:r w:rsidRPr="00787009">
        <w:rPr>
          <w:rFonts w:cstheme="minorHAnsi"/>
          <w:sz w:val="22"/>
          <w:szCs w:val="22"/>
        </w:rPr>
        <w:t xml:space="preserve">devolution deals. </w:t>
      </w:r>
      <w:proofErr w:type="gramStart"/>
      <w:r w:rsidR="00BA746F" w:rsidRPr="00787009">
        <w:rPr>
          <w:rFonts w:cstheme="minorHAnsi"/>
          <w:sz w:val="22"/>
          <w:szCs w:val="22"/>
        </w:rPr>
        <w:t>A number of</w:t>
      </w:r>
      <w:proofErr w:type="gramEnd"/>
      <w:r w:rsidR="00BA746F" w:rsidRPr="00787009">
        <w:rPr>
          <w:rFonts w:cstheme="minorHAnsi"/>
          <w:sz w:val="22"/>
          <w:szCs w:val="22"/>
        </w:rPr>
        <w:t xml:space="preserve"> academic </w:t>
      </w:r>
      <w:r w:rsidRPr="00787009">
        <w:rPr>
          <w:rFonts w:cstheme="minorHAnsi"/>
          <w:sz w:val="22"/>
          <w:szCs w:val="22"/>
        </w:rPr>
        <w:t>scholars and policy analysts have argued that decentralising energy will be vital in securing popular</w:t>
      </w:r>
      <w:r w:rsidR="00CB238E" w:rsidRPr="00787009">
        <w:rPr>
          <w:rFonts w:cstheme="minorHAnsi"/>
          <w:sz w:val="22"/>
          <w:szCs w:val="22"/>
        </w:rPr>
        <w:t xml:space="preserve"> </w:t>
      </w:r>
      <w:r w:rsidRPr="00787009">
        <w:rPr>
          <w:rFonts w:cstheme="minorHAnsi"/>
          <w:sz w:val="22"/>
          <w:szCs w:val="22"/>
        </w:rPr>
        <w:t>buy-in to sustainable energy transitions through greater civic participation</w:t>
      </w:r>
      <w:r w:rsidR="00BA746F" w:rsidRPr="00787009">
        <w:rPr>
          <w:rFonts w:cstheme="minorHAnsi"/>
          <w:sz w:val="22"/>
          <w:szCs w:val="22"/>
        </w:rPr>
        <w:t>,</w:t>
      </w:r>
      <w:r w:rsidRPr="00787009">
        <w:rPr>
          <w:rFonts w:cstheme="minorHAnsi"/>
          <w:sz w:val="22"/>
          <w:szCs w:val="22"/>
        </w:rPr>
        <w:t xml:space="preserve"> whilst others point towards the</w:t>
      </w:r>
      <w:r w:rsidR="00CB238E" w:rsidRPr="00787009">
        <w:rPr>
          <w:rFonts w:cstheme="minorHAnsi"/>
          <w:sz w:val="22"/>
          <w:szCs w:val="22"/>
        </w:rPr>
        <w:t xml:space="preserve"> </w:t>
      </w:r>
      <w:r w:rsidRPr="00787009">
        <w:rPr>
          <w:rFonts w:cstheme="minorHAnsi"/>
          <w:sz w:val="22"/>
          <w:szCs w:val="22"/>
        </w:rPr>
        <w:t>power of the</w:t>
      </w:r>
      <w:r w:rsidR="00CB238E" w:rsidRPr="00787009">
        <w:rPr>
          <w:rFonts w:cstheme="minorHAnsi"/>
          <w:sz w:val="22"/>
          <w:szCs w:val="22"/>
        </w:rPr>
        <w:t xml:space="preserve"> </w:t>
      </w:r>
      <w:r w:rsidRPr="00787009">
        <w:rPr>
          <w:rFonts w:cstheme="minorHAnsi"/>
          <w:sz w:val="22"/>
          <w:szCs w:val="22"/>
        </w:rPr>
        <w:t>local in delivering better-attuned services. This research project will reveal the details of how these two</w:t>
      </w:r>
      <w:r w:rsidR="00CB238E" w:rsidRPr="00787009">
        <w:rPr>
          <w:rFonts w:cstheme="minorHAnsi"/>
          <w:sz w:val="22"/>
          <w:szCs w:val="22"/>
        </w:rPr>
        <w:t xml:space="preserve"> </w:t>
      </w:r>
      <w:r w:rsidRPr="00787009">
        <w:rPr>
          <w:rFonts w:cstheme="minorHAnsi"/>
          <w:sz w:val="22"/>
          <w:szCs w:val="22"/>
        </w:rPr>
        <w:t>decentralisation</w:t>
      </w:r>
      <w:r w:rsidR="00CB238E" w:rsidRPr="00787009">
        <w:rPr>
          <w:rFonts w:cstheme="minorHAnsi"/>
          <w:sz w:val="22"/>
          <w:szCs w:val="22"/>
        </w:rPr>
        <w:t xml:space="preserve"> </w:t>
      </w:r>
      <w:r w:rsidRPr="00787009">
        <w:rPr>
          <w:rFonts w:cstheme="minorHAnsi"/>
          <w:sz w:val="22"/>
          <w:szCs w:val="22"/>
        </w:rPr>
        <w:t>movements</w:t>
      </w:r>
      <w:r w:rsidR="006F6CED" w:rsidRPr="00787009">
        <w:rPr>
          <w:rFonts w:cstheme="minorHAnsi"/>
          <w:sz w:val="22"/>
          <w:szCs w:val="22"/>
        </w:rPr>
        <w:t>, one political and one more technical,</w:t>
      </w:r>
      <w:r w:rsidRPr="00787009">
        <w:rPr>
          <w:rFonts w:cstheme="minorHAnsi"/>
          <w:sz w:val="22"/>
          <w:szCs w:val="22"/>
        </w:rPr>
        <w:t xml:space="preserve"> interact with one another in practice by exploring and mapping five local authority sustainable energy</w:t>
      </w:r>
      <w:r w:rsidR="00CB238E" w:rsidRPr="00787009">
        <w:rPr>
          <w:rFonts w:cstheme="minorHAnsi"/>
          <w:sz w:val="22"/>
          <w:szCs w:val="22"/>
        </w:rPr>
        <w:t xml:space="preserve"> programmes and critically examining their relationships with central government.</w:t>
      </w:r>
    </w:p>
    <w:p w14:paraId="75C0F5D9" w14:textId="77777777" w:rsidR="00C41866" w:rsidRPr="00787009" w:rsidRDefault="00C41866" w:rsidP="00321098">
      <w:pPr>
        <w:rPr>
          <w:rFonts w:cstheme="minorHAnsi"/>
        </w:rPr>
      </w:pPr>
    </w:p>
    <w:p w14:paraId="0D2495E7" w14:textId="168A3990" w:rsidR="005109D6" w:rsidRPr="00787009" w:rsidRDefault="00C05958" w:rsidP="004D2A7B">
      <w:pPr>
        <w:rPr>
          <w:rFonts w:cstheme="minorHAnsi"/>
        </w:rPr>
      </w:pPr>
      <w:r w:rsidRPr="00787009">
        <w:rPr>
          <w:rFonts w:cstheme="minorHAnsi"/>
          <w:b/>
          <w:bCs/>
        </w:rPr>
        <w:t>Methods</w:t>
      </w:r>
      <w:r w:rsidRPr="00787009">
        <w:rPr>
          <w:rFonts w:cstheme="minorHAnsi"/>
        </w:rPr>
        <w:t>:</w:t>
      </w:r>
    </w:p>
    <w:p w14:paraId="4876782F" w14:textId="77777777" w:rsidR="00260869" w:rsidRPr="004A0DF0" w:rsidRDefault="00260869" w:rsidP="00EB3FF4">
      <w:pPr>
        <w:rPr>
          <w:rFonts w:cstheme="minorHAnsi"/>
          <w:sz w:val="22"/>
          <w:szCs w:val="22"/>
        </w:rPr>
      </w:pPr>
      <w:r w:rsidRPr="004A0DF0">
        <w:rPr>
          <w:rFonts w:cstheme="minorHAnsi"/>
          <w:sz w:val="22"/>
          <w:szCs w:val="22"/>
        </w:rPr>
        <w:t xml:space="preserve">Mixed methods: </w:t>
      </w:r>
    </w:p>
    <w:p w14:paraId="189133F8" w14:textId="287C01EB" w:rsidR="00EB3FF4" w:rsidRPr="004A0DF0" w:rsidRDefault="00AA29AA" w:rsidP="0066328C">
      <w:pPr>
        <w:pStyle w:val="ListParagraph"/>
        <w:numPr>
          <w:ilvl w:val="0"/>
          <w:numId w:val="2"/>
        </w:numPr>
        <w:rPr>
          <w:rFonts w:cstheme="minorHAnsi"/>
          <w:sz w:val="22"/>
          <w:szCs w:val="22"/>
        </w:rPr>
      </w:pPr>
      <w:r w:rsidRPr="004A0DF0">
        <w:rPr>
          <w:rFonts w:cstheme="minorHAnsi"/>
          <w:sz w:val="22"/>
          <w:szCs w:val="22"/>
        </w:rPr>
        <w:t>6</w:t>
      </w:r>
      <w:r w:rsidR="0055044A" w:rsidRPr="004A0DF0">
        <w:rPr>
          <w:rFonts w:cstheme="minorHAnsi"/>
          <w:sz w:val="22"/>
          <w:szCs w:val="22"/>
        </w:rPr>
        <w:t xml:space="preserve"> c</w:t>
      </w:r>
      <w:r w:rsidR="00EB3FF4" w:rsidRPr="004A0DF0">
        <w:rPr>
          <w:rFonts w:cstheme="minorHAnsi"/>
          <w:sz w:val="22"/>
          <w:szCs w:val="22"/>
        </w:rPr>
        <w:t>ase stud</w:t>
      </w:r>
      <w:r w:rsidR="0055044A" w:rsidRPr="004A0DF0">
        <w:rPr>
          <w:rFonts w:cstheme="minorHAnsi"/>
          <w:sz w:val="22"/>
          <w:szCs w:val="22"/>
        </w:rPr>
        <w:t>y local authorities</w:t>
      </w:r>
    </w:p>
    <w:p w14:paraId="6761DA44" w14:textId="55437F59" w:rsidR="00015700" w:rsidRPr="004A0DF0" w:rsidRDefault="00015700" w:rsidP="0066328C">
      <w:pPr>
        <w:pStyle w:val="ListParagraph"/>
        <w:numPr>
          <w:ilvl w:val="0"/>
          <w:numId w:val="2"/>
        </w:numPr>
        <w:rPr>
          <w:rFonts w:cstheme="minorHAnsi"/>
          <w:sz w:val="22"/>
          <w:szCs w:val="22"/>
        </w:rPr>
      </w:pPr>
      <w:r w:rsidRPr="004A0DF0">
        <w:rPr>
          <w:rFonts w:cstheme="minorHAnsi"/>
          <w:sz w:val="22"/>
          <w:szCs w:val="22"/>
        </w:rPr>
        <w:t>Analysis of energy and climate policy documents</w:t>
      </w:r>
      <w:r w:rsidR="001351FB" w:rsidRPr="004A0DF0">
        <w:rPr>
          <w:rFonts w:cstheme="minorHAnsi"/>
          <w:sz w:val="22"/>
          <w:szCs w:val="22"/>
        </w:rPr>
        <w:t>;</w:t>
      </w:r>
      <w:r w:rsidRPr="004A0DF0">
        <w:rPr>
          <w:rFonts w:cstheme="minorHAnsi"/>
          <w:sz w:val="22"/>
          <w:szCs w:val="22"/>
        </w:rPr>
        <w:t xml:space="preserve"> and</w:t>
      </w:r>
      <w:r w:rsidR="001351FB" w:rsidRPr="004A0DF0">
        <w:rPr>
          <w:rFonts w:cstheme="minorHAnsi"/>
          <w:sz w:val="22"/>
          <w:szCs w:val="22"/>
        </w:rPr>
        <w:t xml:space="preserve"> of academic,</w:t>
      </w:r>
      <w:r w:rsidRPr="004A0DF0">
        <w:rPr>
          <w:rFonts w:cstheme="minorHAnsi"/>
          <w:sz w:val="22"/>
          <w:szCs w:val="22"/>
        </w:rPr>
        <w:t xml:space="preserve"> </w:t>
      </w:r>
      <w:r w:rsidR="001351FB" w:rsidRPr="004A0DF0">
        <w:rPr>
          <w:rFonts w:cstheme="minorHAnsi"/>
          <w:sz w:val="22"/>
          <w:szCs w:val="22"/>
        </w:rPr>
        <w:t>consultancy and NGO reports and surveys</w:t>
      </w:r>
      <w:r w:rsidR="00AA29AA" w:rsidRPr="004A0DF0">
        <w:rPr>
          <w:rFonts w:cstheme="minorHAnsi"/>
          <w:sz w:val="22"/>
          <w:szCs w:val="22"/>
        </w:rPr>
        <w:t xml:space="preserve"> – this took place before and after the placements and interviews</w:t>
      </w:r>
    </w:p>
    <w:p w14:paraId="1848F662" w14:textId="75D5FAF1" w:rsidR="00540A13" w:rsidRPr="004A0DF0" w:rsidRDefault="00540A13" w:rsidP="0066328C">
      <w:pPr>
        <w:pStyle w:val="ListParagraph"/>
        <w:numPr>
          <w:ilvl w:val="0"/>
          <w:numId w:val="2"/>
        </w:numPr>
        <w:rPr>
          <w:rFonts w:cstheme="minorHAnsi"/>
          <w:sz w:val="22"/>
          <w:szCs w:val="22"/>
        </w:rPr>
      </w:pPr>
      <w:r w:rsidRPr="004A0DF0">
        <w:rPr>
          <w:rFonts w:cstheme="minorHAnsi"/>
          <w:sz w:val="22"/>
          <w:szCs w:val="22"/>
        </w:rPr>
        <w:t>3, 2-day immersive placements</w:t>
      </w:r>
      <w:r w:rsidR="00AA29AA" w:rsidRPr="004A0DF0">
        <w:rPr>
          <w:rFonts w:cstheme="minorHAnsi"/>
          <w:sz w:val="22"/>
          <w:szCs w:val="22"/>
        </w:rPr>
        <w:t xml:space="preserve"> (at a specialist local sustainable energy NGO, and two local authorities)</w:t>
      </w:r>
    </w:p>
    <w:p w14:paraId="4B2C13E1" w14:textId="4BD4BEA5" w:rsidR="00BE22FF" w:rsidRPr="00CA650B" w:rsidRDefault="00AA29AA" w:rsidP="00BE22FF">
      <w:pPr>
        <w:pStyle w:val="ListParagraph"/>
        <w:numPr>
          <w:ilvl w:val="0"/>
          <w:numId w:val="2"/>
        </w:numPr>
        <w:autoSpaceDE w:val="0"/>
        <w:autoSpaceDN w:val="0"/>
        <w:adjustRightInd w:val="0"/>
        <w:rPr>
          <w:rFonts w:cstheme="minorHAnsi"/>
          <w:sz w:val="22"/>
          <w:szCs w:val="22"/>
        </w:rPr>
      </w:pPr>
      <w:r w:rsidRPr="00CA650B">
        <w:rPr>
          <w:rFonts w:cstheme="minorHAnsi"/>
          <w:sz w:val="22"/>
          <w:szCs w:val="22"/>
        </w:rPr>
        <w:t xml:space="preserve">47 </w:t>
      </w:r>
      <w:r w:rsidR="00255488" w:rsidRPr="00CA650B">
        <w:rPr>
          <w:rFonts w:cstheme="minorHAnsi"/>
          <w:sz w:val="22"/>
          <w:szCs w:val="22"/>
        </w:rPr>
        <w:t>s</w:t>
      </w:r>
      <w:r w:rsidR="00EB3FF4" w:rsidRPr="00CA650B">
        <w:rPr>
          <w:rFonts w:cstheme="minorHAnsi"/>
          <w:sz w:val="22"/>
          <w:szCs w:val="22"/>
        </w:rPr>
        <w:t xml:space="preserve">emi-structured interviews with elite stakeholders </w:t>
      </w:r>
      <w:r w:rsidR="004C3392" w:rsidRPr="00CA650B">
        <w:rPr>
          <w:rFonts w:cstheme="minorHAnsi"/>
          <w:sz w:val="22"/>
          <w:szCs w:val="22"/>
        </w:rPr>
        <w:t>(</w:t>
      </w:r>
      <w:proofErr w:type="gramStart"/>
      <w:r w:rsidR="00D179B4">
        <w:rPr>
          <w:rFonts w:cstheme="minorHAnsi"/>
          <w:sz w:val="22"/>
          <w:szCs w:val="22"/>
        </w:rPr>
        <w:t>i.e.</w:t>
      </w:r>
      <w:proofErr w:type="gramEnd"/>
      <w:r w:rsidR="00D179B4">
        <w:rPr>
          <w:rFonts w:cstheme="minorHAnsi"/>
          <w:sz w:val="22"/>
          <w:szCs w:val="22"/>
        </w:rPr>
        <w:t xml:space="preserve"> </w:t>
      </w:r>
      <w:r w:rsidR="004C3392" w:rsidRPr="00CA650B">
        <w:rPr>
          <w:rFonts w:cstheme="minorHAnsi"/>
          <w:sz w:val="22"/>
          <w:szCs w:val="22"/>
        </w:rPr>
        <w:t xml:space="preserve">local authority </w:t>
      </w:r>
      <w:r w:rsidR="0066328C" w:rsidRPr="00CA650B">
        <w:rPr>
          <w:rFonts w:cstheme="minorHAnsi"/>
          <w:sz w:val="22"/>
          <w:szCs w:val="22"/>
        </w:rPr>
        <w:t xml:space="preserve">sustainable energy, and other, </w:t>
      </w:r>
      <w:r w:rsidR="004C3392" w:rsidRPr="00CA650B">
        <w:rPr>
          <w:rFonts w:cstheme="minorHAnsi"/>
          <w:sz w:val="22"/>
          <w:szCs w:val="22"/>
        </w:rPr>
        <w:t xml:space="preserve">personnel, </w:t>
      </w:r>
      <w:r w:rsidR="0066328C" w:rsidRPr="00CA650B">
        <w:rPr>
          <w:rFonts w:cstheme="minorHAnsi"/>
          <w:sz w:val="22"/>
          <w:szCs w:val="22"/>
        </w:rPr>
        <w:t xml:space="preserve">specialist </w:t>
      </w:r>
      <w:r w:rsidR="004C3392" w:rsidRPr="00CA650B">
        <w:rPr>
          <w:rFonts w:cstheme="minorHAnsi"/>
          <w:sz w:val="22"/>
          <w:szCs w:val="22"/>
        </w:rPr>
        <w:t>NGOs, community bodies and Westminster civil servants)</w:t>
      </w:r>
      <w:r w:rsidR="00BE22FF" w:rsidRPr="00CA650B">
        <w:rPr>
          <w:rFonts w:cstheme="minorHAnsi"/>
          <w:sz w:val="22"/>
          <w:szCs w:val="22"/>
        </w:rPr>
        <w:t xml:space="preserve">. </w:t>
      </w:r>
      <w:r w:rsidR="00CA650B">
        <w:rPr>
          <w:rFonts w:cstheme="minorHAnsi"/>
          <w:sz w:val="22"/>
          <w:szCs w:val="22"/>
        </w:rPr>
        <w:t xml:space="preserve">The interviews </w:t>
      </w:r>
      <w:r w:rsidR="00BE22FF" w:rsidRPr="00CA650B">
        <w:rPr>
          <w:rFonts w:cstheme="minorHAnsi"/>
          <w:sz w:val="22"/>
          <w:szCs w:val="22"/>
        </w:rPr>
        <w:t xml:space="preserve">took place – </w:t>
      </w:r>
      <w:r w:rsidR="00CA650B">
        <w:rPr>
          <w:rFonts w:cstheme="minorHAnsi"/>
          <w:sz w:val="22"/>
          <w:szCs w:val="22"/>
        </w:rPr>
        <w:t xml:space="preserve">mostly </w:t>
      </w:r>
      <w:r w:rsidR="00BE22FF" w:rsidRPr="00CA650B">
        <w:rPr>
          <w:rFonts w:cstheme="minorHAnsi"/>
          <w:sz w:val="22"/>
          <w:szCs w:val="22"/>
        </w:rPr>
        <w:t xml:space="preserve">in person </w:t>
      </w:r>
      <w:r w:rsidR="00CA650B">
        <w:rPr>
          <w:rFonts w:cstheme="minorHAnsi"/>
          <w:sz w:val="22"/>
          <w:szCs w:val="22"/>
        </w:rPr>
        <w:t>but sometimes</w:t>
      </w:r>
      <w:r w:rsidR="00BE22FF" w:rsidRPr="00CA650B">
        <w:rPr>
          <w:rFonts w:cstheme="minorHAnsi"/>
          <w:sz w:val="22"/>
          <w:szCs w:val="22"/>
        </w:rPr>
        <w:t xml:space="preserve"> over the phone -</w:t>
      </w:r>
      <w:r w:rsidR="00CA650B">
        <w:rPr>
          <w:rFonts w:cstheme="minorHAnsi"/>
          <w:sz w:val="22"/>
          <w:szCs w:val="22"/>
        </w:rPr>
        <w:t xml:space="preserve"> </w:t>
      </w:r>
      <w:r w:rsidR="00BE22FF" w:rsidRPr="00CA650B">
        <w:rPr>
          <w:rFonts w:cstheme="minorHAnsi"/>
          <w:sz w:val="22"/>
          <w:szCs w:val="22"/>
        </w:rPr>
        <w:t>between 201</w:t>
      </w:r>
      <w:r w:rsidR="00D179B4">
        <w:rPr>
          <w:rFonts w:cstheme="minorHAnsi"/>
          <w:sz w:val="22"/>
          <w:szCs w:val="22"/>
        </w:rPr>
        <w:t>7</w:t>
      </w:r>
      <w:r w:rsidR="00BE22FF" w:rsidRPr="00CA650B">
        <w:rPr>
          <w:rFonts w:cstheme="minorHAnsi"/>
          <w:sz w:val="22"/>
          <w:szCs w:val="22"/>
        </w:rPr>
        <w:t xml:space="preserve"> and 2018</w:t>
      </w:r>
    </w:p>
    <w:p w14:paraId="6BF84F3E" w14:textId="4D556D77" w:rsidR="00EB3FF4" w:rsidRPr="004A0DF0" w:rsidRDefault="0066328C" w:rsidP="0066328C">
      <w:pPr>
        <w:pStyle w:val="ListParagraph"/>
        <w:numPr>
          <w:ilvl w:val="0"/>
          <w:numId w:val="2"/>
        </w:numPr>
        <w:rPr>
          <w:rFonts w:cstheme="minorHAnsi"/>
          <w:sz w:val="22"/>
          <w:szCs w:val="22"/>
        </w:rPr>
      </w:pPr>
      <w:r w:rsidRPr="004A0DF0">
        <w:rPr>
          <w:rFonts w:cstheme="minorHAnsi"/>
          <w:sz w:val="22"/>
          <w:szCs w:val="22"/>
        </w:rPr>
        <w:t>Two rounds of d</w:t>
      </w:r>
      <w:r w:rsidR="00EB3FF4" w:rsidRPr="004A0DF0">
        <w:rPr>
          <w:rFonts w:cstheme="minorHAnsi"/>
          <w:sz w:val="22"/>
          <w:szCs w:val="22"/>
        </w:rPr>
        <w:t>edicated workshops for local authorities (Chatham House rules)</w:t>
      </w:r>
      <w:r w:rsidR="007D0278">
        <w:rPr>
          <w:rFonts w:cstheme="minorHAnsi"/>
          <w:sz w:val="22"/>
          <w:szCs w:val="22"/>
        </w:rPr>
        <w:t>, in 2018 and 2019,</w:t>
      </w:r>
      <w:r w:rsidRPr="004A0DF0">
        <w:rPr>
          <w:rFonts w:cstheme="minorHAnsi"/>
          <w:sz w:val="22"/>
          <w:szCs w:val="22"/>
        </w:rPr>
        <w:t xml:space="preserve"> for knowledge building</w:t>
      </w:r>
      <w:r w:rsidR="007D0278">
        <w:rPr>
          <w:rFonts w:cstheme="minorHAnsi"/>
          <w:sz w:val="22"/>
          <w:szCs w:val="22"/>
        </w:rPr>
        <w:t>, exchange</w:t>
      </w:r>
      <w:r w:rsidRPr="004A0DF0">
        <w:rPr>
          <w:rFonts w:cstheme="minorHAnsi"/>
          <w:sz w:val="22"/>
          <w:szCs w:val="22"/>
        </w:rPr>
        <w:t xml:space="preserve"> and sharing</w:t>
      </w:r>
    </w:p>
    <w:p w14:paraId="1CCE12D2" w14:textId="6B19096E" w:rsidR="004F6EFF" w:rsidRPr="004A0DF0" w:rsidRDefault="004F6EFF" w:rsidP="0066328C">
      <w:pPr>
        <w:pStyle w:val="ListParagraph"/>
        <w:numPr>
          <w:ilvl w:val="0"/>
          <w:numId w:val="2"/>
        </w:numPr>
        <w:rPr>
          <w:rFonts w:cstheme="minorHAnsi"/>
          <w:sz w:val="22"/>
          <w:szCs w:val="22"/>
        </w:rPr>
      </w:pPr>
      <w:r w:rsidRPr="004A0DF0">
        <w:rPr>
          <w:rFonts w:cstheme="minorHAnsi"/>
          <w:sz w:val="22"/>
          <w:szCs w:val="22"/>
        </w:rPr>
        <w:t xml:space="preserve">At each stage of the empirical analysis a clearer picture emerged of the </w:t>
      </w:r>
      <w:r w:rsidR="006F6CED" w:rsidRPr="004A0DF0">
        <w:rPr>
          <w:rFonts w:cstheme="minorHAnsi"/>
          <w:sz w:val="22"/>
          <w:szCs w:val="22"/>
        </w:rPr>
        <w:t xml:space="preserve">socio-technical </w:t>
      </w:r>
      <w:r w:rsidRPr="004A0DF0">
        <w:rPr>
          <w:rFonts w:cstheme="minorHAnsi"/>
          <w:sz w:val="22"/>
          <w:szCs w:val="22"/>
        </w:rPr>
        <w:t xml:space="preserve">conditions under which UK local authorities were devising and implementing sustainable energy policies, as well as </w:t>
      </w:r>
      <w:r w:rsidR="00C41866" w:rsidRPr="004A0DF0">
        <w:rPr>
          <w:rFonts w:cstheme="minorHAnsi"/>
          <w:sz w:val="22"/>
          <w:szCs w:val="22"/>
        </w:rPr>
        <w:t>how they worked to make the most of opportunities and overcome barriers.</w:t>
      </w:r>
    </w:p>
    <w:p w14:paraId="43005375" w14:textId="77777777" w:rsidR="00396A25" w:rsidRPr="00787009" w:rsidRDefault="00396A25" w:rsidP="004D2A7B">
      <w:pPr>
        <w:rPr>
          <w:rFonts w:cstheme="minorHAnsi"/>
          <w:sz w:val="22"/>
          <w:szCs w:val="22"/>
        </w:rPr>
      </w:pPr>
    </w:p>
    <w:p w14:paraId="274629DB" w14:textId="3353C5D4" w:rsidR="00C05958" w:rsidRPr="00787009" w:rsidRDefault="00C05958" w:rsidP="004D2A7B">
      <w:pPr>
        <w:rPr>
          <w:rFonts w:cstheme="minorHAnsi"/>
        </w:rPr>
      </w:pPr>
      <w:r w:rsidRPr="00787009">
        <w:rPr>
          <w:rFonts w:cstheme="minorHAnsi"/>
          <w:b/>
          <w:bCs/>
        </w:rPr>
        <w:t xml:space="preserve">Why </w:t>
      </w:r>
      <w:r w:rsidR="00396A25" w:rsidRPr="00787009">
        <w:rPr>
          <w:rFonts w:cstheme="minorHAnsi"/>
          <w:b/>
          <w:bCs/>
        </w:rPr>
        <w:t xml:space="preserve">Methods </w:t>
      </w:r>
      <w:r w:rsidR="008A778A">
        <w:rPr>
          <w:rFonts w:cstheme="minorHAnsi"/>
          <w:b/>
          <w:bCs/>
        </w:rPr>
        <w:t xml:space="preserve">Were </w:t>
      </w:r>
      <w:r w:rsidRPr="00787009">
        <w:rPr>
          <w:rFonts w:cstheme="minorHAnsi"/>
          <w:b/>
          <w:bCs/>
        </w:rPr>
        <w:t>Chosen</w:t>
      </w:r>
      <w:r w:rsidRPr="00787009">
        <w:rPr>
          <w:rFonts w:cstheme="minorHAnsi"/>
        </w:rPr>
        <w:t>:</w:t>
      </w:r>
    </w:p>
    <w:p w14:paraId="5F252AAB" w14:textId="77777777" w:rsidR="001419D1" w:rsidRPr="004A0DF0" w:rsidRDefault="00FC18DA" w:rsidP="0069508C">
      <w:pPr>
        <w:jc w:val="both"/>
        <w:rPr>
          <w:rFonts w:cstheme="minorHAnsi"/>
          <w:sz w:val="22"/>
          <w:szCs w:val="22"/>
        </w:rPr>
      </w:pPr>
      <w:r w:rsidRPr="004A0DF0">
        <w:rPr>
          <w:rFonts w:cstheme="minorHAnsi"/>
          <w:sz w:val="22"/>
          <w:szCs w:val="22"/>
        </w:rPr>
        <w:t xml:space="preserve">The </w:t>
      </w:r>
      <w:r w:rsidR="001419D1" w:rsidRPr="004A0DF0">
        <w:rPr>
          <w:rFonts w:cstheme="minorHAnsi"/>
          <w:sz w:val="22"/>
          <w:szCs w:val="22"/>
        </w:rPr>
        <w:t xml:space="preserve">above </w:t>
      </w:r>
      <w:r w:rsidRPr="004A0DF0">
        <w:rPr>
          <w:rFonts w:cstheme="minorHAnsi"/>
          <w:sz w:val="22"/>
          <w:szCs w:val="22"/>
        </w:rPr>
        <w:t>m</w:t>
      </w:r>
      <w:r w:rsidR="00EB3727" w:rsidRPr="004A0DF0">
        <w:rPr>
          <w:rFonts w:cstheme="minorHAnsi"/>
          <w:sz w:val="22"/>
          <w:szCs w:val="22"/>
        </w:rPr>
        <w:t xml:space="preserve">ethods </w:t>
      </w:r>
      <w:r w:rsidR="001419D1" w:rsidRPr="004A0DF0">
        <w:rPr>
          <w:rFonts w:cstheme="minorHAnsi"/>
          <w:sz w:val="22"/>
          <w:szCs w:val="22"/>
        </w:rPr>
        <w:t xml:space="preserve">were </w:t>
      </w:r>
      <w:r w:rsidR="00EB3727" w:rsidRPr="004A0DF0">
        <w:rPr>
          <w:rFonts w:cstheme="minorHAnsi"/>
          <w:sz w:val="22"/>
          <w:szCs w:val="22"/>
        </w:rPr>
        <w:t xml:space="preserve">chosen </w:t>
      </w:r>
      <w:r w:rsidR="001419D1" w:rsidRPr="004A0DF0">
        <w:rPr>
          <w:rFonts w:cstheme="minorHAnsi"/>
          <w:sz w:val="22"/>
          <w:szCs w:val="22"/>
        </w:rPr>
        <w:t>for the following reasons:</w:t>
      </w:r>
    </w:p>
    <w:p w14:paraId="2D7BE28D" w14:textId="77777777" w:rsidR="001419D1" w:rsidRPr="004A0DF0" w:rsidRDefault="001419D1" w:rsidP="0069508C">
      <w:pPr>
        <w:jc w:val="both"/>
        <w:rPr>
          <w:rFonts w:cstheme="minorHAnsi"/>
          <w:sz w:val="22"/>
          <w:szCs w:val="22"/>
        </w:rPr>
      </w:pPr>
    </w:p>
    <w:p w14:paraId="44982561" w14:textId="1E16BEAA" w:rsidR="001419D1" w:rsidRPr="00B457EE" w:rsidRDefault="001419D1" w:rsidP="00B457EE">
      <w:pPr>
        <w:pStyle w:val="ListParagraph"/>
        <w:numPr>
          <w:ilvl w:val="0"/>
          <w:numId w:val="3"/>
        </w:numPr>
        <w:jc w:val="both"/>
        <w:rPr>
          <w:rFonts w:cstheme="minorHAnsi"/>
          <w:sz w:val="22"/>
          <w:szCs w:val="22"/>
        </w:rPr>
      </w:pPr>
      <w:r w:rsidRPr="00B457EE">
        <w:rPr>
          <w:rFonts w:cstheme="minorHAnsi"/>
          <w:i/>
          <w:iCs/>
          <w:sz w:val="22"/>
          <w:szCs w:val="22"/>
        </w:rPr>
        <w:t>R</w:t>
      </w:r>
      <w:r w:rsidR="00EB3727" w:rsidRPr="00B457EE">
        <w:rPr>
          <w:rFonts w:cstheme="minorHAnsi"/>
          <w:i/>
          <w:iCs/>
          <w:sz w:val="22"/>
          <w:szCs w:val="22"/>
        </w:rPr>
        <w:t>elation</w:t>
      </w:r>
      <w:r w:rsidRPr="00B457EE">
        <w:rPr>
          <w:rFonts w:cstheme="minorHAnsi"/>
          <w:i/>
          <w:iCs/>
          <w:sz w:val="22"/>
          <w:szCs w:val="22"/>
        </w:rPr>
        <w:t>ship</w:t>
      </w:r>
      <w:r w:rsidR="00EB3727" w:rsidRPr="00B457EE">
        <w:rPr>
          <w:rFonts w:cstheme="minorHAnsi"/>
          <w:i/>
          <w:iCs/>
          <w:sz w:val="22"/>
          <w:szCs w:val="22"/>
        </w:rPr>
        <w:t xml:space="preserve"> to conceptual approach</w:t>
      </w:r>
      <w:r w:rsidRPr="00B457EE">
        <w:rPr>
          <w:rFonts w:cstheme="minorHAnsi"/>
          <w:sz w:val="22"/>
          <w:szCs w:val="22"/>
        </w:rPr>
        <w:t>:</w:t>
      </w:r>
      <w:r w:rsidR="003627D0" w:rsidRPr="00B457EE">
        <w:rPr>
          <w:rFonts w:cstheme="minorHAnsi"/>
          <w:sz w:val="22"/>
          <w:szCs w:val="22"/>
        </w:rPr>
        <w:t xml:space="preserve"> </w:t>
      </w:r>
    </w:p>
    <w:p w14:paraId="5858B88C" w14:textId="45DFC281" w:rsidR="00127F63" w:rsidRPr="004A0DF0" w:rsidRDefault="00127F63" w:rsidP="00CF25F9">
      <w:pPr>
        <w:autoSpaceDE w:val="0"/>
        <w:autoSpaceDN w:val="0"/>
        <w:adjustRightInd w:val="0"/>
        <w:jc w:val="both"/>
        <w:rPr>
          <w:rFonts w:cstheme="minorHAnsi"/>
          <w:sz w:val="22"/>
          <w:szCs w:val="22"/>
        </w:rPr>
      </w:pPr>
      <w:r w:rsidRPr="004A0DF0">
        <w:rPr>
          <w:rFonts w:cstheme="minorHAnsi"/>
          <w:sz w:val="22"/>
          <w:szCs w:val="22"/>
        </w:rPr>
        <w:t>Methodological decisions have been guided by the conceptual lenses applied and by the explanatory objectives of the research.</w:t>
      </w:r>
      <w:r w:rsidR="008F5D25">
        <w:rPr>
          <w:rFonts w:cstheme="minorHAnsi"/>
          <w:sz w:val="22"/>
          <w:szCs w:val="22"/>
        </w:rPr>
        <w:t xml:space="preserve"> </w:t>
      </w:r>
      <w:r w:rsidR="004D1584">
        <w:rPr>
          <w:rFonts w:cstheme="minorHAnsi"/>
          <w:sz w:val="22"/>
          <w:szCs w:val="22"/>
        </w:rPr>
        <w:t>The conceptual lenses trained the empirical focus on better understanding the many, often (see below) fast moving, technical and political contexts within which local authorities innovate, adopt and implement sustainable energy policy. As such, it was appropriate to choose methodological approaches that woul</w:t>
      </w:r>
      <w:r w:rsidR="00726B98">
        <w:rPr>
          <w:rFonts w:cstheme="minorHAnsi"/>
          <w:sz w:val="22"/>
          <w:szCs w:val="22"/>
        </w:rPr>
        <w:t xml:space="preserve">d lead to deeper understandings of how local decisions are affected by various contexts, </w:t>
      </w:r>
      <w:r w:rsidR="00856248">
        <w:rPr>
          <w:rFonts w:cstheme="minorHAnsi"/>
          <w:sz w:val="22"/>
          <w:szCs w:val="22"/>
        </w:rPr>
        <w:t xml:space="preserve">not least devolutions and energy decentralisation, </w:t>
      </w:r>
      <w:r w:rsidR="00C2756B">
        <w:rPr>
          <w:rFonts w:cstheme="minorHAnsi"/>
          <w:sz w:val="22"/>
          <w:szCs w:val="22"/>
        </w:rPr>
        <w:t xml:space="preserve">and </w:t>
      </w:r>
      <w:r w:rsidR="00726B98">
        <w:rPr>
          <w:rFonts w:cstheme="minorHAnsi"/>
          <w:sz w:val="22"/>
          <w:szCs w:val="22"/>
        </w:rPr>
        <w:t xml:space="preserve">how they adapt and adopt new </w:t>
      </w:r>
      <w:r w:rsidR="00856248">
        <w:rPr>
          <w:rFonts w:cstheme="minorHAnsi"/>
          <w:sz w:val="22"/>
          <w:szCs w:val="22"/>
        </w:rPr>
        <w:t>pathways.</w:t>
      </w:r>
      <w:r w:rsidR="004D1584">
        <w:rPr>
          <w:rFonts w:cstheme="minorHAnsi"/>
          <w:sz w:val="22"/>
          <w:szCs w:val="22"/>
        </w:rPr>
        <w:t xml:space="preserve"> </w:t>
      </w:r>
      <w:r w:rsidR="00C2756B">
        <w:rPr>
          <w:rFonts w:cstheme="minorHAnsi"/>
          <w:sz w:val="22"/>
          <w:szCs w:val="22"/>
        </w:rPr>
        <w:t xml:space="preserve">Placements, semi-structured </w:t>
      </w:r>
      <w:proofErr w:type="gramStart"/>
      <w:r w:rsidR="00C2756B">
        <w:rPr>
          <w:rFonts w:cstheme="minorHAnsi"/>
          <w:sz w:val="22"/>
          <w:szCs w:val="22"/>
        </w:rPr>
        <w:t>interviews</w:t>
      </w:r>
      <w:proofErr w:type="gramEnd"/>
      <w:r w:rsidR="00C2756B">
        <w:rPr>
          <w:rFonts w:cstheme="minorHAnsi"/>
          <w:sz w:val="22"/>
          <w:szCs w:val="22"/>
        </w:rPr>
        <w:t xml:space="preserve"> and knowledge exchange workshops proved </w:t>
      </w:r>
      <w:r w:rsidR="00B457EE">
        <w:rPr>
          <w:rFonts w:cstheme="minorHAnsi"/>
          <w:sz w:val="22"/>
          <w:szCs w:val="22"/>
        </w:rPr>
        <w:t>extremely useful – not just for building up the data and information upon which the project would grow – but also for knowledge exchange between local authorities engaged in the innovative area of sustainable energy policymaking.</w:t>
      </w:r>
    </w:p>
    <w:p w14:paraId="13D227D9" w14:textId="0B92D49F" w:rsidR="005518C9" w:rsidRPr="00B457EE" w:rsidRDefault="00C212AE" w:rsidP="00B457EE">
      <w:pPr>
        <w:pStyle w:val="ListParagraph"/>
        <w:numPr>
          <w:ilvl w:val="0"/>
          <w:numId w:val="3"/>
        </w:numPr>
        <w:jc w:val="both"/>
        <w:rPr>
          <w:rFonts w:cstheme="minorHAnsi"/>
          <w:sz w:val="22"/>
          <w:szCs w:val="22"/>
        </w:rPr>
      </w:pPr>
      <w:r w:rsidRPr="00B457EE">
        <w:rPr>
          <w:rFonts w:cstheme="minorHAnsi"/>
          <w:i/>
          <w:iCs/>
          <w:sz w:val="22"/>
          <w:szCs w:val="22"/>
        </w:rPr>
        <w:lastRenderedPageBreak/>
        <w:t>T</w:t>
      </w:r>
      <w:r w:rsidR="003627D0" w:rsidRPr="00B457EE">
        <w:rPr>
          <w:rFonts w:cstheme="minorHAnsi"/>
          <w:i/>
          <w:iCs/>
          <w:sz w:val="22"/>
          <w:szCs w:val="22"/>
        </w:rPr>
        <w:t>ype of policy area and availability of information</w:t>
      </w:r>
      <w:r w:rsidR="005518C9" w:rsidRPr="00B457EE">
        <w:rPr>
          <w:rFonts w:cstheme="minorHAnsi"/>
          <w:sz w:val="22"/>
          <w:szCs w:val="22"/>
        </w:rPr>
        <w:t>:</w:t>
      </w:r>
    </w:p>
    <w:p w14:paraId="6B84A2D3" w14:textId="04D8B4BA" w:rsidR="009426C9" w:rsidRDefault="009426C9" w:rsidP="006D4804">
      <w:pPr>
        <w:autoSpaceDE w:val="0"/>
        <w:autoSpaceDN w:val="0"/>
        <w:adjustRightInd w:val="0"/>
        <w:jc w:val="both"/>
        <w:rPr>
          <w:rFonts w:cstheme="minorHAnsi"/>
          <w:sz w:val="22"/>
          <w:szCs w:val="22"/>
        </w:rPr>
      </w:pPr>
      <w:r>
        <w:rPr>
          <w:rFonts w:cstheme="minorHAnsi"/>
          <w:sz w:val="22"/>
          <w:szCs w:val="22"/>
        </w:rPr>
        <w:t xml:space="preserve">Methodological </w:t>
      </w:r>
      <w:r w:rsidRPr="009426C9">
        <w:rPr>
          <w:rFonts w:cstheme="minorHAnsi"/>
          <w:sz w:val="22"/>
          <w:szCs w:val="22"/>
        </w:rPr>
        <w:t>choice</w:t>
      </w:r>
      <w:r>
        <w:rPr>
          <w:rFonts w:cstheme="minorHAnsi"/>
          <w:sz w:val="22"/>
          <w:szCs w:val="22"/>
        </w:rPr>
        <w:t>s</w:t>
      </w:r>
      <w:r w:rsidRPr="009426C9">
        <w:rPr>
          <w:rFonts w:cstheme="minorHAnsi"/>
          <w:sz w:val="22"/>
          <w:szCs w:val="22"/>
        </w:rPr>
        <w:t xml:space="preserve"> </w:t>
      </w:r>
      <w:r>
        <w:rPr>
          <w:rFonts w:cstheme="minorHAnsi"/>
          <w:sz w:val="22"/>
          <w:szCs w:val="22"/>
        </w:rPr>
        <w:t xml:space="preserve">were also made in relation to the </w:t>
      </w:r>
      <w:r w:rsidRPr="00B12680">
        <w:rPr>
          <w:rFonts w:cstheme="minorHAnsi"/>
          <w:i/>
          <w:iCs/>
          <w:sz w:val="22"/>
          <w:szCs w:val="22"/>
        </w:rPr>
        <w:t>type</w:t>
      </w:r>
      <w:r>
        <w:rPr>
          <w:rFonts w:cstheme="minorHAnsi"/>
          <w:sz w:val="22"/>
          <w:szCs w:val="22"/>
        </w:rPr>
        <w:t xml:space="preserve"> of policy area studied. The main project aim was to</w:t>
      </w:r>
      <w:r w:rsidRPr="009426C9">
        <w:rPr>
          <w:rFonts w:cstheme="minorHAnsi"/>
          <w:sz w:val="22"/>
          <w:szCs w:val="22"/>
        </w:rPr>
        <w:t xml:space="preserve"> extend understandings of </w:t>
      </w:r>
      <w:r>
        <w:rPr>
          <w:rFonts w:cstheme="minorHAnsi"/>
          <w:sz w:val="22"/>
          <w:szCs w:val="22"/>
        </w:rPr>
        <w:t>local authority sustainable energy policymaking</w:t>
      </w:r>
      <w:r w:rsidR="006D4804">
        <w:rPr>
          <w:rFonts w:cstheme="minorHAnsi"/>
          <w:sz w:val="22"/>
          <w:szCs w:val="22"/>
        </w:rPr>
        <w:t xml:space="preserve">, which is </w:t>
      </w:r>
      <w:r w:rsidR="001E1F7C">
        <w:rPr>
          <w:rFonts w:cstheme="minorHAnsi"/>
          <w:sz w:val="22"/>
          <w:szCs w:val="22"/>
        </w:rPr>
        <w:t>a</w:t>
      </w:r>
      <w:r w:rsidR="006D4804">
        <w:rPr>
          <w:rFonts w:cstheme="minorHAnsi"/>
          <w:sz w:val="22"/>
          <w:szCs w:val="22"/>
        </w:rPr>
        <w:t>n explicitly</w:t>
      </w:r>
      <w:r w:rsidR="001E1F7C">
        <w:rPr>
          <w:rFonts w:cstheme="minorHAnsi"/>
          <w:sz w:val="22"/>
          <w:szCs w:val="22"/>
        </w:rPr>
        <w:t xml:space="preserve"> new and</w:t>
      </w:r>
      <w:r w:rsidRPr="009426C9">
        <w:rPr>
          <w:rFonts w:cstheme="minorHAnsi"/>
          <w:sz w:val="22"/>
          <w:szCs w:val="22"/>
        </w:rPr>
        <w:t xml:space="preserve"> fast evolving </w:t>
      </w:r>
      <w:r w:rsidR="006D4804">
        <w:rPr>
          <w:rFonts w:cstheme="minorHAnsi"/>
          <w:sz w:val="22"/>
          <w:szCs w:val="22"/>
        </w:rPr>
        <w:t xml:space="preserve">policy area. </w:t>
      </w:r>
      <w:r w:rsidR="00204F17">
        <w:rPr>
          <w:rFonts w:cstheme="minorHAnsi"/>
          <w:sz w:val="22"/>
          <w:szCs w:val="22"/>
        </w:rPr>
        <w:t>In addition, the project sought greater understanding of how fast-moving contexts were influencing local authorities</w:t>
      </w:r>
      <w:r w:rsidR="00315058">
        <w:rPr>
          <w:rFonts w:cstheme="minorHAnsi"/>
          <w:sz w:val="22"/>
          <w:szCs w:val="22"/>
        </w:rPr>
        <w:t>’</w:t>
      </w:r>
      <w:r w:rsidR="00204F17">
        <w:rPr>
          <w:rFonts w:cstheme="minorHAnsi"/>
          <w:sz w:val="22"/>
          <w:szCs w:val="22"/>
        </w:rPr>
        <w:t xml:space="preserve"> capacity to pursue sustainable energy and the types of choices made.</w:t>
      </w:r>
    </w:p>
    <w:p w14:paraId="6DA7F091" w14:textId="77777777" w:rsidR="00204F17" w:rsidRDefault="00204F17" w:rsidP="006D4804">
      <w:pPr>
        <w:autoSpaceDE w:val="0"/>
        <w:autoSpaceDN w:val="0"/>
        <w:adjustRightInd w:val="0"/>
        <w:jc w:val="both"/>
        <w:rPr>
          <w:rFonts w:cstheme="minorHAnsi"/>
          <w:sz w:val="22"/>
          <w:szCs w:val="22"/>
        </w:rPr>
      </w:pPr>
    </w:p>
    <w:p w14:paraId="66698AAF" w14:textId="5B37A2A6" w:rsidR="00DD764A" w:rsidRPr="004A0DF0" w:rsidRDefault="000C227C" w:rsidP="006E3764">
      <w:pPr>
        <w:autoSpaceDE w:val="0"/>
        <w:autoSpaceDN w:val="0"/>
        <w:adjustRightInd w:val="0"/>
        <w:jc w:val="both"/>
        <w:rPr>
          <w:rFonts w:cstheme="minorHAnsi"/>
          <w:sz w:val="22"/>
          <w:szCs w:val="22"/>
        </w:rPr>
      </w:pPr>
      <w:r w:rsidRPr="004A0DF0">
        <w:rPr>
          <w:rFonts w:cstheme="minorHAnsi"/>
          <w:sz w:val="22"/>
          <w:szCs w:val="22"/>
        </w:rPr>
        <w:t xml:space="preserve">There </w:t>
      </w:r>
      <w:r w:rsidR="00EF27AF">
        <w:rPr>
          <w:rFonts w:cstheme="minorHAnsi"/>
          <w:sz w:val="22"/>
          <w:szCs w:val="22"/>
        </w:rPr>
        <w:t>was</w:t>
      </w:r>
      <w:r w:rsidRPr="004A0DF0">
        <w:rPr>
          <w:rFonts w:cstheme="minorHAnsi"/>
          <w:sz w:val="22"/>
          <w:szCs w:val="22"/>
        </w:rPr>
        <w:t xml:space="preserve"> little primary literature on English</w:t>
      </w:r>
      <w:r w:rsidR="00EF27AF">
        <w:rPr>
          <w:rFonts w:cstheme="minorHAnsi"/>
          <w:sz w:val="22"/>
          <w:szCs w:val="22"/>
        </w:rPr>
        <w:t xml:space="preserve"> and Welsh</w:t>
      </w:r>
      <w:r w:rsidRPr="004A0DF0">
        <w:rPr>
          <w:rFonts w:cstheme="minorHAnsi"/>
          <w:sz w:val="22"/>
          <w:szCs w:val="22"/>
        </w:rPr>
        <w:t xml:space="preserve"> local government sustainable</w:t>
      </w:r>
      <w:r w:rsidR="00B457EE">
        <w:rPr>
          <w:rFonts w:cstheme="minorHAnsi"/>
          <w:sz w:val="22"/>
          <w:szCs w:val="22"/>
        </w:rPr>
        <w:t xml:space="preserve"> </w:t>
      </w:r>
      <w:r w:rsidRPr="004A0DF0">
        <w:rPr>
          <w:rFonts w:cstheme="minorHAnsi"/>
          <w:sz w:val="22"/>
          <w:szCs w:val="22"/>
        </w:rPr>
        <w:t>energy</w:t>
      </w:r>
      <w:r w:rsidR="00EF27AF">
        <w:rPr>
          <w:rFonts w:cstheme="minorHAnsi"/>
          <w:sz w:val="22"/>
          <w:szCs w:val="22"/>
        </w:rPr>
        <w:t xml:space="preserve"> when the project started</w:t>
      </w:r>
      <w:r w:rsidRPr="004A0DF0">
        <w:rPr>
          <w:rFonts w:cstheme="minorHAnsi"/>
          <w:sz w:val="22"/>
          <w:szCs w:val="22"/>
        </w:rPr>
        <w:t xml:space="preserve">. </w:t>
      </w:r>
      <w:r w:rsidR="00EF27AF">
        <w:rPr>
          <w:rFonts w:cstheme="minorHAnsi"/>
          <w:sz w:val="22"/>
          <w:szCs w:val="22"/>
        </w:rPr>
        <w:t xml:space="preserve">In order to understand the overall landscape of local authority sustainable energy </w:t>
      </w:r>
      <w:r w:rsidR="00D8325F">
        <w:rPr>
          <w:rFonts w:cstheme="minorHAnsi"/>
          <w:sz w:val="22"/>
          <w:szCs w:val="22"/>
        </w:rPr>
        <w:t>the project initially relied on</w:t>
      </w:r>
      <w:r w:rsidRPr="004A0DF0">
        <w:rPr>
          <w:rFonts w:cstheme="minorHAnsi"/>
          <w:sz w:val="22"/>
          <w:szCs w:val="22"/>
        </w:rPr>
        <w:t xml:space="preserve"> </w:t>
      </w:r>
      <w:r w:rsidR="00D8325F">
        <w:rPr>
          <w:rFonts w:cstheme="minorHAnsi"/>
          <w:sz w:val="22"/>
          <w:szCs w:val="22"/>
        </w:rPr>
        <w:t xml:space="preserve">(emerging) </w:t>
      </w:r>
      <w:r w:rsidRPr="004A0DF0">
        <w:rPr>
          <w:rFonts w:cstheme="minorHAnsi"/>
          <w:sz w:val="22"/>
          <w:szCs w:val="22"/>
        </w:rPr>
        <w:t>secondary literature</w:t>
      </w:r>
      <w:r w:rsidR="00D8325F">
        <w:rPr>
          <w:rFonts w:cstheme="minorHAnsi"/>
          <w:sz w:val="22"/>
          <w:szCs w:val="22"/>
        </w:rPr>
        <w:t>s</w:t>
      </w:r>
      <w:r w:rsidRPr="004A0DF0">
        <w:rPr>
          <w:rFonts w:cstheme="minorHAnsi"/>
          <w:sz w:val="22"/>
          <w:szCs w:val="22"/>
        </w:rPr>
        <w:t>: think</w:t>
      </w:r>
      <w:r w:rsidR="00B457EE">
        <w:rPr>
          <w:rFonts w:cstheme="minorHAnsi"/>
          <w:sz w:val="22"/>
          <w:szCs w:val="22"/>
        </w:rPr>
        <w:t xml:space="preserve"> </w:t>
      </w:r>
      <w:r w:rsidRPr="004A0DF0">
        <w:rPr>
          <w:rFonts w:cstheme="minorHAnsi"/>
          <w:sz w:val="22"/>
          <w:szCs w:val="22"/>
        </w:rPr>
        <w:t>tank consultation documents, NGO reports</w:t>
      </w:r>
      <w:r w:rsidR="001E7080">
        <w:rPr>
          <w:rFonts w:cstheme="minorHAnsi"/>
          <w:sz w:val="22"/>
          <w:szCs w:val="22"/>
        </w:rPr>
        <w:t>, and local organisations</w:t>
      </w:r>
      <w:r w:rsidR="00C25F7A" w:rsidRPr="004A0DF0">
        <w:rPr>
          <w:rFonts w:cstheme="minorHAnsi"/>
          <w:sz w:val="22"/>
          <w:szCs w:val="22"/>
        </w:rPr>
        <w:t>.</w:t>
      </w:r>
      <w:r w:rsidR="00B457EE">
        <w:rPr>
          <w:rFonts w:cstheme="minorHAnsi"/>
          <w:sz w:val="22"/>
          <w:szCs w:val="22"/>
        </w:rPr>
        <w:t xml:space="preserve"> </w:t>
      </w:r>
      <w:r w:rsidR="00C25F7A" w:rsidRPr="004A0DF0">
        <w:rPr>
          <w:rFonts w:cstheme="minorHAnsi"/>
          <w:sz w:val="22"/>
          <w:szCs w:val="22"/>
        </w:rPr>
        <w:t>Interviews</w:t>
      </w:r>
      <w:r w:rsidR="0097672A">
        <w:rPr>
          <w:rFonts w:cstheme="minorHAnsi"/>
          <w:sz w:val="22"/>
          <w:szCs w:val="22"/>
        </w:rPr>
        <w:t xml:space="preserve"> were then used</w:t>
      </w:r>
      <w:r w:rsidR="00C25F7A" w:rsidRPr="004A0DF0">
        <w:rPr>
          <w:rFonts w:cstheme="minorHAnsi"/>
          <w:sz w:val="22"/>
          <w:szCs w:val="22"/>
        </w:rPr>
        <w:t xml:space="preserve"> </w:t>
      </w:r>
      <w:r w:rsidR="0097672A">
        <w:rPr>
          <w:rFonts w:cstheme="minorHAnsi"/>
          <w:sz w:val="22"/>
          <w:szCs w:val="22"/>
        </w:rPr>
        <w:t>as a</w:t>
      </w:r>
      <w:r w:rsidR="00B457EE">
        <w:rPr>
          <w:rFonts w:cstheme="minorHAnsi"/>
          <w:sz w:val="22"/>
          <w:szCs w:val="22"/>
        </w:rPr>
        <w:t xml:space="preserve"> </w:t>
      </w:r>
      <w:r w:rsidR="00C25F7A" w:rsidRPr="004A0DF0">
        <w:rPr>
          <w:rFonts w:cstheme="minorHAnsi"/>
          <w:sz w:val="22"/>
          <w:szCs w:val="22"/>
        </w:rPr>
        <w:t xml:space="preserve">method </w:t>
      </w:r>
      <w:r w:rsidR="0097672A">
        <w:rPr>
          <w:rFonts w:cstheme="minorHAnsi"/>
          <w:sz w:val="22"/>
          <w:szCs w:val="22"/>
        </w:rPr>
        <w:t xml:space="preserve">of building </w:t>
      </w:r>
      <w:r w:rsidR="00853527">
        <w:rPr>
          <w:rFonts w:cstheme="minorHAnsi"/>
          <w:sz w:val="22"/>
          <w:szCs w:val="22"/>
        </w:rPr>
        <w:t xml:space="preserve">up </w:t>
      </w:r>
      <w:r w:rsidR="0097672A">
        <w:rPr>
          <w:rFonts w:cstheme="minorHAnsi"/>
          <w:sz w:val="22"/>
          <w:szCs w:val="22"/>
        </w:rPr>
        <w:t xml:space="preserve">knowledge about local authority sustainable energy policymaking, how processes inter-relate </w:t>
      </w:r>
      <w:r w:rsidR="00853527">
        <w:rPr>
          <w:rFonts w:cstheme="minorHAnsi"/>
          <w:sz w:val="22"/>
          <w:szCs w:val="22"/>
        </w:rPr>
        <w:t>with local and national</w:t>
      </w:r>
      <w:r w:rsidR="0097672A">
        <w:rPr>
          <w:rFonts w:cstheme="minorHAnsi"/>
          <w:sz w:val="22"/>
          <w:szCs w:val="22"/>
        </w:rPr>
        <w:t xml:space="preserve"> material and political contexts, as well as </w:t>
      </w:r>
      <w:r w:rsidR="00C25F7A" w:rsidRPr="004A0DF0">
        <w:rPr>
          <w:rFonts w:cstheme="minorHAnsi"/>
          <w:sz w:val="22"/>
          <w:szCs w:val="22"/>
        </w:rPr>
        <w:t>to access elite practitioner discourses and explore tricky issues</w:t>
      </w:r>
      <w:r w:rsidR="00B457EE">
        <w:rPr>
          <w:rFonts w:cstheme="minorHAnsi"/>
          <w:sz w:val="22"/>
          <w:szCs w:val="22"/>
        </w:rPr>
        <w:t xml:space="preserve"> </w:t>
      </w:r>
      <w:r w:rsidR="00C25F7A" w:rsidRPr="004A0DF0">
        <w:rPr>
          <w:rFonts w:cstheme="minorHAnsi"/>
          <w:sz w:val="22"/>
          <w:szCs w:val="22"/>
        </w:rPr>
        <w:t xml:space="preserve">of power and politics (Burnham </w:t>
      </w:r>
      <w:r w:rsidR="00843837" w:rsidRPr="004A0DF0">
        <w:rPr>
          <w:rFonts w:cstheme="minorHAnsi"/>
          <w:sz w:val="22"/>
          <w:szCs w:val="22"/>
        </w:rPr>
        <w:t>et al 2008</w:t>
      </w:r>
      <w:r w:rsidR="00224D39" w:rsidRPr="004A0DF0">
        <w:rPr>
          <w:rFonts w:cstheme="minorHAnsi"/>
          <w:sz w:val="22"/>
          <w:szCs w:val="22"/>
        </w:rPr>
        <w:t>)</w:t>
      </w:r>
      <w:r w:rsidR="00843837" w:rsidRPr="004A0DF0">
        <w:rPr>
          <w:rFonts w:cstheme="minorHAnsi"/>
          <w:sz w:val="22"/>
          <w:szCs w:val="22"/>
        </w:rPr>
        <w:t>.</w:t>
      </w:r>
      <w:r w:rsidR="006E3764">
        <w:rPr>
          <w:rFonts w:cstheme="minorHAnsi"/>
          <w:sz w:val="22"/>
          <w:szCs w:val="22"/>
        </w:rPr>
        <w:t xml:space="preserve"> </w:t>
      </w:r>
      <w:r w:rsidR="00DD764A" w:rsidRPr="004A0DF0">
        <w:rPr>
          <w:rFonts w:cstheme="minorHAnsi"/>
          <w:sz w:val="22"/>
          <w:szCs w:val="22"/>
        </w:rPr>
        <w:t>Semi-structured interviews</w:t>
      </w:r>
      <w:r w:rsidR="00655637">
        <w:rPr>
          <w:rFonts w:cstheme="minorHAnsi"/>
          <w:sz w:val="22"/>
          <w:szCs w:val="22"/>
        </w:rPr>
        <w:t xml:space="preserve">, immersive </w:t>
      </w:r>
      <w:proofErr w:type="gramStart"/>
      <w:r w:rsidR="00655637">
        <w:rPr>
          <w:rFonts w:cstheme="minorHAnsi"/>
          <w:sz w:val="22"/>
          <w:szCs w:val="22"/>
        </w:rPr>
        <w:t>placements</w:t>
      </w:r>
      <w:proofErr w:type="gramEnd"/>
      <w:r w:rsidR="00655637">
        <w:rPr>
          <w:rFonts w:cstheme="minorHAnsi"/>
          <w:sz w:val="22"/>
          <w:szCs w:val="22"/>
        </w:rPr>
        <w:t xml:space="preserve"> and </w:t>
      </w:r>
      <w:r w:rsidR="00D6568B">
        <w:rPr>
          <w:rFonts w:cstheme="minorHAnsi"/>
          <w:sz w:val="22"/>
          <w:szCs w:val="22"/>
        </w:rPr>
        <w:t>knowledge exchange event,</w:t>
      </w:r>
      <w:r w:rsidR="00853527">
        <w:rPr>
          <w:rFonts w:cstheme="minorHAnsi"/>
          <w:sz w:val="22"/>
          <w:szCs w:val="22"/>
        </w:rPr>
        <w:t xml:space="preserve"> </w:t>
      </w:r>
      <w:r w:rsidR="006E3764">
        <w:rPr>
          <w:rFonts w:cstheme="minorHAnsi"/>
          <w:sz w:val="22"/>
          <w:szCs w:val="22"/>
        </w:rPr>
        <w:t>are</w:t>
      </w:r>
      <w:r w:rsidR="00853527">
        <w:rPr>
          <w:rFonts w:cstheme="minorHAnsi"/>
          <w:sz w:val="22"/>
          <w:szCs w:val="22"/>
        </w:rPr>
        <w:t xml:space="preserve"> particularly</w:t>
      </w:r>
      <w:r w:rsidR="00DD764A" w:rsidRPr="004A0DF0">
        <w:rPr>
          <w:rFonts w:cstheme="minorHAnsi"/>
          <w:sz w:val="22"/>
          <w:szCs w:val="22"/>
        </w:rPr>
        <w:t xml:space="preserve"> effective</w:t>
      </w:r>
      <w:r w:rsidR="00B457EE">
        <w:rPr>
          <w:rFonts w:cstheme="minorHAnsi"/>
          <w:sz w:val="22"/>
          <w:szCs w:val="22"/>
        </w:rPr>
        <w:t xml:space="preserve"> </w:t>
      </w:r>
      <w:r w:rsidR="00DD764A" w:rsidRPr="004A0DF0">
        <w:rPr>
          <w:rFonts w:cstheme="minorHAnsi"/>
          <w:sz w:val="22"/>
          <w:szCs w:val="22"/>
        </w:rPr>
        <w:t xml:space="preserve">in exploring complex phenomenon, </w:t>
      </w:r>
      <w:r w:rsidR="006E3764">
        <w:rPr>
          <w:rFonts w:cstheme="minorHAnsi"/>
          <w:sz w:val="22"/>
          <w:szCs w:val="22"/>
        </w:rPr>
        <w:t xml:space="preserve">like sustainable energy transitions, </w:t>
      </w:r>
      <w:r w:rsidR="00DD764A" w:rsidRPr="004A0DF0">
        <w:rPr>
          <w:rFonts w:cstheme="minorHAnsi"/>
          <w:sz w:val="22"/>
          <w:szCs w:val="22"/>
        </w:rPr>
        <w:t>and emerging, fast-moving</w:t>
      </w:r>
      <w:r w:rsidR="00B457EE">
        <w:rPr>
          <w:rFonts w:cstheme="minorHAnsi"/>
          <w:sz w:val="22"/>
          <w:szCs w:val="22"/>
        </w:rPr>
        <w:t xml:space="preserve"> </w:t>
      </w:r>
      <w:r w:rsidR="00DD764A" w:rsidRPr="004A0DF0">
        <w:rPr>
          <w:rFonts w:cstheme="minorHAnsi"/>
          <w:sz w:val="22"/>
          <w:szCs w:val="22"/>
        </w:rPr>
        <w:t xml:space="preserve">areas of policy such as </w:t>
      </w:r>
      <w:r w:rsidR="006E3764">
        <w:rPr>
          <w:rFonts w:cstheme="minorHAnsi"/>
          <w:sz w:val="22"/>
          <w:szCs w:val="22"/>
        </w:rPr>
        <w:t>climate change</w:t>
      </w:r>
      <w:r w:rsidR="00DD764A" w:rsidRPr="004A0DF0">
        <w:rPr>
          <w:rFonts w:cstheme="minorHAnsi"/>
          <w:sz w:val="22"/>
          <w:szCs w:val="22"/>
        </w:rPr>
        <w:t xml:space="preserve"> </w:t>
      </w:r>
      <w:r w:rsidR="00056DE1" w:rsidRPr="004A0DF0">
        <w:rPr>
          <w:rFonts w:cstheme="minorHAnsi"/>
          <w:sz w:val="22"/>
          <w:szCs w:val="22"/>
        </w:rPr>
        <w:t>(Denscombe 2010; Flick et al 2004).</w:t>
      </w:r>
    </w:p>
    <w:p w14:paraId="574CE7B7" w14:textId="77777777" w:rsidR="00C212AE" w:rsidRPr="004A0DF0" w:rsidRDefault="00C212AE" w:rsidP="0069508C">
      <w:pPr>
        <w:jc w:val="both"/>
        <w:rPr>
          <w:rFonts w:cstheme="minorHAnsi"/>
          <w:sz w:val="22"/>
          <w:szCs w:val="22"/>
        </w:rPr>
      </w:pPr>
    </w:p>
    <w:p w14:paraId="34133A0D" w14:textId="54B84D27" w:rsidR="00EB3727" w:rsidRPr="00EF27AF" w:rsidRDefault="007D75A6" w:rsidP="00EF27AF">
      <w:pPr>
        <w:pStyle w:val="ListParagraph"/>
        <w:numPr>
          <w:ilvl w:val="0"/>
          <w:numId w:val="3"/>
        </w:numPr>
        <w:jc w:val="both"/>
        <w:rPr>
          <w:rFonts w:cstheme="minorHAnsi"/>
          <w:sz w:val="22"/>
          <w:szCs w:val="22"/>
        </w:rPr>
      </w:pPr>
      <w:r>
        <w:rPr>
          <w:rFonts w:cstheme="minorHAnsi"/>
          <w:i/>
          <w:iCs/>
          <w:sz w:val="22"/>
          <w:szCs w:val="22"/>
        </w:rPr>
        <w:t>The n</w:t>
      </w:r>
      <w:r w:rsidR="0069508C" w:rsidRPr="00EF27AF">
        <w:rPr>
          <w:rFonts w:cstheme="minorHAnsi"/>
          <w:i/>
          <w:iCs/>
          <w:sz w:val="22"/>
          <w:szCs w:val="22"/>
        </w:rPr>
        <w:t>ature of information being sought</w:t>
      </w:r>
      <w:r w:rsidR="005518C9" w:rsidRPr="00EF27AF">
        <w:rPr>
          <w:rFonts w:cstheme="minorHAnsi"/>
          <w:sz w:val="22"/>
          <w:szCs w:val="22"/>
        </w:rPr>
        <w:t>:</w:t>
      </w:r>
    </w:p>
    <w:p w14:paraId="47FED403" w14:textId="77777777" w:rsidR="00367600" w:rsidRDefault="007D75A6" w:rsidP="008D3903">
      <w:pPr>
        <w:autoSpaceDE w:val="0"/>
        <w:autoSpaceDN w:val="0"/>
        <w:adjustRightInd w:val="0"/>
        <w:jc w:val="both"/>
        <w:rPr>
          <w:rFonts w:cstheme="minorHAnsi"/>
          <w:sz w:val="22"/>
          <w:szCs w:val="22"/>
        </w:rPr>
      </w:pPr>
      <w:r>
        <w:rPr>
          <w:rFonts w:cstheme="minorHAnsi"/>
          <w:sz w:val="22"/>
          <w:szCs w:val="22"/>
        </w:rPr>
        <w:t xml:space="preserve">The </w:t>
      </w:r>
      <w:r w:rsidR="00B333FB" w:rsidRPr="004A0DF0">
        <w:rPr>
          <w:rFonts w:cstheme="minorHAnsi"/>
          <w:sz w:val="22"/>
          <w:szCs w:val="22"/>
        </w:rPr>
        <w:t>unit of analysis is the local, or combined, authority</w:t>
      </w:r>
      <w:r w:rsidR="00D6568B">
        <w:rPr>
          <w:rFonts w:cstheme="minorHAnsi"/>
          <w:sz w:val="22"/>
          <w:szCs w:val="22"/>
        </w:rPr>
        <w:t xml:space="preserve"> </w:t>
      </w:r>
      <w:r w:rsidR="00B333FB" w:rsidRPr="004A0DF0">
        <w:rPr>
          <w:rFonts w:cstheme="minorHAnsi"/>
          <w:sz w:val="22"/>
          <w:szCs w:val="22"/>
        </w:rPr>
        <w:t xml:space="preserve">itself, and </w:t>
      </w:r>
      <w:r w:rsidR="004D29D5">
        <w:rPr>
          <w:rFonts w:cstheme="minorHAnsi"/>
          <w:sz w:val="22"/>
          <w:szCs w:val="22"/>
        </w:rPr>
        <w:t xml:space="preserve">the project </w:t>
      </w:r>
      <w:r w:rsidR="00B333FB" w:rsidRPr="004A0DF0">
        <w:rPr>
          <w:rFonts w:cstheme="minorHAnsi"/>
          <w:sz w:val="22"/>
          <w:szCs w:val="22"/>
        </w:rPr>
        <w:t>concentrate</w:t>
      </w:r>
      <w:r w:rsidR="004D29D5">
        <w:rPr>
          <w:rFonts w:cstheme="minorHAnsi"/>
          <w:sz w:val="22"/>
          <w:szCs w:val="22"/>
        </w:rPr>
        <w:t>d</w:t>
      </w:r>
      <w:r w:rsidR="00B333FB" w:rsidRPr="004A0DF0">
        <w:rPr>
          <w:rFonts w:cstheme="minorHAnsi"/>
          <w:sz w:val="22"/>
          <w:szCs w:val="22"/>
        </w:rPr>
        <w:t xml:space="preserve"> on authorities considered either to be</w:t>
      </w:r>
      <w:r w:rsidR="00D6568B">
        <w:rPr>
          <w:rFonts w:cstheme="minorHAnsi"/>
          <w:sz w:val="22"/>
          <w:szCs w:val="22"/>
        </w:rPr>
        <w:t xml:space="preserve"> </w:t>
      </w:r>
      <w:r w:rsidR="00B333FB" w:rsidRPr="004A0DF0">
        <w:rPr>
          <w:rFonts w:cstheme="minorHAnsi"/>
          <w:sz w:val="22"/>
          <w:szCs w:val="22"/>
        </w:rPr>
        <w:t>leaders or up-and-coming in the field of sustainable energy. These were</w:t>
      </w:r>
      <w:r w:rsidR="00D6568B">
        <w:rPr>
          <w:rFonts w:cstheme="minorHAnsi"/>
          <w:sz w:val="22"/>
          <w:szCs w:val="22"/>
        </w:rPr>
        <w:t xml:space="preserve"> </w:t>
      </w:r>
      <w:r w:rsidR="00B333FB" w:rsidRPr="004A0DF0">
        <w:rPr>
          <w:rFonts w:cstheme="minorHAnsi"/>
          <w:sz w:val="22"/>
          <w:szCs w:val="22"/>
        </w:rPr>
        <w:t xml:space="preserve">identified through </w:t>
      </w:r>
      <w:r w:rsidR="004D29D5">
        <w:rPr>
          <w:rFonts w:cstheme="minorHAnsi"/>
          <w:sz w:val="22"/>
          <w:szCs w:val="22"/>
        </w:rPr>
        <w:t xml:space="preserve">the initial </w:t>
      </w:r>
      <w:r w:rsidR="00B333FB" w:rsidRPr="004A0DF0">
        <w:rPr>
          <w:rFonts w:cstheme="minorHAnsi"/>
          <w:sz w:val="22"/>
          <w:szCs w:val="22"/>
        </w:rPr>
        <w:t>analysis of central government, local government</w:t>
      </w:r>
      <w:r w:rsidR="00D6568B">
        <w:rPr>
          <w:rFonts w:cstheme="minorHAnsi"/>
          <w:sz w:val="22"/>
          <w:szCs w:val="22"/>
        </w:rPr>
        <w:t xml:space="preserve"> </w:t>
      </w:r>
      <w:r w:rsidR="00B333FB" w:rsidRPr="004A0DF0">
        <w:rPr>
          <w:rFonts w:cstheme="minorHAnsi"/>
          <w:sz w:val="22"/>
          <w:szCs w:val="22"/>
        </w:rPr>
        <w:t>association and industry literatures relating to local energy transitions,</w:t>
      </w:r>
      <w:r w:rsidR="00D6568B">
        <w:rPr>
          <w:rFonts w:cstheme="minorHAnsi"/>
          <w:sz w:val="22"/>
          <w:szCs w:val="22"/>
        </w:rPr>
        <w:t xml:space="preserve"> </w:t>
      </w:r>
      <w:r w:rsidR="00B333FB" w:rsidRPr="004A0DF0">
        <w:rPr>
          <w:rFonts w:cstheme="minorHAnsi"/>
          <w:sz w:val="22"/>
          <w:szCs w:val="22"/>
        </w:rPr>
        <w:t>with authorities regularly identified as particularly active in sustainable</w:t>
      </w:r>
      <w:r w:rsidR="00D6568B">
        <w:rPr>
          <w:rFonts w:cstheme="minorHAnsi"/>
          <w:sz w:val="22"/>
          <w:szCs w:val="22"/>
        </w:rPr>
        <w:t xml:space="preserve"> </w:t>
      </w:r>
      <w:r w:rsidR="00B333FB" w:rsidRPr="004A0DF0">
        <w:rPr>
          <w:rFonts w:cstheme="minorHAnsi"/>
          <w:sz w:val="22"/>
          <w:szCs w:val="22"/>
        </w:rPr>
        <w:t xml:space="preserve">energy selected. This reflects </w:t>
      </w:r>
      <w:r w:rsidR="008D3903">
        <w:rPr>
          <w:rFonts w:cstheme="minorHAnsi"/>
          <w:sz w:val="22"/>
          <w:szCs w:val="22"/>
        </w:rPr>
        <w:t>the project’s</w:t>
      </w:r>
      <w:r w:rsidR="00B333FB" w:rsidRPr="004A0DF0">
        <w:rPr>
          <w:rFonts w:cstheme="minorHAnsi"/>
          <w:sz w:val="22"/>
          <w:szCs w:val="22"/>
        </w:rPr>
        <w:t xml:space="preserve"> interest </w:t>
      </w:r>
      <w:r w:rsidR="00E531B7">
        <w:rPr>
          <w:rFonts w:cstheme="minorHAnsi"/>
          <w:sz w:val="22"/>
          <w:szCs w:val="22"/>
        </w:rPr>
        <w:t xml:space="preserve">in </w:t>
      </w:r>
      <w:r w:rsidR="00B34141">
        <w:rPr>
          <w:rFonts w:cstheme="minorHAnsi"/>
          <w:sz w:val="22"/>
          <w:szCs w:val="22"/>
        </w:rPr>
        <w:t>better understanding</w:t>
      </w:r>
      <w:r w:rsidR="00B333FB" w:rsidRPr="004A0DF0">
        <w:rPr>
          <w:rFonts w:cstheme="minorHAnsi"/>
          <w:sz w:val="22"/>
          <w:szCs w:val="22"/>
        </w:rPr>
        <w:t xml:space="preserve"> local government sustainable energy polic</w:t>
      </w:r>
      <w:r w:rsidR="00B34141">
        <w:rPr>
          <w:rFonts w:cstheme="minorHAnsi"/>
          <w:sz w:val="22"/>
          <w:szCs w:val="22"/>
        </w:rPr>
        <w:t>ymaking,</w:t>
      </w:r>
      <w:r w:rsidR="007A6455">
        <w:rPr>
          <w:rFonts w:cstheme="minorHAnsi"/>
          <w:sz w:val="22"/>
          <w:szCs w:val="22"/>
        </w:rPr>
        <w:t xml:space="preserve"> which is best done by analysing those active in this area (with more experience</w:t>
      </w:r>
      <w:r w:rsidR="00297FD5">
        <w:rPr>
          <w:rFonts w:cstheme="minorHAnsi"/>
          <w:sz w:val="22"/>
          <w:szCs w:val="22"/>
        </w:rPr>
        <w:t>)</w:t>
      </w:r>
      <w:r w:rsidR="00B333FB" w:rsidRPr="004A0DF0">
        <w:rPr>
          <w:rFonts w:cstheme="minorHAnsi"/>
          <w:sz w:val="22"/>
          <w:szCs w:val="22"/>
        </w:rPr>
        <w:t xml:space="preserve">. </w:t>
      </w:r>
    </w:p>
    <w:p w14:paraId="3B75C832" w14:textId="77777777" w:rsidR="00367600" w:rsidRDefault="00367600" w:rsidP="008D3903">
      <w:pPr>
        <w:autoSpaceDE w:val="0"/>
        <w:autoSpaceDN w:val="0"/>
        <w:adjustRightInd w:val="0"/>
        <w:jc w:val="both"/>
        <w:rPr>
          <w:rFonts w:cstheme="minorHAnsi"/>
          <w:sz w:val="22"/>
          <w:szCs w:val="22"/>
        </w:rPr>
      </w:pPr>
    </w:p>
    <w:p w14:paraId="0F40A0C2" w14:textId="00C36256" w:rsidR="003627D0" w:rsidRPr="004A0DF0" w:rsidRDefault="00B333FB" w:rsidP="00297FD5">
      <w:pPr>
        <w:autoSpaceDE w:val="0"/>
        <w:autoSpaceDN w:val="0"/>
        <w:adjustRightInd w:val="0"/>
        <w:jc w:val="both"/>
        <w:rPr>
          <w:rFonts w:cstheme="minorHAnsi"/>
          <w:sz w:val="22"/>
          <w:szCs w:val="22"/>
        </w:rPr>
      </w:pPr>
      <w:r w:rsidRPr="004A0DF0">
        <w:rPr>
          <w:rFonts w:cstheme="minorHAnsi"/>
          <w:sz w:val="22"/>
          <w:szCs w:val="22"/>
        </w:rPr>
        <w:t>The case studies represent a</w:t>
      </w:r>
      <w:r w:rsidR="00D6568B">
        <w:rPr>
          <w:rFonts w:cstheme="minorHAnsi"/>
          <w:sz w:val="22"/>
          <w:szCs w:val="22"/>
        </w:rPr>
        <w:t xml:space="preserve"> </w:t>
      </w:r>
      <w:r w:rsidRPr="004A0DF0">
        <w:rPr>
          <w:rFonts w:cstheme="minorHAnsi"/>
          <w:sz w:val="22"/>
          <w:szCs w:val="22"/>
        </w:rPr>
        <w:t>geographically and demographically diverse set, incorporating five</w:t>
      </w:r>
      <w:r w:rsidR="00D6568B">
        <w:rPr>
          <w:rFonts w:cstheme="minorHAnsi"/>
          <w:sz w:val="22"/>
          <w:szCs w:val="22"/>
        </w:rPr>
        <w:t xml:space="preserve"> </w:t>
      </w:r>
      <w:r w:rsidRPr="004A0DF0">
        <w:rPr>
          <w:rFonts w:cstheme="minorHAnsi"/>
          <w:sz w:val="22"/>
          <w:szCs w:val="22"/>
        </w:rPr>
        <w:t>urban authorities, one rural authority (Cornwall) and two mixed areas</w:t>
      </w:r>
      <w:r w:rsidR="00D6568B">
        <w:rPr>
          <w:rFonts w:cstheme="minorHAnsi"/>
          <w:sz w:val="22"/>
          <w:szCs w:val="22"/>
        </w:rPr>
        <w:t xml:space="preserve"> </w:t>
      </w:r>
      <w:r w:rsidRPr="004A0DF0">
        <w:rPr>
          <w:rFonts w:cstheme="minorHAnsi"/>
          <w:sz w:val="22"/>
          <w:szCs w:val="22"/>
        </w:rPr>
        <w:t xml:space="preserve">(Swindon, West Midlands). </w:t>
      </w:r>
      <w:r w:rsidR="00367600">
        <w:rPr>
          <w:rFonts w:cstheme="minorHAnsi"/>
          <w:sz w:val="22"/>
          <w:szCs w:val="22"/>
        </w:rPr>
        <w:t>T</w:t>
      </w:r>
      <w:r w:rsidRPr="004A0DF0">
        <w:rPr>
          <w:rFonts w:cstheme="minorHAnsi"/>
          <w:sz w:val="22"/>
          <w:szCs w:val="22"/>
        </w:rPr>
        <w:t>h</w:t>
      </w:r>
      <w:r w:rsidR="00297FD5">
        <w:rPr>
          <w:rFonts w:cstheme="minorHAnsi"/>
          <w:sz w:val="22"/>
          <w:szCs w:val="22"/>
        </w:rPr>
        <w:t>e</w:t>
      </w:r>
      <w:r w:rsidRPr="004A0DF0">
        <w:rPr>
          <w:rFonts w:cstheme="minorHAnsi"/>
          <w:sz w:val="22"/>
          <w:szCs w:val="22"/>
        </w:rPr>
        <w:t xml:space="preserve"> selection</w:t>
      </w:r>
      <w:r w:rsidR="00D6568B">
        <w:rPr>
          <w:rFonts w:cstheme="minorHAnsi"/>
          <w:sz w:val="22"/>
          <w:szCs w:val="22"/>
        </w:rPr>
        <w:t xml:space="preserve"> </w:t>
      </w:r>
      <w:r w:rsidRPr="004A0DF0">
        <w:rPr>
          <w:rFonts w:cstheme="minorHAnsi"/>
          <w:sz w:val="22"/>
          <w:szCs w:val="22"/>
        </w:rPr>
        <w:t xml:space="preserve">of </w:t>
      </w:r>
      <w:r w:rsidR="006C242E">
        <w:rPr>
          <w:rFonts w:cstheme="minorHAnsi"/>
          <w:sz w:val="22"/>
          <w:szCs w:val="22"/>
        </w:rPr>
        <w:t>six case studies</w:t>
      </w:r>
      <w:r w:rsidRPr="004A0DF0">
        <w:rPr>
          <w:rFonts w:cstheme="minorHAnsi"/>
          <w:sz w:val="22"/>
          <w:szCs w:val="22"/>
        </w:rPr>
        <w:t xml:space="preserve"> is representative of local authority administrative types in</w:t>
      </w:r>
      <w:r w:rsidR="00D6568B">
        <w:rPr>
          <w:rFonts w:cstheme="minorHAnsi"/>
          <w:sz w:val="22"/>
          <w:szCs w:val="22"/>
        </w:rPr>
        <w:t xml:space="preserve"> </w:t>
      </w:r>
      <w:r w:rsidRPr="004A0DF0">
        <w:rPr>
          <w:rFonts w:cstheme="minorHAnsi"/>
          <w:sz w:val="22"/>
          <w:szCs w:val="22"/>
        </w:rPr>
        <w:t>England</w:t>
      </w:r>
      <w:r w:rsidR="006C242E">
        <w:rPr>
          <w:rFonts w:cstheme="minorHAnsi"/>
          <w:sz w:val="22"/>
          <w:szCs w:val="22"/>
        </w:rPr>
        <w:t xml:space="preserve"> and Wales.</w:t>
      </w:r>
      <w:r w:rsidRPr="004A0DF0">
        <w:rPr>
          <w:rFonts w:cstheme="minorHAnsi"/>
          <w:sz w:val="22"/>
          <w:szCs w:val="22"/>
        </w:rPr>
        <w:t xml:space="preserve"> </w:t>
      </w:r>
      <w:r w:rsidR="006C242E">
        <w:rPr>
          <w:rFonts w:cstheme="minorHAnsi"/>
          <w:sz w:val="22"/>
          <w:szCs w:val="22"/>
        </w:rPr>
        <w:t>Although</w:t>
      </w:r>
      <w:r w:rsidRPr="004A0DF0">
        <w:rPr>
          <w:rFonts w:cstheme="minorHAnsi"/>
          <w:sz w:val="22"/>
          <w:szCs w:val="22"/>
        </w:rPr>
        <w:t xml:space="preserve"> the selection does not contain any non-unitary district</w:t>
      </w:r>
      <w:r w:rsidR="00D6568B">
        <w:rPr>
          <w:rFonts w:cstheme="minorHAnsi"/>
          <w:sz w:val="22"/>
          <w:szCs w:val="22"/>
        </w:rPr>
        <w:t xml:space="preserve"> </w:t>
      </w:r>
      <w:r w:rsidRPr="004A0DF0">
        <w:rPr>
          <w:rFonts w:cstheme="minorHAnsi"/>
          <w:sz w:val="22"/>
          <w:szCs w:val="22"/>
        </w:rPr>
        <w:t xml:space="preserve">authorities, </w:t>
      </w:r>
      <w:r w:rsidR="006C242E">
        <w:rPr>
          <w:rFonts w:cstheme="minorHAnsi"/>
          <w:sz w:val="22"/>
          <w:szCs w:val="22"/>
        </w:rPr>
        <w:t xml:space="preserve">it does </w:t>
      </w:r>
      <w:r w:rsidRPr="004A0DF0">
        <w:rPr>
          <w:rFonts w:cstheme="minorHAnsi"/>
          <w:sz w:val="22"/>
          <w:szCs w:val="22"/>
        </w:rPr>
        <w:t>represent a diverse selection of authorities</w:t>
      </w:r>
      <w:r w:rsidR="00D6568B">
        <w:rPr>
          <w:rFonts w:cstheme="minorHAnsi"/>
          <w:sz w:val="22"/>
          <w:szCs w:val="22"/>
        </w:rPr>
        <w:t xml:space="preserve"> </w:t>
      </w:r>
      <w:r w:rsidRPr="004A0DF0">
        <w:rPr>
          <w:rFonts w:cstheme="minorHAnsi"/>
          <w:sz w:val="22"/>
          <w:szCs w:val="22"/>
        </w:rPr>
        <w:t xml:space="preserve">active in sustainable energy. </w:t>
      </w:r>
      <w:r w:rsidR="008C041A">
        <w:rPr>
          <w:rFonts w:cstheme="minorHAnsi"/>
          <w:sz w:val="22"/>
          <w:szCs w:val="22"/>
        </w:rPr>
        <w:t>T</w:t>
      </w:r>
      <w:r w:rsidRPr="004A0DF0">
        <w:rPr>
          <w:rFonts w:cstheme="minorHAnsi"/>
          <w:sz w:val="22"/>
          <w:szCs w:val="22"/>
        </w:rPr>
        <w:t xml:space="preserve">he selection of </w:t>
      </w:r>
      <w:r w:rsidR="008C041A">
        <w:rPr>
          <w:rFonts w:cstheme="minorHAnsi"/>
          <w:sz w:val="22"/>
          <w:szCs w:val="22"/>
        </w:rPr>
        <w:t>six</w:t>
      </w:r>
      <w:r w:rsidR="00D6568B">
        <w:rPr>
          <w:rFonts w:cstheme="minorHAnsi"/>
          <w:sz w:val="22"/>
          <w:szCs w:val="22"/>
        </w:rPr>
        <w:t xml:space="preserve"> </w:t>
      </w:r>
      <w:r w:rsidRPr="004A0DF0">
        <w:rPr>
          <w:rFonts w:cstheme="minorHAnsi"/>
          <w:sz w:val="22"/>
          <w:szCs w:val="22"/>
        </w:rPr>
        <w:t>cases with</w:t>
      </w:r>
      <w:r w:rsidR="00E83CCA">
        <w:rPr>
          <w:rFonts w:cstheme="minorHAnsi"/>
          <w:sz w:val="22"/>
          <w:szCs w:val="22"/>
        </w:rPr>
        <w:t>in</w:t>
      </w:r>
      <w:r w:rsidRPr="004A0DF0">
        <w:rPr>
          <w:rFonts w:cstheme="minorHAnsi"/>
          <w:sz w:val="22"/>
          <w:szCs w:val="22"/>
        </w:rPr>
        <w:t xml:space="preserve"> the same national jurisdiction aids analysis of the interaction</w:t>
      </w:r>
      <w:r w:rsidR="00D6568B">
        <w:rPr>
          <w:rFonts w:cstheme="minorHAnsi"/>
          <w:sz w:val="22"/>
          <w:szCs w:val="22"/>
        </w:rPr>
        <w:t xml:space="preserve"> </w:t>
      </w:r>
      <w:r w:rsidRPr="004A0DF0">
        <w:rPr>
          <w:rFonts w:cstheme="minorHAnsi"/>
          <w:sz w:val="22"/>
          <w:szCs w:val="22"/>
        </w:rPr>
        <w:t xml:space="preserve">between </w:t>
      </w:r>
      <w:r w:rsidR="00E83CCA">
        <w:rPr>
          <w:rFonts w:cstheme="minorHAnsi"/>
          <w:sz w:val="22"/>
          <w:szCs w:val="22"/>
        </w:rPr>
        <w:t>national political context</w:t>
      </w:r>
      <w:r w:rsidRPr="004A0DF0">
        <w:rPr>
          <w:rFonts w:cstheme="minorHAnsi"/>
          <w:sz w:val="22"/>
          <w:szCs w:val="22"/>
        </w:rPr>
        <w:t xml:space="preserve"> and </w:t>
      </w:r>
      <w:r w:rsidR="00E83CCA">
        <w:rPr>
          <w:rFonts w:cstheme="minorHAnsi"/>
          <w:sz w:val="22"/>
          <w:szCs w:val="22"/>
        </w:rPr>
        <w:t>local policymaking</w:t>
      </w:r>
      <w:r w:rsidRPr="004A0DF0">
        <w:rPr>
          <w:rFonts w:cstheme="minorHAnsi"/>
          <w:sz w:val="22"/>
          <w:szCs w:val="22"/>
        </w:rPr>
        <w:t>.</w:t>
      </w:r>
      <w:r w:rsidR="00D6568B">
        <w:rPr>
          <w:rFonts w:cstheme="minorHAnsi"/>
          <w:sz w:val="22"/>
          <w:szCs w:val="22"/>
        </w:rPr>
        <w:t xml:space="preserve"> </w:t>
      </w:r>
      <w:r w:rsidR="009734F4" w:rsidRPr="004A0DF0">
        <w:rPr>
          <w:rFonts w:cstheme="minorHAnsi"/>
          <w:sz w:val="22"/>
          <w:szCs w:val="22"/>
        </w:rPr>
        <w:t xml:space="preserve">All interviews took the form of extended face-to-face conversations and were loosely structured around a set of questions about </w:t>
      </w:r>
      <w:r w:rsidR="007F53AC">
        <w:rPr>
          <w:rFonts w:cstheme="minorHAnsi"/>
          <w:sz w:val="22"/>
          <w:szCs w:val="22"/>
        </w:rPr>
        <w:t>sustainable energy</w:t>
      </w:r>
      <w:r w:rsidR="009734F4" w:rsidRPr="004A0DF0">
        <w:rPr>
          <w:rFonts w:cstheme="minorHAnsi"/>
          <w:sz w:val="22"/>
          <w:szCs w:val="22"/>
        </w:rPr>
        <w:t xml:space="preserve"> polic</w:t>
      </w:r>
      <w:r w:rsidR="00B42811">
        <w:rPr>
          <w:rFonts w:cstheme="minorHAnsi"/>
          <w:sz w:val="22"/>
          <w:szCs w:val="22"/>
        </w:rPr>
        <w:t>y choices</w:t>
      </w:r>
      <w:r w:rsidR="009734F4" w:rsidRPr="004A0DF0">
        <w:rPr>
          <w:rFonts w:cstheme="minorHAnsi"/>
          <w:sz w:val="22"/>
          <w:szCs w:val="22"/>
        </w:rPr>
        <w:t xml:space="preserve">, </w:t>
      </w:r>
      <w:r w:rsidR="00B42811">
        <w:rPr>
          <w:rFonts w:cstheme="minorHAnsi"/>
          <w:sz w:val="22"/>
          <w:szCs w:val="22"/>
        </w:rPr>
        <w:t xml:space="preserve">local and national </w:t>
      </w:r>
      <w:r w:rsidR="009734F4" w:rsidRPr="004A0DF0">
        <w:rPr>
          <w:rFonts w:cstheme="minorHAnsi"/>
          <w:sz w:val="22"/>
          <w:szCs w:val="22"/>
        </w:rPr>
        <w:t>politics</w:t>
      </w:r>
      <w:r w:rsidR="00B42811">
        <w:rPr>
          <w:rFonts w:cstheme="minorHAnsi"/>
          <w:sz w:val="22"/>
          <w:szCs w:val="22"/>
        </w:rPr>
        <w:t>, and</w:t>
      </w:r>
      <w:r w:rsidR="009734F4" w:rsidRPr="004A0DF0">
        <w:rPr>
          <w:rFonts w:cstheme="minorHAnsi"/>
          <w:sz w:val="22"/>
          <w:szCs w:val="22"/>
        </w:rPr>
        <w:t xml:space="preserve"> how </w:t>
      </w:r>
      <w:r w:rsidR="007F53AC">
        <w:rPr>
          <w:rFonts w:cstheme="minorHAnsi"/>
          <w:sz w:val="22"/>
          <w:szCs w:val="22"/>
        </w:rPr>
        <w:t>energy systems</w:t>
      </w:r>
      <w:r w:rsidR="009734F4" w:rsidRPr="004A0DF0">
        <w:rPr>
          <w:rFonts w:cstheme="minorHAnsi"/>
          <w:sz w:val="22"/>
          <w:szCs w:val="22"/>
        </w:rPr>
        <w:t xml:space="preserve"> were changing. This less formal approach allowed for interviewees to offer their expertise unrestricted by too much pre-supposition on behalf of the interviewer.</w:t>
      </w:r>
    </w:p>
    <w:p w14:paraId="77BD387E" w14:textId="65D100CD" w:rsidR="00EB3FF4" w:rsidRPr="00787009" w:rsidRDefault="00EB3FF4" w:rsidP="0069508C">
      <w:pPr>
        <w:jc w:val="both"/>
        <w:rPr>
          <w:rFonts w:cstheme="minorHAnsi"/>
          <w:sz w:val="22"/>
          <w:szCs w:val="22"/>
        </w:rPr>
      </w:pPr>
    </w:p>
    <w:p w14:paraId="1E1893E3" w14:textId="77777777" w:rsidR="00593B41" w:rsidRPr="00787009" w:rsidRDefault="00593B41" w:rsidP="0069508C">
      <w:pPr>
        <w:jc w:val="both"/>
        <w:rPr>
          <w:rFonts w:cstheme="minorHAnsi"/>
          <w:sz w:val="22"/>
          <w:szCs w:val="22"/>
        </w:rPr>
      </w:pPr>
    </w:p>
    <w:p w14:paraId="1B9A7C78" w14:textId="5ACCF06D" w:rsidR="00C05958" w:rsidRPr="00787009" w:rsidRDefault="00C05958" w:rsidP="004D2A7B">
      <w:pPr>
        <w:rPr>
          <w:rFonts w:cstheme="minorHAnsi"/>
        </w:rPr>
      </w:pPr>
      <w:r w:rsidRPr="00787009">
        <w:rPr>
          <w:rFonts w:cstheme="minorHAnsi"/>
          <w:b/>
          <w:bCs/>
        </w:rPr>
        <w:t xml:space="preserve">Ethics &amp; </w:t>
      </w:r>
      <w:r w:rsidR="00AD15A6" w:rsidRPr="00787009">
        <w:rPr>
          <w:rFonts w:cstheme="minorHAnsi"/>
          <w:b/>
          <w:bCs/>
        </w:rPr>
        <w:t>Consent</w:t>
      </w:r>
      <w:r w:rsidR="00AD15A6" w:rsidRPr="00787009">
        <w:rPr>
          <w:rFonts w:cstheme="minorHAnsi"/>
        </w:rPr>
        <w:t>:</w:t>
      </w:r>
    </w:p>
    <w:p w14:paraId="3F3E2B55" w14:textId="2B1401C5" w:rsidR="004A3E60" w:rsidRPr="004E2001" w:rsidRDefault="0000290D" w:rsidP="00360ECA">
      <w:pPr>
        <w:jc w:val="both"/>
        <w:rPr>
          <w:rFonts w:eastAsia="Times New Roman" w:cstheme="minorHAnsi"/>
          <w:color w:val="000000"/>
          <w:sz w:val="22"/>
          <w:szCs w:val="22"/>
          <w:lang w:eastAsia="en-GB"/>
        </w:rPr>
      </w:pPr>
      <w:r w:rsidRPr="004A0DF0">
        <w:rPr>
          <w:rFonts w:cstheme="minorHAnsi"/>
          <w:sz w:val="22"/>
          <w:szCs w:val="22"/>
        </w:rPr>
        <w:t>Some of the subject matter</w:t>
      </w:r>
      <w:r w:rsidR="00026B53" w:rsidRPr="004A0DF0">
        <w:rPr>
          <w:rFonts w:cstheme="minorHAnsi"/>
          <w:sz w:val="22"/>
          <w:szCs w:val="22"/>
        </w:rPr>
        <w:t xml:space="preserve"> discussed </w:t>
      </w:r>
      <w:r w:rsidR="00CB6464" w:rsidRPr="004A0DF0">
        <w:rPr>
          <w:rFonts w:cstheme="minorHAnsi"/>
          <w:sz w:val="22"/>
          <w:szCs w:val="22"/>
        </w:rPr>
        <w:t>during qualitative interviews</w:t>
      </w:r>
      <w:r w:rsidR="00026B53" w:rsidRPr="004A0DF0">
        <w:rPr>
          <w:rFonts w:cstheme="minorHAnsi"/>
          <w:sz w:val="22"/>
          <w:szCs w:val="22"/>
        </w:rPr>
        <w:t>, and during placements at local authorities and NGOs,</w:t>
      </w:r>
      <w:r w:rsidR="00CB6464" w:rsidRPr="004A0DF0">
        <w:rPr>
          <w:rFonts w:cstheme="minorHAnsi"/>
          <w:sz w:val="22"/>
          <w:szCs w:val="22"/>
        </w:rPr>
        <w:t xml:space="preserve"> </w:t>
      </w:r>
      <w:r w:rsidR="00026B53" w:rsidRPr="004A0DF0">
        <w:rPr>
          <w:rFonts w:cstheme="minorHAnsi"/>
          <w:sz w:val="22"/>
          <w:szCs w:val="22"/>
        </w:rPr>
        <w:t>was politically</w:t>
      </w:r>
      <w:r w:rsidR="00CB6464" w:rsidRPr="004A0DF0">
        <w:rPr>
          <w:rFonts w:cstheme="minorHAnsi"/>
          <w:sz w:val="22"/>
          <w:szCs w:val="22"/>
        </w:rPr>
        <w:t xml:space="preserve"> sensitive in nature, </w:t>
      </w:r>
      <w:r w:rsidR="00026B53" w:rsidRPr="004A0DF0">
        <w:rPr>
          <w:rFonts w:cstheme="minorHAnsi"/>
          <w:sz w:val="22"/>
          <w:szCs w:val="22"/>
        </w:rPr>
        <w:t>and</w:t>
      </w:r>
      <w:r w:rsidR="00CB6464" w:rsidRPr="004A0DF0">
        <w:rPr>
          <w:rFonts w:cstheme="minorHAnsi"/>
          <w:sz w:val="22"/>
          <w:szCs w:val="22"/>
        </w:rPr>
        <w:t xml:space="preserve"> interviewees </w:t>
      </w:r>
      <w:r w:rsidR="00026B53" w:rsidRPr="004A0DF0">
        <w:rPr>
          <w:rFonts w:cstheme="minorHAnsi"/>
          <w:sz w:val="22"/>
          <w:szCs w:val="22"/>
        </w:rPr>
        <w:t>generally</w:t>
      </w:r>
      <w:r w:rsidR="00CB6464" w:rsidRPr="004A0DF0">
        <w:rPr>
          <w:rFonts w:cstheme="minorHAnsi"/>
          <w:sz w:val="22"/>
          <w:szCs w:val="22"/>
        </w:rPr>
        <w:t xml:space="preserve"> prefer</w:t>
      </w:r>
      <w:r w:rsidR="00026B53" w:rsidRPr="004A0DF0">
        <w:rPr>
          <w:rFonts w:cstheme="minorHAnsi"/>
          <w:sz w:val="22"/>
          <w:szCs w:val="22"/>
        </w:rPr>
        <w:t>red</w:t>
      </w:r>
      <w:r w:rsidR="00CB6464" w:rsidRPr="004A0DF0">
        <w:rPr>
          <w:rFonts w:cstheme="minorHAnsi"/>
          <w:sz w:val="22"/>
          <w:szCs w:val="22"/>
        </w:rPr>
        <w:t xml:space="preserve"> anonymity</w:t>
      </w:r>
      <w:r w:rsidR="00026B53" w:rsidRPr="004A0DF0">
        <w:rPr>
          <w:rFonts w:cstheme="minorHAnsi"/>
          <w:sz w:val="22"/>
          <w:szCs w:val="22"/>
        </w:rPr>
        <w:t>. This was</w:t>
      </w:r>
      <w:proofErr w:type="gramStart"/>
      <w:r w:rsidR="00026B53" w:rsidRPr="004A0DF0">
        <w:rPr>
          <w:rFonts w:cstheme="minorHAnsi"/>
          <w:sz w:val="22"/>
          <w:szCs w:val="22"/>
        </w:rPr>
        <w:t>,</w:t>
      </w:r>
      <w:r w:rsidR="00CB6464" w:rsidRPr="004A0DF0">
        <w:rPr>
          <w:rFonts w:cstheme="minorHAnsi"/>
          <w:sz w:val="22"/>
          <w:szCs w:val="22"/>
        </w:rPr>
        <w:t xml:space="preserve"> in particular</w:t>
      </w:r>
      <w:r w:rsidR="00026B53" w:rsidRPr="004A0DF0">
        <w:rPr>
          <w:rFonts w:cstheme="minorHAnsi"/>
          <w:sz w:val="22"/>
          <w:szCs w:val="22"/>
        </w:rPr>
        <w:t>,</w:t>
      </w:r>
      <w:r w:rsidR="00CB6464" w:rsidRPr="004A0DF0">
        <w:rPr>
          <w:rFonts w:cstheme="minorHAnsi"/>
          <w:sz w:val="22"/>
          <w:szCs w:val="22"/>
        </w:rPr>
        <w:t xml:space="preserve"> when</w:t>
      </w:r>
      <w:proofErr w:type="gramEnd"/>
      <w:r w:rsidR="00CB6464" w:rsidRPr="004A0DF0">
        <w:rPr>
          <w:rFonts w:cstheme="minorHAnsi"/>
          <w:sz w:val="22"/>
          <w:szCs w:val="22"/>
        </w:rPr>
        <w:t xml:space="preserve"> their answers </w:t>
      </w:r>
      <w:r w:rsidR="00026B53" w:rsidRPr="004A0DF0">
        <w:rPr>
          <w:rFonts w:cstheme="minorHAnsi"/>
          <w:sz w:val="22"/>
          <w:szCs w:val="22"/>
        </w:rPr>
        <w:t>might be</w:t>
      </w:r>
      <w:r w:rsidR="00CB6464" w:rsidRPr="004A0DF0">
        <w:rPr>
          <w:rFonts w:cstheme="minorHAnsi"/>
          <w:sz w:val="22"/>
          <w:szCs w:val="22"/>
        </w:rPr>
        <w:t xml:space="preserve"> referred to in written text</w:t>
      </w:r>
      <w:r w:rsidRPr="004A0DF0">
        <w:rPr>
          <w:rFonts w:cstheme="minorHAnsi"/>
          <w:sz w:val="22"/>
          <w:szCs w:val="22"/>
        </w:rPr>
        <w:t xml:space="preserve"> format</w:t>
      </w:r>
      <w:r w:rsidR="00CB6464" w:rsidRPr="004A0DF0">
        <w:rPr>
          <w:rFonts w:cstheme="minorHAnsi"/>
          <w:sz w:val="22"/>
          <w:szCs w:val="22"/>
        </w:rPr>
        <w:t>. For this reason</w:t>
      </w:r>
      <w:r w:rsidR="00026B53" w:rsidRPr="004A0DF0">
        <w:rPr>
          <w:rFonts w:cstheme="minorHAnsi"/>
          <w:sz w:val="22"/>
          <w:szCs w:val="22"/>
        </w:rPr>
        <w:t>,</w:t>
      </w:r>
      <w:r w:rsidR="00CB6464" w:rsidRPr="004A0DF0">
        <w:rPr>
          <w:rFonts w:cstheme="minorHAnsi"/>
          <w:sz w:val="22"/>
          <w:szCs w:val="22"/>
        </w:rPr>
        <w:t xml:space="preserve"> </w:t>
      </w:r>
      <w:r w:rsidR="00FA1D12" w:rsidRPr="004A0DF0">
        <w:rPr>
          <w:rFonts w:cstheme="minorHAnsi"/>
          <w:sz w:val="22"/>
          <w:szCs w:val="22"/>
        </w:rPr>
        <w:t xml:space="preserve">and because interviewees should be given the opportunity speak freely about sustainable energy, devolution, and all aspects of their </w:t>
      </w:r>
      <w:r w:rsidR="00473D6C" w:rsidRPr="004A0DF0">
        <w:rPr>
          <w:rFonts w:cstheme="minorHAnsi"/>
          <w:sz w:val="22"/>
          <w:szCs w:val="22"/>
        </w:rPr>
        <w:t xml:space="preserve">political </w:t>
      </w:r>
      <w:r w:rsidR="00FA1D12" w:rsidRPr="004A0DF0">
        <w:rPr>
          <w:rFonts w:cstheme="minorHAnsi"/>
          <w:sz w:val="22"/>
          <w:szCs w:val="22"/>
        </w:rPr>
        <w:t>relationship</w:t>
      </w:r>
      <w:r w:rsidR="00473D6C" w:rsidRPr="004A0DF0">
        <w:rPr>
          <w:rFonts w:cstheme="minorHAnsi"/>
          <w:sz w:val="22"/>
          <w:szCs w:val="22"/>
        </w:rPr>
        <w:t xml:space="preserve">s, </w:t>
      </w:r>
      <w:r w:rsidR="00CB6464" w:rsidRPr="004A0DF0">
        <w:rPr>
          <w:rFonts w:cstheme="minorHAnsi"/>
          <w:sz w:val="22"/>
          <w:szCs w:val="22"/>
        </w:rPr>
        <w:t>great care w</w:t>
      </w:r>
      <w:r w:rsidR="00026B53" w:rsidRPr="004A0DF0">
        <w:rPr>
          <w:rFonts w:cstheme="minorHAnsi"/>
          <w:sz w:val="22"/>
          <w:szCs w:val="22"/>
        </w:rPr>
        <w:t>as</w:t>
      </w:r>
      <w:r w:rsidR="00CB6464" w:rsidRPr="004A0DF0">
        <w:rPr>
          <w:rFonts w:cstheme="minorHAnsi"/>
          <w:sz w:val="22"/>
          <w:szCs w:val="22"/>
        </w:rPr>
        <w:t xml:space="preserve"> taken to anonymise </w:t>
      </w:r>
      <w:r w:rsidR="00026B53" w:rsidRPr="004A0DF0">
        <w:rPr>
          <w:rFonts w:cstheme="minorHAnsi"/>
          <w:sz w:val="22"/>
          <w:szCs w:val="22"/>
        </w:rPr>
        <w:t>i</w:t>
      </w:r>
      <w:r w:rsidR="00CB6464" w:rsidRPr="004A0DF0">
        <w:rPr>
          <w:rFonts w:cstheme="minorHAnsi"/>
          <w:sz w:val="22"/>
          <w:szCs w:val="22"/>
        </w:rPr>
        <w:t>nterview</w:t>
      </w:r>
      <w:r w:rsidR="005C7290" w:rsidRPr="004A0DF0">
        <w:rPr>
          <w:rFonts w:cstheme="minorHAnsi"/>
          <w:sz w:val="22"/>
          <w:szCs w:val="22"/>
        </w:rPr>
        <w:t>ees</w:t>
      </w:r>
      <w:r w:rsidR="00CB6464" w:rsidRPr="004A0DF0">
        <w:rPr>
          <w:rFonts w:cstheme="minorHAnsi"/>
          <w:sz w:val="22"/>
          <w:szCs w:val="22"/>
        </w:rPr>
        <w:t xml:space="preserve"> and not to directly reference specific interviews</w:t>
      </w:r>
      <w:r w:rsidR="00473D6C" w:rsidRPr="004A0DF0">
        <w:rPr>
          <w:rFonts w:cstheme="minorHAnsi"/>
          <w:sz w:val="22"/>
          <w:szCs w:val="22"/>
        </w:rPr>
        <w:t xml:space="preserve"> in publications</w:t>
      </w:r>
      <w:r w:rsidR="00F14360" w:rsidRPr="004A0DF0">
        <w:rPr>
          <w:rFonts w:cstheme="minorHAnsi"/>
          <w:sz w:val="22"/>
          <w:szCs w:val="22"/>
        </w:rPr>
        <w:t>, and direct quotations were avoided</w:t>
      </w:r>
      <w:r w:rsidR="00CB6464" w:rsidRPr="004A0DF0">
        <w:rPr>
          <w:rFonts w:cstheme="minorHAnsi"/>
          <w:sz w:val="22"/>
          <w:szCs w:val="22"/>
        </w:rPr>
        <w:t xml:space="preserve">. </w:t>
      </w:r>
      <w:r w:rsidR="00DF06EC">
        <w:rPr>
          <w:rFonts w:cstheme="minorHAnsi"/>
          <w:sz w:val="22"/>
          <w:szCs w:val="22"/>
        </w:rPr>
        <w:t>Interview d</w:t>
      </w:r>
      <w:r w:rsidR="00B25A89" w:rsidRPr="004A0DF0">
        <w:rPr>
          <w:rFonts w:cstheme="minorHAnsi"/>
          <w:sz w:val="22"/>
          <w:szCs w:val="22"/>
        </w:rPr>
        <w:t>ata was carefully managed to ensure that confidentiality was safeguarded, and that the disclosure of identities was avoided. The physical information (</w:t>
      </w:r>
      <w:r w:rsidR="004463E2" w:rsidRPr="004A0DF0">
        <w:rPr>
          <w:rFonts w:cstheme="minorHAnsi"/>
          <w:sz w:val="22"/>
          <w:szCs w:val="22"/>
        </w:rPr>
        <w:t>answers to questions in interviews</w:t>
      </w:r>
      <w:r w:rsidR="00EE3975">
        <w:rPr>
          <w:rFonts w:cstheme="minorHAnsi"/>
          <w:sz w:val="22"/>
          <w:szCs w:val="22"/>
        </w:rPr>
        <w:t xml:space="preserve"> and on placements</w:t>
      </w:r>
      <w:r w:rsidR="004463E2" w:rsidRPr="004A0DF0">
        <w:rPr>
          <w:rFonts w:cstheme="minorHAnsi"/>
          <w:sz w:val="22"/>
          <w:szCs w:val="22"/>
        </w:rPr>
        <w:t>) was</w:t>
      </w:r>
      <w:r w:rsidR="00B25A89" w:rsidRPr="004A0DF0">
        <w:rPr>
          <w:rFonts w:cstheme="minorHAnsi"/>
          <w:sz w:val="22"/>
          <w:szCs w:val="22"/>
        </w:rPr>
        <w:t xml:space="preserve"> stored </w:t>
      </w:r>
      <w:r w:rsidR="00473D6C" w:rsidRPr="004A0DF0">
        <w:rPr>
          <w:rFonts w:cstheme="minorHAnsi"/>
          <w:sz w:val="22"/>
          <w:szCs w:val="22"/>
        </w:rPr>
        <w:t>i</w:t>
      </w:r>
      <w:r w:rsidR="00B25A89" w:rsidRPr="004A0DF0">
        <w:rPr>
          <w:rFonts w:cstheme="minorHAnsi"/>
          <w:sz w:val="22"/>
          <w:szCs w:val="22"/>
        </w:rPr>
        <w:t xml:space="preserve">n a secure </w:t>
      </w:r>
      <w:r w:rsidR="00473D6C" w:rsidRPr="004A0DF0">
        <w:rPr>
          <w:rFonts w:cstheme="minorHAnsi"/>
          <w:sz w:val="22"/>
          <w:szCs w:val="22"/>
        </w:rPr>
        <w:t>location</w:t>
      </w:r>
      <w:r w:rsidR="00B25A89" w:rsidRPr="004A0DF0">
        <w:rPr>
          <w:rFonts w:cstheme="minorHAnsi"/>
          <w:sz w:val="22"/>
          <w:szCs w:val="22"/>
        </w:rPr>
        <w:t xml:space="preserve">, and </w:t>
      </w:r>
      <w:r w:rsidR="004463E2" w:rsidRPr="004A0DF0">
        <w:rPr>
          <w:rFonts w:cstheme="minorHAnsi"/>
          <w:sz w:val="22"/>
          <w:szCs w:val="22"/>
        </w:rPr>
        <w:t>interviews were numbered</w:t>
      </w:r>
      <w:r w:rsidR="00473D6C" w:rsidRPr="004A0DF0">
        <w:rPr>
          <w:rFonts w:cstheme="minorHAnsi"/>
          <w:sz w:val="22"/>
          <w:szCs w:val="22"/>
        </w:rPr>
        <w:t>,</w:t>
      </w:r>
      <w:r w:rsidR="004463E2" w:rsidRPr="004A0DF0">
        <w:rPr>
          <w:rFonts w:cstheme="minorHAnsi"/>
          <w:sz w:val="22"/>
          <w:szCs w:val="22"/>
        </w:rPr>
        <w:t xml:space="preserve"> with each interviewee given a number code.</w:t>
      </w:r>
      <w:r w:rsidR="006A1F39" w:rsidRPr="004A0DF0">
        <w:rPr>
          <w:rFonts w:cstheme="minorHAnsi"/>
          <w:sz w:val="22"/>
          <w:szCs w:val="22"/>
        </w:rPr>
        <w:t xml:space="preserve"> The index of codes/interviews was kept separately.</w:t>
      </w:r>
      <w:r w:rsidR="004A3E60" w:rsidRPr="004A0DF0">
        <w:rPr>
          <w:rFonts w:cstheme="minorHAnsi"/>
          <w:sz w:val="22"/>
          <w:szCs w:val="22"/>
        </w:rPr>
        <w:t xml:space="preserve"> </w:t>
      </w:r>
      <w:r w:rsidR="004E2001" w:rsidRPr="004E2001">
        <w:rPr>
          <w:rFonts w:eastAsia="Times New Roman" w:cstheme="minorHAnsi"/>
          <w:color w:val="000000"/>
          <w:sz w:val="22"/>
          <w:szCs w:val="22"/>
          <w:lang w:eastAsia="en-GB"/>
        </w:rPr>
        <w:t xml:space="preserve">Non-disclosure </w:t>
      </w:r>
      <w:r w:rsidR="004E2001" w:rsidRPr="004E2001">
        <w:rPr>
          <w:rFonts w:eastAsia="Times New Roman" w:cstheme="minorHAnsi"/>
          <w:color w:val="000000"/>
          <w:sz w:val="22"/>
          <w:szCs w:val="22"/>
          <w:lang w:eastAsia="en-GB"/>
        </w:rPr>
        <w:t xml:space="preserve">of data </w:t>
      </w:r>
      <w:r w:rsidR="004E2001" w:rsidRPr="004E2001">
        <w:rPr>
          <w:rFonts w:eastAsia="Times New Roman" w:cstheme="minorHAnsi"/>
          <w:color w:val="000000"/>
          <w:sz w:val="22"/>
          <w:szCs w:val="22"/>
          <w:lang w:eastAsia="en-GB"/>
        </w:rPr>
        <w:t xml:space="preserve">was agreed in order to obtain open and frank </w:t>
      </w:r>
      <w:proofErr w:type="gramStart"/>
      <w:r w:rsidR="004E2001" w:rsidRPr="004E2001">
        <w:rPr>
          <w:rFonts w:eastAsia="Times New Roman" w:cstheme="minorHAnsi"/>
          <w:color w:val="000000"/>
          <w:sz w:val="22"/>
          <w:szCs w:val="22"/>
          <w:lang w:eastAsia="en-GB"/>
        </w:rPr>
        <w:t>views</w:t>
      </w:r>
      <w:r w:rsidR="004E2001" w:rsidRPr="004E2001">
        <w:rPr>
          <w:rFonts w:eastAsia="Times New Roman" w:cstheme="minorHAnsi"/>
          <w:color w:val="000000"/>
          <w:sz w:val="22"/>
          <w:szCs w:val="22"/>
          <w:lang w:eastAsia="en-GB"/>
        </w:rPr>
        <w:t>, and</w:t>
      </w:r>
      <w:proofErr w:type="gramEnd"/>
      <w:r w:rsidR="004E2001" w:rsidRPr="004E2001">
        <w:rPr>
          <w:rFonts w:eastAsia="Times New Roman" w:cstheme="minorHAnsi"/>
          <w:color w:val="000000"/>
          <w:sz w:val="22"/>
          <w:szCs w:val="22"/>
          <w:lang w:eastAsia="en-GB"/>
        </w:rPr>
        <w:t xml:space="preserve"> keep trust</w:t>
      </w:r>
      <w:r w:rsidR="004E2001" w:rsidRPr="004E2001">
        <w:rPr>
          <w:rFonts w:eastAsia="Times New Roman" w:cstheme="minorHAnsi"/>
          <w:color w:val="000000"/>
          <w:sz w:val="22"/>
          <w:szCs w:val="22"/>
          <w:lang w:eastAsia="en-GB"/>
        </w:rPr>
        <w:t>.</w:t>
      </w:r>
    </w:p>
    <w:p w14:paraId="5A8A97A7" w14:textId="77777777" w:rsidR="00C34B68" w:rsidRPr="004A0DF0" w:rsidRDefault="00C34B68" w:rsidP="00CB6464">
      <w:pPr>
        <w:autoSpaceDE w:val="0"/>
        <w:autoSpaceDN w:val="0"/>
        <w:adjustRightInd w:val="0"/>
        <w:jc w:val="both"/>
        <w:rPr>
          <w:rFonts w:cstheme="minorHAnsi"/>
          <w:sz w:val="22"/>
          <w:szCs w:val="22"/>
        </w:rPr>
      </w:pPr>
    </w:p>
    <w:p w14:paraId="03307685" w14:textId="437D7207" w:rsidR="00AD15A6" w:rsidRPr="004A0DF0" w:rsidRDefault="00CB6464" w:rsidP="00CB6464">
      <w:pPr>
        <w:autoSpaceDE w:val="0"/>
        <w:autoSpaceDN w:val="0"/>
        <w:adjustRightInd w:val="0"/>
        <w:jc w:val="both"/>
        <w:rPr>
          <w:rFonts w:cstheme="minorHAnsi"/>
          <w:sz w:val="22"/>
          <w:szCs w:val="22"/>
        </w:rPr>
      </w:pPr>
      <w:r w:rsidRPr="004A0DF0">
        <w:rPr>
          <w:rFonts w:cstheme="minorHAnsi"/>
          <w:sz w:val="22"/>
          <w:szCs w:val="22"/>
        </w:rPr>
        <w:lastRenderedPageBreak/>
        <w:t xml:space="preserve">Interviewees were asked to give informed consent to the interview, and to the content of the interviews being analysed during the course of the project to inform project </w:t>
      </w:r>
      <w:r w:rsidR="00667698" w:rsidRPr="004A0DF0">
        <w:rPr>
          <w:rFonts w:cstheme="minorHAnsi"/>
          <w:sz w:val="22"/>
          <w:szCs w:val="22"/>
        </w:rPr>
        <w:t>outputs</w:t>
      </w:r>
      <w:r w:rsidRPr="004A0DF0">
        <w:rPr>
          <w:rFonts w:cstheme="minorHAnsi"/>
          <w:sz w:val="22"/>
          <w:szCs w:val="22"/>
        </w:rPr>
        <w:t xml:space="preserve"> (</w:t>
      </w:r>
      <w:proofErr w:type="gramStart"/>
      <w:r w:rsidRPr="004A0DF0">
        <w:rPr>
          <w:rFonts w:cstheme="minorHAnsi"/>
          <w:sz w:val="22"/>
          <w:szCs w:val="22"/>
        </w:rPr>
        <w:t>i.e.</w:t>
      </w:r>
      <w:proofErr w:type="gramEnd"/>
      <w:r w:rsidRPr="004A0DF0">
        <w:rPr>
          <w:rFonts w:cstheme="minorHAnsi"/>
          <w:sz w:val="22"/>
          <w:szCs w:val="22"/>
        </w:rPr>
        <w:t xml:space="preserve"> publications</w:t>
      </w:r>
      <w:r w:rsidR="00AF6C4A">
        <w:rPr>
          <w:rFonts w:cstheme="minorHAnsi"/>
          <w:sz w:val="22"/>
          <w:szCs w:val="22"/>
        </w:rPr>
        <w:t xml:space="preserve"> and policy briefings</w:t>
      </w:r>
      <w:r w:rsidRPr="004A0DF0">
        <w:rPr>
          <w:rFonts w:cstheme="minorHAnsi"/>
          <w:sz w:val="22"/>
          <w:szCs w:val="22"/>
        </w:rPr>
        <w:t xml:space="preserve">). Interviews </w:t>
      </w:r>
      <w:r w:rsidR="00D133E3" w:rsidRPr="004A0DF0">
        <w:rPr>
          <w:rFonts w:cstheme="minorHAnsi"/>
          <w:sz w:val="22"/>
          <w:szCs w:val="22"/>
        </w:rPr>
        <w:t>were</w:t>
      </w:r>
      <w:r w:rsidRPr="004A0DF0">
        <w:rPr>
          <w:rFonts w:cstheme="minorHAnsi"/>
          <w:sz w:val="22"/>
          <w:szCs w:val="22"/>
        </w:rPr>
        <w:t xml:space="preserve"> kept confidential</w:t>
      </w:r>
      <w:r w:rsidR="006A1F39" w:rsidRPr="004A0DF0">
        <w:rPr>
          <w:rFonts w:cstheme="minorHAnsi"/>
          <w:sz w:val="22"/>
          <w:szCs w:val="22"/>
        </w:rPr>
        <w:t>,</w:t>
      </w:r>
      <w:r w:rsidRPr="004A0DF0">
        <w:rPr>
          <w:rFonts w:cstheme="minorHAnsi"/>
          <w:sz w:val="22"/>
          <w:szCs w:val="22"/>
        </w:rPr>
        <w:t xml:space="preserve"> and participation w</w:t>
      </w:r>
      <w:r w:rsidR="00D133E3" w:rsidRPr="004A0DF0">
        <w:rPr>
          <w:rFonts w:cstheme="minorHAnsi"/>
          <w:sz w:val="22"/>
          <w:szCs w:val="22"/>
        </w:rPr>
        <w:t>as</w:t>
      </w:r>
      <w:r w:rsidRPr="004A0DF0">
        <w:rPr>
          <w:rFonts w:cstheme="minorHAnsi"/>
          <w:sz w:val="22"/>
          <w:szCs w:val="22"/>
        </w:rPr>
        <w:t xml:space="preserve"> offered </w:t>
      </w:r>
      <w:proofErr w:type="gramStart"/>
      <w:r w:rsidRPr="004A0DF0">
        <w:rPr>
          <w:rFonts w:cstheme="minorHAnsi"/>
          <w:sz w:val="22"/>
          <w:szCs w:val="22"/>
        </w:rPr>
        <w:t>on the basis of</w:t>
      </w:r>
      <w:proofErr w:type="gramEnd"/>
      <w:r w:rsidRPr="004A0DF0">
        <w:rPr>
          <w:rFonts w:cstheme="minorHAnsi"/>
          <w:sz w:val="22"/>
          <w:szCs w:val="22"/>
        </w:rPr>
        <w:t xml:space="preserve"> anonymity, in accordance with relevant ethical frameworks (ESRC</w:t>
      </w:r>
      <w:r w:rsidR="005B27FF">
        <w:rPr>
          <w:rFonts w:cstheme="minorHAnsi"/>
          <w:sz w:val="22"/>
          <w:szCs w:val="22"/>
        </w:rPr>
        <w:t xml:space="preserve"> 201</w:t>
      </w:r>
      <w:r w:rsidR="0058615A">
        <w:rPr>
          <w:rFonts w:cstheme="minorHAnsi"/>
          <w:sz w:val="22"/>
          <w:szCs w:val="22"/>
        </w:rPr>
        <w:t>5</w:t>
      </w:r>
      <w:r w:rsidR="00D2713A" w:rsidRPr="004A0DF0">
        <w:rPr>
          <w:rFonts w:cstheme="minorHAnsi"/>
          <w:sz w:val="22"/>
          <w:szCs w:val="22"/>
        </w:rPr>
        <w:t xml:space="preserve">; </w:t>
      </w:r>
      <w:r w:rsidR="005A3478">
        <w:rPr>
          <w:rFonts w:cstheme="minorHAnsi"/>
          <w:sz w:val="22"/>
          <w:szCs w:val="22"/>
        </w:rPr>
        <w:t>Warwick 2021</w:t>
      </w:r>
      <w:r w:rsidRPr="004A0DF0">
        <w:rPr>
          <w:rFonts w:cstheme="minorHAnsi"/>
          <w:sz w:val="22"/>
          <w:szCs w:val="22"/>
        </w:rPr>
        <w:t xml:space="preserve">). Interviewees </w:t>
      </w:r>
      <w:r w:rsidR="006A1F39" w:rsidRPr="004A0DF0">
        <w:rPr>
          <w:rFonts w:cstheme="minorHAnsi"/>
          <w:sz w:val="22"/>
          <w:szCs w:val="22"/>
        </w:rPr>
        <w:t>could</w:t>
      </w:r>
      <w:r w:rsidRPr="004A0DF0">
        <w:rPr>
          <w:rFonts w:cstheme="minorHAnsi"/>
          <w:sz w:val="22"/>
          <w:szCs w:val="22"/>
        </w:rPr>
        <w:t xml:space="preserve"> choose to withdraw from the study at any point in time, and the PI </w:t>
      </w:r>
      <w:r w:rsidR="006A1F39" w:rsidRPr="004A0DF0">
        <w:rPr>
          <w:rFonts w:cstheme="minorHAnsi"/>
          <w:sz w:val="22"/>
          <w:szCs w:val="22"/>
        </w:rPr>
        <w:t>talked</w:t>
      </w:r>
      <w:r w:rsidRPr="004A0DF0">
        <w:rPr>
          <w:rFonts w:cstheme="minorHAnsi"/>
          <w:sz w:val="22"/>
          <w:szCs w:val="22"/>
        </w:rPr>
        <w:t xml:space="preserve"> each interviewee through their answers</w:t>
      </w:r>
      <w:r w:rsidR="00123DA9" w:rsidRPr="004A0DF0">
        <w:rPr>
          <w:rFonts w:cstheme="minorHAnsi"/>
          <w:sz w:val="22"/>
          <w:szCs w:val="22"/>
        </w:rPr>
        <w:t>,</w:t>
      </w:r>
      <w:r w:rsidRPr="004A0DF0">
        <w:rPr>
          <w:rFonts w:cstheme="minorHAnsi"/>
          <w:sz w:val="22"/>
          <w:szCs w:val="22"/>
        </w:rPr>
        <w:t xml:space="preserve"> </w:t>
      </w:r>
      <w:r w:rsidR="00123DA9" w:rsidRPr="004A0DF0">
        <w:rPr>
          <w:rFonts w:cstheme="minorHAnsi"/>
          <w:sz w:val="22"/>
          <w:szCs w:val="22"/>
        </w:rPr>
        <w:t xml:space="preserve">and </w:t>
      </w:r>
      <w:r w:rsidRPr="004A0DF0">
        <w:rPr>
          <w:rFonts w:cstheme="minorHAnsi"/>
          <w:sz w:val="22"/>
          <w:szCs w:val="22"/>
        </w:rPr>
        <w:t>how the PI interpreted those answers for the purposes of publications and/or blogs.</w:t>
      </w:r>
    </w:p>
    <w:p w14:paraId="096CB2CD" w14:textId="77777777" w:rsidR="00820FF4" w:rsidRPr="004A0DF0" w:rsidRDefault="00820FF4" w:rsidP="00CB6464">
      <w:pPr>
        <w:jc w:val="both"/>
        <w:rPr>
          <w:rFonts w:cstheme="minorHAnsi"/>
          <w:sz w:val="22"/>
          <w:szCs w:val="22"/>
        </w:rPr>
      </w:pPr>
    </w:p>
    <w:p w14:paraId="5624EF5B" w14:textId="1EF9864A" w:rsidR="005109D6" w:rsidRPr="004A0DF0" w:rsidRDefault="00CB6464" w:rsidP="00CB6464">
      <w:pPr>
        <w:jc w:val="both"/>
        <w:rPr>
          <w:rFonts w:cstheme="minorHAnsi"/>
          <w:sz w:val="22"/>
          <w:szCs w:val="22"/>
        </w:rPr>
      </w:pPr>
      <w:r w:rsidRPr="004A0DF0">
        <w:rPr>
          <w:rFonts w:cstheme="minorHAnsi"/>
          <w:sz w:val="22"/>
          <w:szCs w:val="22"/>
        </w:rPr>
        <w:t xml:space="preserve">Please see </w:t>
      </w:r>
      <w:r w:rsidR="009A1481">
        <w:rPr>
          <w:rFonts w:cstheme="minorHAnsi"/>
          <w:sz w:val="22"/>
          <w:szCs w:val="22"/>
        </w:rPr>
        <w:t xml:space="preserve">ethics and </w:t>
      </w:r>
      <w:r w:rsidR="00862474" w:rsidRPr="004A0DF0">
        <w:rPr>
          <w:rFonts w:cstheme="minorHAnsi"/>
          <w:sz w:val="22"/>
          <w:szCs w:val="22"/>
        </w:rPr>
        <w:t>consent forms used – attached separately.</w:t>
      </w:r>
      <w:r w:rsidR="00123DA9" w:rsidRPr="004A0DF0">
        <w:rPr>
          <w:rFonts w:cstheme="minorHAnsi"/>
          <w:sz w:val="22"/>
          <w:szCs w:val="22"/>
        </w:rPr>
        <w:t xml:space="preserve"> These were University of Warwick approved forms.</w:t>
      </w:r>
    </w:p>
    <w:p w14:paraId="1BAE8A12" w14:textId="77777777" w:rsidR="00862474" w:rsidRPr="004A0DF0" w:rsidRDefault="00862474" w:rsidP="00CB6464">
      <w:pPr>
        <w:jc w:val="both"/>
        <w:rPr>
          <w:rFonts w:cstheme="minorHAnsi"/>
          <w:sz w:val="22"/>
          <w:szCs w:val="22"/>
        </w:rPr>
      </w:pPr>
    </w:p>
    <w:p w14:paraId="45809D90" w14:textId="792A9A8B" w:rsidR="00363DBE" w:rsidRPr="004A0DF0" w:rsidRDefault="00363DBE" w:rsidP="004D2A7B">
      <w:pPr>
        <w:rPr>
          <w:rFonts w:cstheme="minorHAnsi"/>
          <w:sz w:val="22"/>
          <w:szCs w:val="22"/>
        </w:rPr>
      </w:pPr>
    </w:p>
    <w:p w14:paraId="3687A4FF" w14:textId="77777777" w:rsidR="00843837" w:rsidRPr="004A0DF0" w:rsidRDefault="00843837" w:rsidP="004D2A7B">
      <w:pPr>
        <w:rPr>
          <w:rFonts w:cstheme="minorHAnsi"/>
          <w:b/>
          <w:bCs/>
          <w:sz w:val="22"/>
          <w:szCs w:val="22"/>
        </w:rPr>
      </w:pPr>
      <w:r w:rsidRPr="004A0DF0">
        <w:rPr>
          <w:rFonts w:cstheme="minorHAnsi"/>
          <w:b/>
          <w:bCs/>
          <w:sz w:val="22"/>
          <w:szCs w:val="22"/>
        </w:rPr>
        <w:t>Bibliography:</w:t>
      </w:r>
    </w:p>
    <w:p w14:paraId="5DA8FBA5" w14:textId="77777777" w:rsidR="00843837" w:rsidRPr="004A0DF0" w:rsidRDefault="00843837" w:rsidP="004D2A7B">
      <w:pPr>
        <w:rPr>
          <w:rFonts w:cstheme="minorHAnsi"/>
          <w:sz w:val="22"/>
          <w:szCs w:val="22"/>
        </w:rPr>
      </w:pPr>
    </w:p>
    <w:p w14:paraId="7277B756" w14:textId="6B2B89A7" w:rsidR="00843837" w:rsidRPr="004A0DF0" w:rsidRDefault="00843837" w:rsidP="004D2A7B">
      <w:pPr>
        <w:rPr>
          <w:rFonts w:cstheme="minorHAnsi"/>
          <w:sz w:val="22"/>
          <w:szCs w:val="22"/>
        </w:rPr>
      </w:pPr>
      <w:r w:rsidRPr="004A0DF0">
        <w:rPr>
          <w:rFonts w:cstheme="minorHAnsi"/>
          <w:sz w:val="22"/>
          <w:szCs w:val="22"/>
        </w:rPr>
        <w:t xml:space="preserve">Burnham P.; Lutz, K.G.; Grant, W. (2008) </w:t>
      </w:r>
      <w:r w:rsidRPr="00CA0AB2">
        <w:rPr>
          <w:rFonts w:cstheme="minorHAnsi"/>
          <w:i/>
          <w:iCs/>
          <w:sz w:val="22"/>
          <w:szCs w:val="22"/>
        </w:rPr>
        <w:t>Research Methods in Politics</w:t>
      </w:r>
      <w:r w:rsidRPr="004A0DF0">
        <w:rPr>
          <w:rFonts w:cstheme="minorHAnsi"/>
          <w:sz w:val="22"/>
          <w:szCs w:val="22"/>
        </w:rPr>
        <w:t>. Second Edi. Palgrave Macmillan, Basingstoke</w:t>
      </w:r>
    </w:p>
    <w:p w14:paraId="004CCE33" w14:textId="1D8F17D4" w:rsidR="00056DE1" w:rsidRPr="004A0DF0" w:rsidRDefault="00056DE1" w:rsidP="004D2A7B">
      <w:pPr>
        <w:rPr>
          <w:rFonts w:cstheme="minorHAnsi"/>
          <w:sz w:val="22"/>
          <w:szCs w:val="22"/>
        </w:rPr>
      </w:pPr>
    </w:p>
    <w:p w14:paraId="1591D452" w14:textId="79BC0E76" w:rsidR="00056DE1" w:rsidRPr="004A0DF0" w:rsidRDefault="00056DE1" w:rsidP="004D2A7B">
      <w:pPr>
        <w:rPr>
          <w:rFonts w:cstheme="minorHAnsi"/>
          <w:sz w:val="22"/>
          <w:szCs w:val="22"/>
        </w:rPr>
      </w:pPr>
      <w:r w:rsidRPr="004A0DF0">
        <w:rPr>
          <w:rFonts w:cstheme="minorHAnsi"/>
          <w:sz w:val="22"/>
          <w:szCs w:val="22"/>
        </w:rPr>
        <w:t xml:space="preserve">Denscombe, M. (2010) </w:t>
      </w:r>
      <w:r w:rsidR="009D455A" w:rsidRPr="00CA0AB2">
        <w:rPr>
          <w:rFonts w:cstheme="minorHAnsi"/>
          <w:i/>
          <w:iCs/>
          <w:sz w:val="22"/>
          <w:szCs w:val="22"/>
        </w:rPr>
        <w:t>The Good Research Guide: for Small-scale Social Research Projects</w:t>
      </w:r>
      <w:r w:rsidR="009D455A" w:rsidRPr="004A0DF0">
        <w:rPr>
          <w:rFonts w:cstheme="minorHAnsi"/>
          <w:sz w:val="22"/>
          <w:szCs w:val="22"/>
        </w:rPr>
        <w:t>. Open University Press.</w:t>
      </w:r>
    </w:p>
    <w:p w14:paraId="3E83CD63" w14:textId="72C07FD1" w:rsidR="009D455A" w:rsidRDefault="009D455A" w:rsidP="004D2A7B">
      <w:pPr>
        <w:rPr>
          <w:rFonts w:cstheme="minorHAnsi"/>
          <w:sz w:val="22"/>
          <w:szCs w:val="22"/>
        </w:rPr>
      </w:pPr>
    </w:p>
    <w:p w14:paraId="5DF47919" w14:textId="62D2972A" w:rsidR="005B27FF" w:rsidRDefault="005B27FF" w:rsidP="004D2A7B">
      <w:pPr>
        <w:rPr>
          <w:rFonts w:cstheme="minorHAnsi"/>
          <w:sz w:val="22"/>
          <w:szCs w:val="22"/>
        </w:rPr>
      </w:pPr>
      <w:r>
        <w:rPr>
          <w:rFonts w:cstheme="minorHAnsi"/>
          <w:sz w:val="22"/>
          <w:szCs w:val="22"/>
        </w:rPr>
        <w:t>ESRC (201</w:t>
      </w:r>
      <w:r w:rsidR="0058615A">
        <w:rPr>
          <w:rFonts w:cstheme="minorHAnsi"/>
          <w:sz w:val="22"/>
          <w:szCs w:val="22"/>
        </w:rPr>
        <w:t>5</w:t>
      </w:r>
      <w:r>
        <w:rPr>
          <w:rFonts w:cstheme="minorHAnsi"/>
          <w:sz w:val="22"/>
          <w:szCs w:val="22"/>
        </w:rPr>
        <w:t xml:space="preserve">) </w:t>
      </w:r>
      <w:r w:rsidRPr="00BB52C2">
        <w:rPr>
          <w:rFonts w:cstheme="minorHAnsi"/>
          <w:i/>
          <w:iCs/>
          <w:sz w:val="22"/>
          <w:szCs w:val="22"/>
        </w:rPr>
        <w:t>Framework for Research Ethics</w:t>
      </w:r>
      <w:r>
        <w:rPr>
          <w:rFonts w:cstheme="minorHAnsi"/>
          <w:sz w:val="22"/>
          <w:szCs w:val="22"/>
        </w:rPr>
        <w:t xml:space="preserve">. Available here: </w:t>
      </w:r>
      <w:hyperlink r:id="rId7" w:history="1">
        <w:r w:rsidR="00BB52C2" w:rsidRPr="00B50EBD">
          <w:rPr>
            <w:rStyle w:val="Hyperlink"/>
            <w:rFonts w:cstheme="minorHAnsi"/>
            <w:sz w:val="22"/>
            <w:szCs w:val="22"/>
          </w:rPr>
          <w:t>https://esrc.ukri.org/files/funding/guidance-for-applicants/esrc-framework-for-research-ethics-2015/</w:t>
        </w:r>
      </w:hyperlink>
    </w:p>
    <w:p w14:paraId="22D2B3FF" w14:textId="77777777" w:rsidR="005B27FF" w:rsidRPr="004A0DF0" w:rsidRDefault="005B27FF" w:rsidP="004D2A7B">
      <w:pPr>
        <w:rPr>
          <w:rFonts w:cstheme="minorHAnsi"/>
          <w:sz w:val="22"/>
          <w:szCs w:val="22"/>
        </w:rPr>
      </w:pPr>
    </w:p>
    <w:p w14:paraId="66C43B9C" w14:textId="77EFDE5D" w:rsidR="009D455A" w:rsidRPr="004A0DF0" w:rsidRDefault="009D455A" w:rsidP="004D2A7B">
      <w:pPr>
        <w:rPr>
          <w:rFonts w:cstheme="minorHAnsi"/>
          <w:sz w:val="22"/>
          <w:szCs w:val="22"/>
        </w:rPr>
      </w:pPr>
      <w:r w:rsidRPr="004A0DF0">
        <w:rPr>
          <w:rFonts w:cstheme="minorHAnsi"/>
          <w:sz w:val="22"/>
          <w:szCs w:val="22"/>
        </w:rPr>
        <w:t xml:space="preserve">Flick, U.; von </w:t>
      </w:r>
      <w:proofErr w:type="spellStart"/>
      <w:r w:rsidRPr="004A0DF0">
        <w:rPr>
          <w:rFonts w:cstheme="minorHAnsi"/>
          <w:sz w:val="22"/>
          <w:szCs w:val="22"/>
        </w:rPr>
        <w:t>Kardoff</w:t>
      </w:r>
      <w:proofErr w:type="spellEnd"/>
      <w:r w:rsidRPr="004A0DF0">
        <w:rPr>
          <w:rFonts w:cstheme="minorHAnsi"/>
          <w:sz w:val="22"/>
          <w:szCs w:val="22"/>
        </w:rPr>
        <w:t xml:space="preserve">, E.; </w:t>
      </w:r>
      <w:proofErr w:type="spellStart"/>
      <w:r w:rsidRPr="004A0DF0">
        <w:rPr>
          <w:rFonts w:cstheme="minorHAnsi"/>
          <w:sz w:val="22"/>
          <w:szCs w:val="22"/>
        </w:rPr>
        <w:t>Stienke</w:t>
      </w:r>
      <w:proofErr w:type="spellEnd"/>
      <w:r w:rsidRPr="004A0DF0">
        <w:rPr>
          <w:rFonts w:cstheme="minorHAnsi"/>
          <w:sz w:val="22"/>
          <w:szCs w:val="22"/>
        </w:rPr>
        <w:t xml:space="preserve">, I. (2004) </w:t>
      </w:r>
      <w:r w:rsidRPr="00CA0AB2">
        <w:rPr>
          <w:rFonts w:cstheme="minorHAnsi"/>
          <w:i/>
          <w:iCs/>
          <w:sz w:val="22"/>
          <w:szCs w:val="22"/>
        </w:rPr>
        <w:t>A companion to qualitative research</w:t>
      </w:r>
      <w:r w:rsidR="00787009" w:rsidRPr="004A0DF0">
        <w:rPr>
          <w:rFonts w:cstheme="minorHAnsi"/>
          <w:sz w:val="22"/>
          <w:szCs w:val="22"/>
        </w:rPr>
        <w:t>.</w:t>
      </w:r>
      <w:r w:rsidR="00CA0AB2">
        <w:rPr>
          <w:rFonts w:cstheme="minorHAnsi"/>
          <w:sz w:val="22"/>
          <w:szCs w:val="22"/>
        </w:rPr>
        <w:t xml:space="preserve"> Sage Publications.</w:t>
      </w:r>
    </w:p>
    <w:p w14:paraId="0102F761" w14:textId="4FAFBB44" w:rsidR="00787009" w:rsidRDefault="00787009" w:rsidP="004D2A7B">
      <w:pPr>
        <w:rPr>
          <w:sz w:val="22"/>
          <w:szCs w:val="22"/>
        </w:rPr>
      </w:pPr>
    </w:p>
    <w:p w14:paraId="23B0108C" w14:textId="4808DBCF" w:rsidR="00031871" w:rsidRDefault="00031871" w:rsidP="004D2A7B">
      <w:pPr>
        <w:rPr>
          <w:sz w:val="22"/>
          <w:szCs w:val="22"/>
        </w:rPr>
      </w:pPr>
      <w:r>
        <w:rPr>
          <w:sz w:val="22"/>
          <w:szCs w:val="22"/>
        </w:rPr>
        <w:t>Warwick (20</w:t>
      </w:r>
      <w:r w:rsidR="005A3478">
        <w:rPr>
          <w:sz w:val="22"/>
          <w:szCs w:val="22"/>
        </w:rPr>
        <w:t>19</w:t>
      </w:r>
      <w:r>
        <w:rPr>
          <w:sz w:val="22"/>
          <w:szCs w:val="22"/>
        </w:rPr>
        <w:t>)</w:t>
      </w:r>
      <w:r w:rsidR="00473AD2">
        <w:rPr>
          <w:sz w:val="22"/>
          <w:szCs w:val="22"/>
        </w:rPr>
        <w:t xml:space="preserve"> </w:t>
      </w:r>
      <w:r w:rsidR="004412C5" w:rsidRPr="005A3478">
        <w:rPr>
          <w:i/>
          <w:iCs/>
          <w:sz w:val="22"/>
          <w:szCs w:val="22"/>
        </w:rPr>
        <w:t>Codes of Practice &amp; Policies</w:t>
      </w:r>
      <w:r w:rsidR="004412C5">
        <w:rPr>
          <w:sz w:val="22"/>
          <w:szCs w:val="22"/>
        </w:rPr>
        <w:t xml:space="preserve">. </w:t>
      </w:r>
      <w:r w:rsidR="005A3478">
        <w:rPr>
          <w:sz w:val="22"/>
          <w:szCs w:val="22"/>
        </w:rPr>
        <w:t>Available</w:t>
      </w:r>
      <w:r w:rsidR="004412C5">
        <w:rPr>
          <w:sz w:val="22"/>
          <w:szCs w:val="22"/>
        </w:rPr>
        <w:t xml:space="preserve"> here: </w:t>
      </w:r>
      <w:hyperlink r:id="rId8" w:history="1">
        <w:r w:rsidR="005A3478" w:rsidRPr="00B50EBD">
          <w:rPr>
            <w:rStyle w:val="Hyperlink"/>
            <w:sz w:val="22"/>
            <w:szCs w:val="22"/>
          </w:rPr>
          <w:t>https://warwick.ac.uk/services/ris/research_integrity/code_of_practice_and_policies/</w:t>
        </w:r>
      </w:hyperlink>
    </w:p>
    <w:p w14:paraId="189E2B1C" w14:textId="77777777" w:rsidR="005A3478" w:rsidRPr="004A0DF0" w:rsidRDefault="005A3478" w:rsidP="004D2A7B">
      <w:pPr>
        <w:rPr>
          <w:sz w:val="22"/>
          <w:szCs w:val="22"/>
        </w:rPr>
      </w:pPr>
    </w:p>
    <w:sectPr w:rsidR="005A3478" w:rsidRPr="004A0DF0" w:rsidSect="00AC7806">
      <w:footerReference w:type="even" r:id="rId9"/>
      <w:footerReference w:type="default" r:id="rId10"/>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8B971" w14:textId="77777777" w:rsidR="00CF25F9" w:rsidRDefault="00CF25F9" w:rsidP="00CF25F9">
      <w:r>
        <w:separator/>
      </w:r>
    </w:p>
  </w:endnote>
  <w:endnote w:type="continuationSeparator" w:id="0">
    <w:p w14:paraId="77719508" w14:textId="77777777" w:rsidR="00CF25F9" w:rsidRDefault="00CF25F9" w:rsidP="00CF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3918089"/>
      <w:docPartObj>
        <w:docPartGallery w:val="Page Numbers (Bottom of Page)"/>
        <w:docPartUnique/>
      </w:docPartObj>
    </w:sdtPr>
    <w:sdtContent>
      <w:p w14:paraId="609AD5C2" w14:textId="4AE817A7" w:rsidR="00CF25F9" w:rsidRDefault="00CF25F9" w:rsidP="00B50E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BC5AB" w14:textId="77777777" w:rsidR="00CF25F9" w:rsidRDefault="00CF25F9" w:rsidP="00CF25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6722511"/>
      <w:docPartObj>
        <w:docPartGallery w:val="Page Numbers (Bottom of Page)"/>
        <w:docPartUnique/>
      </w:docPartObj>
    </w:sdtPr>
    <w:sdtContent>
      <w:p w14:paraId="5290662E" w14:textId="3015F71E" w:rsidR="00CF25F9" w:rsidRDefault="00CF25F9" w:rsidP="00B50E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200C9A" w14:textId="77777777" w:rsidR="00CF25F9" w:rsidRDefault="00CF25F9" w:rsidP="00CF25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98750" w14:textId="77777777" w:rsidR="00CF25F9" w:rsidRDefault="00CF25F9" w:rsidP="00CF25F9">
      <w:r>
        <w:separator/>
      </w:r>
    </w:p>
  </w:footnote>
  <w:footnote w:type="continuationSeparator" w:id="0">
    <w:p w14:paraId="61505443" w14:textId="77777777" w:rsidR="00CF25F9" w:rsidRDefault="00CF25F9" w:rsidP="00CF2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102C4"/>
    <w:multiLevelType w:val="hybridMultilevel"/>
    <w:tmpl w:val="7744F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D673C"/>
    <w:multiLevelType w:val="hybridMultilevel"/>
    <w:tmpl w:val="63901E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F3015F"/>
    <w:multiLevelType w:val="hybridMultilevel"/>
    <w:tmpl w:val="345E51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21"/>
    <w:rsid w:val="0000290D"/>
    <w:rsid w:val="00015700"/>
    <w:rsid w:val="00026B53"/>
    <w:rsid w:val="00031871"/>
    <w:rsid w:val="00054FDD"/>
    <w:rsid w:val="00056DE1"/>
    <w:rsid w:val="000615A2"/>
    <w:rsid w:val="00066D7E"/>
    <w:rsid w:val="000C227C"/>
    <w:rsid w:val="00123DA9"/>
    <w:rsid w:val="00127F63"/>
    <w:rsid w:val="001351FB"/>
    <w:rsid w:val="001419D1"/>
    <w:rsid w:val="001E1F7C"/>
    <w:rsid w:val="001E7080"/>
    <w:rsid w:val="00204F17"/>
    <w:rsid w:val="00217035"/>
    <w:rsid w:val="00224D39"/>
    <w:rsid w:val="002250B8"/>
    <w:rsid w:val="00247079"/>
    <w:rsid w:val="00255488"/>
    <w:rsid w:val="00260869"/>
    <w:rsid w:val="00267E6F"/>
    <w:rsid w:val="00272B34"/>
    <w:rsid w:val="002876BE"/>
    <w:rsid w:val="00293D90"/>
    <w:rsid w:val="00297FD5"/>
    <w:rsid w:val="002D3F75"/>
    <w:rsid w:val="00304426"/>
    <w:rsid w:val="00315058"/>
    <w:rsid w:val="00321098"/>
    <w:rsid w:val="00360ECA"/>
    <w:rsid w:val="003615E2"/>
    <w:rsid w:val="003627D0"/>
    <w:rsid w:val="00363DBE"/>
    <w:rsid w:val="00367600"/>
    <w:rsid w:val="003935B0"/>
    <w:rsid w:val="00396A25"/>
    <w:rsid w:val="003C48C8"/>
    <w:rsid w:val="004412C5"/>
    <w:rsid w:val="004463E2"/>
    <w:rsid w:val="00452FD5"/>
    <w:rsid w:val="00473AD2"/>
    <w:rsid w:val="00473D6C"/>
    <w:rsid w:val="0049218A"/>
    <w:rsid w:val="004A0DF0"/>
    <w:rsid w:val="004A3E60"/>
    <w:rsid w:val="004C0460"/>
    <w:rsid w:val="004C11D5"/>
    <w:rsid w:val="004C3392"/>
    <w:rsid w:val="004C65A1"/>
    <w:rsid w:val="004D1584"/>
    <w:rsid w:val="004D29D5"/>
    <w:rsid w:val="004D2A7B"/>
    <w:rsid w:val="004E2001"/>
    <w:rsid w:val="004E56E5"/>
    <w:rsid w:val="004F6EFF"/>
    <w:rsid w:val="005109D6"/>
    <w:rsid w:val="00540A13"/>
    <w:rsid w:val="00540F49"/>
    <w:rsid w:val="0055044A"/>
    <w:rsid w:val="005518C9"/>
    <w:rsid w:val="00584385"/>
    <w:rsid w:val="00584E9C"/>
    <w:rsid w:val="0058615A"/>
    <w:rsid w:val="00593B41"/>
    <w:rsid w:val="005972F2"/>
    <w:rsid w:val="005A3478"/>
    <w:rsid w:val="005B27FF"/>
    <w:rsid w:val="005C0A41"/>
    <w:rsid w:val="005C7290"/>
    <w:rsid w:val="006308E3"/>
    <w:rsid w:val="006368ED"/>
    <w:rsid w:val="00647C28"/>
    <w:rsid w:val="00655637"/>
    <w:rsid w:val="0066328C"/>
    <w:rsid w:val="00667698"/>
    <w:rsid w:val="0069508C"/>
    <w:rsid w:val="006A1F39"/>
    <w:rsid w:val="006C242E"/>
    <w:rsid w:val="006D4804"/>
    <w:rsid w:val="006E3764"/>
    <w:rsid w:val="006F6CED"/>
    <w:rsid w:val="00726B98"/>
    <w:rsid w:val="007452C1"/>
    <w:rsid w:val="00787009"/>
    <w:rsid w:val="007A6455"/>
    <w:rsid w:val="007B601B"/>
    <w:rsid w:val="007D0278"/>
    <w:rsid w:val="007D75A6"/>
    <w:rsid w:val="007F53AC"/>
    <w:rsid w:val="00820FF4"/>
    <w:rsid w:val="00843837"/>
    <w:rsid w:val="00847857"/>
    <w:rsid w:val="00853527"/>
    <w:rsid w:val="00856248"/>
    <w:rsid w:val="00862474"/>
    <w:rsid w:val="008A1AF4"/>
    <w:rsid w:val="008A778A"/>
    <w:rsid w:val="008B1FA0"/>
    <w:rsid w:val="008C041A"/>
    <w:rsid w:val="008D3903"/>
    <w:rsid w:val="008F5D25"/>
    <w:rsid w:val="00936769"/>
    <w:rsid w:val="009426C9"/>
    <w:rsid w:val="0097031C"/>
    <w:rsid w:val="009734F4"/>
    <w:rsid w:val="0097672A"/>
    <w:rsid w:val="00981221"/>
    <w:rsid w:val="00997964"/>
    <w:rsid w:val="009A1481"/>
    <w:rsid w:val="009D455A"/>
    <w:rsid w:val="00A33EC8"/>
    <w:rsid w:val="00A4396E"/>
    <w:rsid w:val="00A605BE"/>
    <w:rsid w:val="00AA29AA"/>
    <w:rsid w:val="00AA344B"/>
    <w:rsid w:val="00AC7806"/>
    <w:rsid w:val="00AD15A6"/>
    <w:rsid w:val="00AE46B3"/>
    <w:rsid w:val="00AF6C4A"/>
    <w:rsid w:val="00B12680"/>
    <w:rsid w:val="00B25A89"/>
    <w:rsid w:val="00B333FB"/>
    <w:rsid w:val="00B34141"/>
    <w:rsid w:val="00B349C9"/>
    <w:rsid w:val="00B42811"/>
    <w:rsid w:val="00B45272"/>
    <w:rsid w:val="00B457EE"/>
    <w:rsid w:val="00B60556"/>
    <w:rsid w:val="00BA746F"/>
    <w:rsid w:val="00BB00F3"/>
    <w:rsid w:val="00BB353A"/>
    <w:rsid w:val="00BB52C2"/>
    <w:rsid w:val="00BD33D2"/>
    <w:rsid w:val="00BE0461"/>
    <w:rsid w:val="00BE22FF"/>
    <w:rsid w:val="00C05958"/>
    <w:rsid w:val="00C212AE"/>
    <w:rsid w:val="00C25F7A"/>
    <w:rsid w:val="00C2756B"/>
    <w:rsid w:val="00C34B68"/>
    <w:rsid w:val="00C41866"/>
    <w:rsid w:val="00C53634"/>
    <w:rsid w:val="00C5797B"/>
    <w:rsid w:val="00C76A62"/>
    <w:rsid w:val="00C822F4"/>
    <w:rsid w:val="00CA0AB2"/>
    <w:rsid w:val="00CA650B"/>
    <w:rsid w:val="00CB238E"/>
    <w:rsid w:val="00CB6464"/>
    <w:rsid w:val="00CC4AA4"/>
    <w:rsid w:val="00CF25F9"/>
    <w:rsid w:val="00D133E3"/>
    <w:rsid w:val="00D179B4"/>
    <w:rsid w:val="00D2713A"/>
    <w:rsid w:val="00D32793"/>
    <w:rsid w:val="00D3525C"/>
    <w:rsid w:val="00D6568B"/>
    <w:rsid w:val="00D71700"/>
    <w:rsid w:val="00D80ECA"/>
    <w:rsid w:val="00D8325F"/>
    <w:rsid w:val="00DD764A"/>
    <w:rsid w:val="00DF06EC"/>
    <w:rsid w:val="00E120FD"/>
    <w:rsid w:val="00E22F9D"/>
    <w:rsid w:val="00E36D6C"/>
    <w:rsid w:val="00E531B7"/>
    <w:rsid w:val="00E64163"/>
    <w:rsid w:val="00E83CCA"/>
    <w:rsid w:val="00EA51C1"/>
    <w:rsid w:val="00EA708B"/>
    <w:rsid w:val="00EB3727"/>
    <w:rsid w:val="00EB3FF4"/>
    <w:rsid w:val="00ED4B28"/>
    <w:rsid w:val="00EE3975"/>
    <w:rsid w:val="00EF27AF"/>
    <w:rsid w:val="00F02C6B"/>
    <w:rsid w:val="00F073AB"/>
    <w:rsid w:val="00F14360"/>
    <w:rsid w:val="00F23945"/>
    <w:rsid w:val="00F36122"/>
    <w:rsid w:val="00F82075"/>
    <w:rsid w:val="00F90B16"/>
    <w:rsid w:val="00FA1D12"/>
    <w:rsid w:val="00FA6E50"/>
    <w:rsid w:val="00FC18DA"/>
    <w:rsid w:val="00FE310E"/>
    <w:rsid w:val="00FE557F"/>
    <w:rsid w:val="00FE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0D0F68"/>
  <w15:chartTrackingRefBased/>
  <w15:docId w15:val="{0C8C5BA3-DDD3-7644-BF51-0122D3CE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0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603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8C8"/>
    <w:pPr>
      <w:ind w:left="720"/>
      <w:contextualSpacing/>
    </w:pPr>
  </w:style>
  <w:style w:type="character" w:customStyle="1" w:styleId="apple-converted-space">
    <w:name w:val="apple-converted-space"/>
    <w:basedOn w:val="DefaultParagraphFont"/>
    <w:rsid w:val="00363DBE"/>
  </w:style>
  <w:style w:type="character" w:styleId="Hyperlink">
    <w:name w:val="Hyperlink"/>
    <w:basedOn w:val="DefaultParagraphFont"/>
    <w:uiPriority w:val="99"/>
    <w:unhideWhenUsed/>
    <w:rsid w:val="00054FDD"/>
    <w:rPr>
      <w:color w:val="0563C1" w:themeColor="hyperlink"/>
      <w:u w:val="single"/>
    </w:rPr>
  </w:style>
  <w:style w:type="character" w:styleId="UnresolvedMention">
    <w:name w:val="Unresolved Mention"/>
    <w:basedOn w:val="DefaultParagraphFont"/>
    <w:uiPriority w:val="99"/>
    <w:semiHidden/>
    <w:unhideWhenUsed/>
    <w:rsid w:val="00054FDD"/>
    <w:rPr>
      <w:color w:val="605E5C"/>
      <w:shd w:val="clear" w:color="auto" w:fill="E1DFDD"/>
    </w:rPr>
  </w:style>
  <w:style w:type="character" w:styleId="FollowedHyperlink">
    <w:name w:val="FollowedHyperlink"/>
    <w:basedOn w:val="DefaultParagraphFont"/>
    <w:uiPriority w:val="99"/>
    <w:semiHidden/>
    <w:unhideWhenUsed/>
    <w:rsid w:val="008A1AF4"/>
    <w:rPr>
      <w:color w:val="954F72" w:themeColor="followedHyperlink"/>
      <w:u w:val="single"/>
    </w:rPr>
  </w:style>
  <w:style w:type="character" w:customStyle="1" w:styleId="Heading1Char">
    <w:name w:val="Heading 1 Char"/>
    <w:basedOn w:val="DefaultParagraphFont"/>
    <w:link w:val="Heading1"/>
    <w:uiPriority w:val="9"/>
    <w:rsid w:val="00FE60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6031"/>
    <w:rPr>
      <w:rFonts w:asciiTheme="majorHAnsi" w:eastAsiaTheme="majorEastAsia" w:hAnsiTheme="majorHAnsi" w:cstheme="majorBidi"/>
      <w:color w:val="2F5496" w:themeColor="accent1" w:themeShade="BF"/>
      <w:sz w:val="26"/>
      <w:szCs w:val="26"/>
    </w:rPr>
  </w:style>
  <w:style w:type="paragraph" w:styleId="IntenseQuote">
    <w:name w:val="Intense Quote"/>
    <w:basedOn w:val="Normal"/>
    <w:next w:val="Normal"/>
    <w:link w:val="IntenseQuoteChar"/>
    <w:uiPriority w:val="30"/>
    <w:qFormat/>
    <w:rsid w:val="00FE603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E6031"/>
    <w:rPr>
      <w:i/>
      <w:iCs/>
      <w:color w:val="4472C4" w:themeColor="accent1"/>
    </w:rPr>
  </w:style>
  <w:style w:type="paragraph" w:styleId="Footer">
    <w:name w:val="footer"/>
    <w:basedOn w:val="Normal"/>
    <w:link w:val="FooterChar"/>
    <w:uiPriority w:val="99"/>
    <w:unhideWhenUsed/>
    <w:rsid w:val="00CF25F9"/>
    <w:pPr>
      <w:tabs>
        <w:tab w:val="center" w:pos="4513"/>
        <w:tab w:val="right" w:pos="9026"/>
      </w:tabs>
    </w:pPr>
  </w:style>
  <w:style w:type="character" w:customStyle="1" w:styleId="FooterChar">
    <w:name w:val="Footer Char"/>
    <w:basedOn w:val="DefaultParagraphFont"/>
    <w:link w:val="Footer"/>
    <w:uiPriority w:val="99"/>
    <w:rsid w:val="00CF25F9"/>
  </w:style>
  <w:style w:type="character" w:styleId="PageNumber">
    <w:name w:val="page number"/>
    <w:basedOn w:val="DefaultParagraphFont"/>
    <w:uiPriority w:val="99"/>
    <w:semiHidden/>
    <w:unhideWhenUsed/>
    <w:rsid w:val="00CF2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938788">
      <w:bodyDiv w:val="1"/>
      <w:marLeft w:val="0"/>
      <w:marRight w:val="0"/>
      <w:marTop w:val="0"/>
      <w:marBottom w:val="0"/>
      <w:divBdr>
        <w:top w:val="none" w:sz="0" w:space="0" w:color="auto"/>
        <w:left w:val="none" w:sz="0" w:space="0" w:color="auto"/>
        <w:bottom w:val="none" w:sz="0" w:space="0" w:color="auto"/>
        <w:right w:val="none" w:sz="0" w:space="0" w:color="auto"/>
      </w:divBdr>
    </w:div>
    <w:div w:id="20242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ac.uk/services/ris/research_integrity/code_of_practice_and_policies/" TargetMode="External"/><Relationship Id="rId3" Type="http://schemas.openxmlformats.org/officeDocument/2006/relationships/settings" Target="settings.xml"/><Relationship Id="rId7" Type="http://schemas.openxmlformats.org/officeDocument/2006/relationships/hyperlink" Target="https://esrc.ukri.org/files/funding/guidance-for-applicants/esrc-framework-for-research-ethics-20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1342</Words>
  <Characters>7653</Characters>
  <Application>Microsoft Office Word</Application>
  <DocSecurity>0</DocSecurity>
  <Lines>63</Lines>
  <Paragraphs>17</Paragraphs>
  <ScaleCrop>false</ScaleCrop>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Kuzemko, Caroline</dc:creator>
  <cp:keywords/>
  <dc:description/>
  <cp:lastModifiedBy>Kuzemko, Caroline</cp:lastModifiedBy>
  <cp:revision>140</cp:revision>
  <dcterms:created xsi:type="dcterms:W3CDTF">2021-05-05T10:55:00Z</dcterms:created>
  <dcterms:modified xsi:type="dcterms:W3CDTF">2021-05-12T08:15:00Z</dcterms:modified>
</cp:coreProperties>
</file>