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70E5F" w14:textId="77777777" w:rsidR="00B50605" w:rsidRDefault="00B50605">
      <w:r w:rsidRPr="00B50605">
        <w:rPr>
          <w:b/>
          <w:bCs/>
          <w:u w:val="single"/>
        </w:rPr>
        <w:t>P</w:t>
      </w:r>
      <w:r w:rsidR="002B79CD" w:rsidRPr="00B50605">
        <w:rPr>
          <w:b/>
          <w:bCs/>
          <w:u w:val="single"/>
        </w:rPr>
        <w:t>lace-Making with Older People: Towards Age Friendly Communities</w:t>
      </w:r>
    </w:p>
    <w:p w14:paraId="2D81F803" w14:textId="29695D80" w:rsidR="00B50605" w:rsidRPr="00B50605" w:rsidRDefault="002B79CD">
      <w:pPr>
        <w:rPr>
          <w:b/>
          <w:bCs/>
          <w:u w:val="single"/>
        </w:rPr>
      </w:pPr>
      <w:r w:rsidRPr="00B50605">
        <w:rPr>
          <w:b/>
          <w:bCs/>
          <w:u w:val="single"/>
        </w:rPr>
        <w:t>Introduction</w:t>
      </w:r>
      <w:r w:rsidR="00B50605" w:rsidRPr="00B50605">
        <w:rPr>
          <w:b/>
          <w:bCs/>
          <w:u w:val="single"/>
        </w:rPr>
        <w:t xml:space="preserve"> and Context</w:t>
      </w:r>
    </w:p>
    <w:p w14:paraId="21B7140A" w14:textId="77777777" w:rsidR="00B50605" w:rsidRDefault="002B79CD" w:rsidP="00B50605">
      <w:pPr>
        <w:jc w:val="both"/>
      </w:pPr>
      <w:r>
        <w:t xml:space="preserve">Ageing populations in the UK and Brazil have generated new challenges in how to best design urban environments that support and promote everyday social engagement and healthy urban living for older people. As they age older adults face declining physical and cognitive capacities, changes to their living arrangements and loss of social supports. In response to this, the ageing-in-place agenda has become an important issue in redefining policy for older people (Andrews and Phillips, 2005). The ageing-in-place agenda posits that the preferred environment for older adults to age is in the community, where they can remain active, engaged, socially connected, and independent (Wiles et al, 2011). Yet ageing-[successfully]-in-place is dependent on older adults having the place-based supports for social participation, </w:t>
      </w:r>
      <w:proofErr w:type="gramStart"/>
      <w:r>
        <w:t>mobility</w:t>
      </w:r>
      <w:proofErr w:type="gramEnd"/>
      <w:r>
        <w:t xml:space="preserve"> and active living (Sixsmith et al, 2014). However, urban environments in their current design often discourage active ageing, putting older adults at risk for isolation and loneliness (Buffel and Phillipson, 2012; ILC, 2013). Contemporary urban cities can be ‘unfriendly’ and ‘hostile’ to older adults, acting as a barrier to accessing social, </w:t>
      </w:r>
      <w:proofErr w:type="gramStart"/>
      <w:r>
        <w:t>economic</w:t>
      </w:r>
      <w:proofErr w:type="gramEnd"/>
      <w:r>
        <w:t xml:space="preserve"> and civic opportunities (Scharf et al, 2005). In addressing this, international policy and practice has focused on the creation of age friendly cities and communities as environments to encourage active ageing (Davies and Kelly, 2014). In working towards these environments, best practice guidelines have been developed to support walkability and the design of inclusive outdoor spaces (HAPPI, 2012; IDGO, 2012). </w:t>
      </w:r>
    </w:p>
    <w:p w14:paraId="3F35FB3A" w14:textId="77777777" w:rsidR="00B50605" w:rsidRDefault="002B79CD" w:rsidP="00B50605">
      <w:pPr>
        <w:jc w:val="both"/>
      </w:pPr>
      <w:r>
        <w:t xml:space="preserve">This research recognizes that simply changing the built form is not sufficient to create a more inclusive environment for ageing since places are more than physical spaces. Viable environments are articulated through a strong sense of place, defined as the social, </w:t>
      </w:r>
      <w:proofErr w:type="gramStart"/>
      <w:r>
        <w:t>psychological</w:t>
      </w:r>
      <w:proofErr w:type="gramEnd"/>
      <w:r>
        <w:t xml:space="preserve"> and emotional bonds that people have with their environment (Manzo and Perkins, 2006). A strong sense of place results from having access to supports for active participation, opportunities to build and sustain social networks, and assuming a meaningful role in the community (Seamon, 2014). In contrast a feeling of displacement or ‘</w:t>
      </w:r>
      <w:proofErr w:type="spellStart"/>
      <w:r>
        <w:t>placelessness</w:t>
      </w:r>
      <w:proofErr w:type="spellEnd"/>
      <w:r>
        <w:t xml:space="preserve">’ is associated with alienation, </w:t>
      </w:r>
      <w:proofErr w:type="gramStart"/>
      <w:r>
        <w:t>isolation</w:t>
      </w:r>
      <w:proofErr w:type="gramEnd"/>
      <w:r>
        <w:t xml:space="preserve"> and loneliness, often resulting in adverse health and well-being outcomes, particularly amongst vulnerable older adults (</w:t>
      </w:r>
      <w:proofErr w:type="spellStart"/>
      <w:r>
        <w:t>Lewicka</w:t>
      </w:r>
      <w:proofErr w:type="spellEnd"/>
      <w:r>
        <w:t xml:space="preserve">, 2013). Societally, the creation of age friendly urban environments that support sense of place is integral to successful ageing ensuring that older adults can continue to make a positive contribution in old age, delaying the need for institutional care and reducing health and social care costs. </w:t>
      </w:r>
    </w:p>
    <w:p w14:paraId="61F9D64D" w14:textId="77777777" w:rsidR="00B50605" w:rsidRDefault="002B79CD" w:rsidP="00B50605">
      <w:pPr>
        <w:jc w:val="both"/>
      </w:pPr>
      <w:r w:rsidRPr="00B50605">
        <w:rPr>
          <w:b/>
          <w:bCs/>
          <w:u w:val="single"/>
        </w:rPr>
        <w:t>Aims and objectives</w:t>
      </w:r>
      <w:r>
        <w:t xml:space="preserve"> </w:t>
      </w:r>
    </w:p>
    <w:p w14:paraId="078158EB" w14:textId="14F3A47C" w:rsidR="002B79CD" w:rsidRDefault="002B79CD" w:rsidP="00B50605">
      <w:pPr>
        <w:jc w:val="both"/>
      </w:pPr>
      <w:r>
        <w:t xml:space="preserve">This project has three core aims: (i) to investigate how sense of place is experienced by older people from different social settings living in diverse neighbourhoods in Brazil and the UK; (ii) to translate these experiences into designs for age friendly communities that support sense of place; and (iii) to better articulate the role of older adults as active </w:t>
      </w:r>
      <w:proofErr w:type="spellStart"/>
      <w:r>
        <w:t>placemakers</w:t>
      </w:r>
      <w:proofErr w:type="spellEnd"/>
      <w:r>
        <w:t xml:space="preserve"> in the design process by involving the community at all stages of the research. </w:t>
      </w:r>
    </w:p>
    <w:p w14:paraId="32BB5085" w14:textId="4A34D1F0" w:rsidR="00F75A41" w:rsidRDefault="00FF5C59">
      <w:pPr>
        <w:rPr>
          <w:b/>
          <w:bCs/>
          <w:u w:val="single"/>
        </w:rPr>
      </w:pPr>
      <w:r w:rsidRPr="00FF5C59">
        <w:rPr>
          <w:b/>
          <w:bCs/>
          <w:u w:val="single"/>
        </w:rPr>
        <w:t xml:space="preserve">Data Collection Methods </w:t>
      </w:r>
    </w:p>
    <w:p w14:paraId="32D35375" w14:textId="31FB73C1" w:rsidR="002B79CD" w:rsidRDefault="002B79CD" w:rsidP="002B79CD">
      <w:pPr>
        <w:jc w:val="both"/>
      </w:pPr>
      <w:r>
        <w:t xml:space="preserve">This research selected three cities as case studies in Brazil (Pelotas, Belo Horizonte, and Brasilia) and three cities as case studies in the UK (Edinburgh, </w:t>
      </w:r>
      <w:proofErr w:type="gramStart"/>
      <w:r>
        <w:t>Manchester</w:t>
      </w:r>
      <w:proofErr w:type="gramEnd"/>
      <w:r>
        <w:t xml:space="preserve"> and Glasgow). The case study cities represented a broad spectrum of urban areas, in terms of demography (mixed tenures by age), inequality (health and social disparities between high and low income groups), topography (different types of urban densities and form) and urban development (varying levels of physical transformation and change). </w:t>
      </w:r>
    </w:p>
    <w:p w14:paraId="4C0EDF49" w14:textId="763B2479" w:rsidR="002B79CD" w:rsidRDefault="002B79CD" w:rsidP="002B79CD">
      <w:pPr>
        <w:jc w:val="both"/>
      </w:pPr>
      <w:r>
        <w:lastRenderedPageBreak/>
        <w:t xml:space="preserve">Within each of the case study cities, three neighbourhoods were selected as study sites reflecting a diversity in population density and income levels (measures guided by previous research examining neighbourhood satisfaction amongst older adults). The neighbourhoods comprised a mix of low, </w:t>
      </w:r>
      <w:proofErr w:type="gramStart"/>
      <w:r>
        <w:t>medium</w:t>
      </w:r>
      <w:proofErr w:type="gramEnd"/>
      <w:r>
        <w:t xml:space="preserve"> and high income and low, medium and high-density areas. Neighbourhood level analysis has been chosen because: (i) the greatest time spent by older adults in retirement is at home and in the immediate neighbourhood locality, (ii) older adults are increasingly dependent upon social relationships in the neighbourhood as they age; and (iii) older adults have important psychological and emotional bonds and association with the neighbourhood (as community).</w:t>
      </w:r>
    </w:p>
    <w:p w14:paraId="74665AE2" w14:textId="6766C73E" w:rsidR="00FF5C59" w:rsidRDefault="002B79CD" w:rsidP="002B79CD">
      <w:pPr>
        <w:jc w:val="both"/>
      </w:pPr>
      <w:r>
        <w:t xml:space="preserve">As part of the first work package of the research, a </w:t>
      </w:r>
      <w:r w:rsidR="00AA3D32">
        <w:t xml:space="preserve">total number of 180 semi-structured interviews (30 per case study city; 10 per neighbourhood) were conducted with older adults to explore the in-depth experiences of ageing-in-place. </w:t>
      </w:r>
      <w:r>
        <w:t xml:space="preserve">The interviews identified </w:t>
      </w:r>
      <w:r w:rsidR="00AA3D32">
        <w:t>how sense of place is negotiated and constructed (meaning, identity, belonging), identifying everyday behaviours within the built environment, and the importance of specific social and cultural supports.</w:t>
      </w:r>
    </w:p>
    <w:p w14:paraId="6CF6744E" w14:textId="050C55AA" w:rsidR="00B50605" w:rsidRDefault="00B50605" w:rsidP="002B79CD">
      <w:pPr>
        <w:jc w:val="both"/>
        <w:rPr>
          <w:b/>
          <w:bCs/>
          <w:u w:val="single"/>
        </w:rPr>
      </w:pPr>
      <w:r w:rsidRPr="00B50605">
        <w:rPr>
          <w:b/>
          <w:bCs/>
          <w:u w:val="single"/>
        </w:rPr>
        <w:t xml:space="preserve">Case Study Neighbourhoods </w:t>
      </w:r>
    </w:p>
    <w:p w14:paraId="453F1068" w14:textId="4D417762" w:rsidR="00B50605" w:rsidRPr="00B50605" w:rsidRDefault="00B50605" w:rsidP="002B79CD">
      <w:pPr>
        <w:jc w:val="both"/>
        <w:rPr>
          <w:b/>
          <w:bCs/>
        </w:rPr>
      </w:pPr>
      <w:r w:rsidRPr="00B50605">
        <w:rPr>
          <w:b/>
          <w:bCs/>
        </w:rPr>
        <w:t xml:space="preserve">UK </w:t>
      </w:r>
    </w:p>
    <w:p w14:paraId="5E379B57" w14:textId="5122BBCB" w:rsidR="00B50605" w:rsidRPr="00B50605" w:rsidRDefault="00B50605" w:rsidP="002B79CD">
      <w:pPr>
        <w:jc w:val="both"/>
      </w:pPr>
      <w:r w:rsidRPr="00B50605">
        <w:t>Manchester: Low income – Baguley; Middle income – Rusholme; High income – Didsbury</w:t>
      </w:r>
    </w:p>
    <w:p w14:paraId="65F5CED3" w14:textId="10828244" w:rsidR="00B50605" w:rsidRPr="00B50605" w:rsidRDefault="00B50605" w:rsidP="002B79CD">
      <w:pPr>
        <w:jc w:val="both"/>
      </w:pPr>
      <w:r w:rsidRPr="00B50605">
        <w:t xml:space="preserve">Edinburgh: Low </w:t>
      </w:r>
      <w:proofErr w:type="gramStart"/>
      <w:r w:rsidRPr="00B50605">
        <w:t>income  -</w:t>
      </w:r>
      <w:proofErr w:type="gramEnd"/>
      <w:r w:rsidRPr="00B50605">
        <w:t xml:space="preserve"> Craigmillar; Middle income – Leith; High income – Morningside</w:t>
      </w:r>
    </w:p>
    <w:p w14:paraId="6599C2D0" w14:textId="79C06F3E" w:rsidR="00B50605" w:rsidRPr="00B50605" w:rsidRDefault="00B50605" w:rsidP="002B79CD">
      <w:pPr>
        <w:jc w:val="both"/>
      </w:pPr>
      <w:r w:rsidRPr="00B50605">
        <w:t xml:space="preserve">Glasgow: Low income – Easterhouse; Middle income – Govanhill; High income – </w:t>
      </w:r>
      <w:proofErr w:type="spellStart"/>
      <w:r w:rsidRPr="00B50605">
        <w:t>Partick</w:t>
      </w:r>
      <w:proofErr w:type="spellEnd"/>
    </w:p>
    <w:p w14:paraId="298BA3D7" w14:textId="3DD6E578" w:rsidR="00B50605" w:rsidRDefault="00B50605" w:rsidP="002B79CD">
      <w:pPr>
        <w:jc w:val="both"/>
        <w:rPr>
          <w:b/>
          <w:bCs/>
        </w:rPr>
      </w:pPr>
      <w:r>
        <w:rPr>
          <w:b/>
          <w:bCs/>
        </w:rPr>
        <w:t>Brazil</w:t>
      </w:r>
    </w:p>
    <w:p w14:paraId="782E0648" w14:textId="59CB0B5A" w:rsidR="00B50605" w:rsidRPr="00B50605" w:rsidRDefault="00B50605" w:rsidP="002B79CD">
      <w:pPr>
        <w:jc w:val="both"/>
      </w:pPr>
      <w:r w:rsidRPr="00B50605">
        <w:t>Brasilia:</w:t>
      </w:r>
      <w:r w:rsidR="00750DAF" w:rsidRPr="00750DAF">
        <w:t xml:space="preserve"> Low income </w:t>
      </w:r>
      <w:r w:rsidR="00750DAF">
        <w:t xml:space="preserve">- </w:t>
      </w:r>
      <w:r w:rsidR="00750DAF" w:rsidRPr="00750DAF">
        <w:t xml:space="preserve">Vila </w:t>
      </w:r>
      <w:proofErr w:type="spellStart"/>
      <w:r w:rsidR="00750DAF" w:rsidRPr="00750DAF">
        <w:t>Weslian</w:t>
      </w:r>
      <w:proofErr w:type="spellEnd"/>
      <w:r w:rsidR="00750DAF" w:rsidRPr="00750DAF">
        <w:t xml:space="preserve"> </w:t>
      </w:r>
      <w:proofErr w:type="spellStart"/>
      <w:r w:rsidR="00750DAF" w:rsidRPr="00750DAF">
        <w:t>Roris</w:t>
      </w:r>
      <w:proofErr w:type="spellEnd"/>
      <w:r w:rsidR="00750DAF">
        <w:t>; Medium income -</w:t>
      </w:r>
      <w:r w:rsidR="00750DAF" w:rsidRPr="00750DAF">
        <w:t xml:space="preserve"> Asa Norte</w:t>
      </w:r>
      <w:r w:rsidR="00750DAF">
        <w:t xml:space="preserve">; High income - </w:t>
      </w:r>
      <w:r w:rsidR="00750DAF" w:rsidRPr="00750DAF">
        <w:t xml:space="preserve">Asa Sul </w:t>
      </w:r>
    </w:p>
    <w:p w14:paraId="61A7EBC2" w14:textId="318C5F68" w:rsidR="00B50605" w:rsidRPr="00750DAF" w:rsidRDefault="00B50605" w:rsidP="002B79CD">
      <w:pPr>
        <w:jc w:val="both"/>
        <w:rPr>
          <w:rFonts w:cstheme="minorHAnsi"/>
        </w:rPr>
      </w:pPr>
      <w:r w:rsidRPr="00B50605">
        <w:t xml:space="preserve">Belo </w:t>
      </w:r>
      <w:r w:rsidRPr="00750DAF">
        <w:rPr>
          <w:rFonts w:cstheme="minorHAnsi"/>
        </w:rPr>
        <w:t>Horizonte:</w:t>
      </w:r>
      <w:r w:rsidR="00750DAF" w:rsidRPr="00750DAF">
        <w:rPr>
          <w:rFonts w:cstheme="minorHAnsi"/>
        </w:rPr>
        <w:t xml:space="preserve"> Low income – Serra; Medium income – Centro; High income – </w:t>
      </w:r>
      <w:proofErr w:type="spellStart"/>
      <w:r w:rsidR="00750DAF" w:rsidRPr="00750DAF">
        <w:rPr>
          <w:rFonts w:cstheme="minorHAnsi"/>
        </w:rPr>
        <w:t>Achieta</w:t>
      </w:r>
      <w:proofErr w:type="spellEnd"/>
      <w:r w:rsidR="00750DAF" w:rsidRPr="00750DAF">
        <w:rPr>
          <w:rFonts w:cstheme="minorHAnsi"/>
        </w:rPr>
        <w:t xml:space="preserve"> </w:t>
      </w:r>
    </w:p>
    <w:p w14:paraId="05B70B47" w14:textId="30FC2D45" w:rsidR="00750DAF" w:rsidRDefault="00B50605" w:rsidP="00750DAF">
      <w:pPr>
        <w:jc w:val="both"/>
        <w:rPr>
          <w:rFonts w:cstheme="minorHAnsi"/>
        </w:rPr>
      </w:pPr>
      <w:r w:rsidRPr="00750DAF">
        <w:rPr>
          <w:rFonts w:cstheme="minorHAnsi"/>
        </w:rPr>
        <w:t>Pelotas:</w:t>
      </w:r>
      <w:r w:rsidR="00750DAF" w:rsidRPr="00750DAF">
        <w:rPr>
          <w:rFonts w:cstheme="minorHAnsi"/>
        </w:rPr>
        <w:t xml:space="preserve"> Low income – </w:t>
      </w:r>
      <w:proofErr w:type="spellStart"/>
      <w:r w:rsidR="00750DAF" w:rsidRPr="00750DAF">
        <w:rPr>
          <w:rFonts w:cstheme="minorHAnsi"/>
        </w:rPr>
        <w:t>Navegantes</w:t>
      </w:r>
      <w:proofErr w:type="spellEnd"/>
      <w:r w:rsidR="00750DAF" w:rsidRPr="00750DAF">
        <w:rPr>
          <w:rFonts w:cstheme="minorHAnsi"/>
        </w:rPr>
        <w:t>; M</w:t>
      </w:r>
      <w:r w:rsidR="00750DAF">
        <w:rPr>
          <w:rFonts w:cstheme="minorHAnsi"/>
        </w:rPr>
        <w:t>i</w:t>
      </w:r>
      <w:r w:rsidR="00750DAF" w:rsidRPr="00750DAF">
        <w:rPr>
          <w:rFonts w:cstheme="minorHAnsi"/>
        </w:rPr>
        <w:t xml:space="preserve">ddle income – </w:t>
      </w:r>
      <w:proofErr w:type="spellStart"/>
      <w:r w:rsidR="00750DAF" w:rsidRPr="00750DAF">
        <w:rPr>
          <w:rFonts w:cstheme="minorHAnsi"/>
        </w:rPr>
        <w:t>Fragata</w:t>
      </w:r>
      <w:proofErr w:type="spellEnd"/>
      <w:r w:rsidR="00750DAF" w:rsidRPr="00750DAF">
        <w:rPr>
          <w:rFonts w:cstheme="minorHAnsi"/>
        </w:rPr>
        <w:t xml:space="preserve">. High income - Centro </w:t>
      </w:r>
    </w:p>
    <w:p w14:paraId="3C21A982" w14:textId="77777777" w:rsidR="00963FC7" w:rsidRDefault="00963FC7" w:rsidP="00963FC7">
      <w:pPr>
        <w:rPr>
          <w:b/>
          <w:bCs/>
          <w:u w:val="single"/>
        </w:rPr>
      </w:pPr>
      <w:r w:rsidRPr="00FF5C59">
        <w:rPr>
          <w:b/>
          <w:bCs/>
          <w:u w:val="single"/>
        </w:rPr>
        <w:t xml:space="preserve">Data Collection </w:t>
      </w:r>
      <w:r>
        <w:rPr>
          <w:b/>
          <w:bCs/>
          <w:u w:val="single"/>
        </w:rPr>
        <w:t>Analysis</w:t>
      </w:r>
    </w:p>
    <w:p w14:paraId="2DC2089A" w14:textId="72304B7B" w:rsidR="00963FC7" w:rsidRDefault="00963FC7" w:rsidP="00963FC7">
      <w:pPr>
        <w:jc w:val="both"/>
      </w:pPr>
      <w:r w:rsidRPr="00963FC7">
        <w:t xml:space="preserve">The data analysis process was informed by a rigorous approach to cross-national analysis involving all team members. The analysis was undertaken using the six steps adapted from Braun et al (2019). Initially, the transcripts were read and re-read by researchers and investigators within the national teams. The emphasis here was on understanding how older adults talked about living in the community, the challenges of ageing in place and the meanings they ascribe to the places which made up their everyday life context. After reading the transcripts, the second step was to individually code </w:t>
      </w:r>
      <w:proofErr w:type="gramStart"/>
      <w:r w:rsidRPr="00963FC7">
        <w:t>a number</w:t>
      </w:r>
      <w:r>
        <w:t xml:space="preserve"> </w:t>
      </w:r>
      <w:r w:rsidRPr="00963FC7">
        <w:t>of</w:t>
      </w:r>
      <w:proofErr w:type="gramEnd"/>
      <w:r w:rsidRPr="00963FC7">
        <w:t xml:space="preserve"> the transcripts to identify areas of meaning and importance. Each national team then held a series of meetings to discuss the initial set of </w:t>
      </w:r>
      <w:proofErr w:type="spellStart"/>
      <w:r w:rsidRPr="00963FC7">
        <w:t>codings</w:t>
      </w:r>
      <w:proofErr w:type="spellEnd"/>
      <w:r w:rsidRPr="00963FC7">
        <w:t xml:space="preserve">, to resolve any disagreements and to organise the related </w:t>
      </w:r>
      <w:proofErr w:type="spellStart"/>
      <w:r w:rsidRPr="00963FC7">
        <w:t>codings</w:t>
      </w:r>
      <w:proofErr w:type="spellEnd"/>
      <w:r w:rsidRPr="00963FC7">
        <w:t xml:space="preserve"> into a set of tentative themes. A thematic framework began to emerge within each of the national contexts. The process was then repeated until </w:t>
      </w:r>
      <w:proofErr w:type="gramStart"/>
      <w:r w:rsidRPr="00963FC7">
        <w:t>all of</w:t>
      </w:r>
      <w:proofErr w:type="gramEnd"/>
      <w:r w:rsidRPr="00963FC7">
        <w:t xml:space="preserve"> the transcripts had been analysed. The national teams then each met through analysis workshops to jointly analyse data and agree a shared thematic framework to organise, rename and collapse some of the themes. A cross-national analysis workshop was then held to examine the thematic frameworks for each of the countries and identify and discuss the similarities, </w:t>
      </w:r>
      <w:proofErr w:type="gramStart"/>
      <w:r w:rsidRPr="00963FC7">
        <w:t>differences</w:t>
      </w:r>
      <w:proofErr w:type="gramEnd"/>
      <w:r w:rsidRPr="00963FC7">
        <w:t xml:space="preserve"> and areas of ‘shared silence’. After reviewing the frameworks, the </w:t>
      </w:r>
      <w:r>
        <w:t xml:space="preserve">final set of themes were finalised. </w:t>
      </w:r>
    </w:p>
    <w:p w14:paraId="63407A55" w14:textId="39AA065A" w:rsidR="00963FC7" w:rsidRDefault="00963FC7" w:rsidP="00963FC7">
      <w:pPr>
        <w:rPr>
          <w:b/>
          <w:bCs/>
          <w:u w:val="single"/>
        </w:rPr>
      </w:pPr>
      <w:r>
        <w:rPr>
          <w:b/>
          <w:bCs/>
          <w:u w:val="single"/>
        </w:rPr>
        <w:t>Findings/ Conclusion</w:t>
      </w:r>
    </w:p>
    <w:p w14:paraId="24C58AD7" w14:textId="37267D75" w:rsidR="00963FC7" w:rsidRPr="00963FC7" w:rsidRDefault="00963FC7" w:rsidP="00963FC7">
      <w:r w:rsidRPr="00963FC7">
        <w:lastRenderedPageBreak/>
        <w:t xml:space="preserve">The findings identified </w:t>
      </w:r>
      <w:proofErr w:type="gramStart"/>
      <w:r w:rsidRPr="00963FC7">
        <w:t>a number of</w:t>
      </w:r>
      <w:proofErr w:type="gramEnd"/>
      <w:r w:rsidRPr="00963FC7">
        <w:t xml:space="preserve"> key themes cutting across the dimensions of the Age-Friendly Cities and Communities conceptual framework. These have been published in subsequent papers and recommendations/guidelines.</w:t>
      </w:r>
    </w:p>
    <w:p w14:paraId="41CCA771" w14:textId="77777777" w:rsidR="00963FC7" w:rsidRDefault="00963FC7" w:rsidP="00963FC7">
      <w:pPr>
        <w:jc w:val="both"/>
      </w:pPr>
    </w:p>
    <w:p w14:paraId="6C173528" w14:textId="6D8BF850" w:rsidR="00963FC7" w:rsidRDefault="00963FC7" w:rsidP="00963FC7">
      <w:pPr>
        <w:jc w:val="both"/>
      </w:pPr>
      <w:r>
        <w:t xml:space="preserve"> </w:t>
      </w:r>
    </w:p>
    <w:p w14:paraId="5B740AD0" w14:textId="77777777" w:rsidR="00963FC7" w:rsidRPr="00963FC7" w:rsidRDefault="00963FC7" w:rsidP="00963FC7">
      <w:pPr>
        <w:jc w:val="both"/>
      </w:pPr>
    </w:p>
    <w:p w14:paraId="55618B67" w14:textId="77777777" w:rsidR="00963FC7" w:rsidRPr="00750DAF" w:rsidRDefault="00963FC7" w:rsidP="00750DAF">
      <w:pPr>
        <w:jc w:val="both"/>
        <w:rPr>
          <w:rFonts w:cstheme="minorHAnsi"/>
        </w:rPr>
      </w:pPr>
    </w:p>
    <w:p w14:paraId="186C861D" w14:textId="1661C1A8" w:rsidR="00750DAF" w:rsidRDefault="00750DAF" w:rsidP="00750DAF">
      <w:pPr>
        <w:jc w:val="both"/>
        <w:rPr>
          <w:rFonts w:ascii="Arial" w:hAnsi="Arial" w:cs="Arial"/>
          <w:sz w:val="24"/>
          <w:szCs w:val="24"/>
        </w:rPr>
      </w:pPr>
    </w:p>
    <w:p w14:paraId="7CBB9D41" w14:textId="77777777" w:rsidR="00750DAF" w:rsidRPr="00B50605" w:rsidRDefault="00750DAF">
      <w:pPr>
        <w:jc w:val="both"/>
      </w:pPr>
    </w:p>
    <w:sectPr w:rsidR="00750DAF" w:rsidRPr="00B506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59"/>
    <w:rsid w:val="00132874"/>
    <w:rsid w:val="002B79CD"/>
    <w:rsid w:val="00750DAF"/>
    <w:rsid w:val="00963FC7"/>
    <w:rsid w:val="00AA3D32"/>
    <w:rsid w:val="00B50605"/>
    <w:rsid w:val="00D54ABB"/>
    <w:rsid w:val="00F037CB"/>
    <w:rsid w:val="00FF5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CF756"/>
  <w15:chartTrackingRefBased/>
  <w15:docId w15:val="{F6B38155-7FDD-4F55-A0D9-8AA63986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0D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D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3</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Woolrych, Ryan</dc:creator>
  <cp:keywords/>
  <dc:description/>
  <cp:lastModifiedBy>Woolrych, Ryan</cp:lastModifiedBy>
  <cp:revision>4</cp:revision>
  <dcterms:created xsi:type="dcterms:W3CDTF">2021-04-07T11:45:00Z</dcterms:created>
  <dcterms:modified xsi:type="dcterms:W3CDTF">2021-04-12T16:49:00Z</dcterms:modified>
</cp:coreProperties>
</file>