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CB" w:rsidRPr="00002DFB" w:rsidRDefault="00AB5DC8">
      <w:pPr>
        <w:rPr>
          <w:rFonts w:cstheme="minorHAnsi"/>
          <w:b/>
          <w:noProof/>
          <w:lang w:eastAsia="en-GB"/>
        </w:rPr>
      </w:pPr>
      <w:r w:rsidRPr="00002DFB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Pr="00002DFB" w:rsidRDefault="00E010CB">
      <w:pPr>
        <w:rPr>
          <w:rFonts w:cstheme="minorHAnsi"/>
          <w:b/>
        </w:rPr>
      </w:pPr>
    </w:p>
    <w:p w:rsidR="00E010CB" w:rsidRPr="00002DFB" w:rsidRDefault="00E010CB">
      <w:pPr>
        <w:rPr>
          <w:rFonts w:cstheme="minorHAnsi"/>
          <w:b/>
        </w:rPr>
      </w:pPr>
    </w:p>
    <w:p w:rsidR="00E010CB" w:rsidRPr="00002DFB" w:rsidRDefault="00E010CB">
      <w:pPr>
        <w:rPr>
          <w:rFonts w:cstheme="minorHAnsi"/>
          <w:b/>
        </w:rPr>
      </w:pPr>
    </w:p>
    <w:p w:rsidR="00121130" w:rsidRPr="00002DFB" w:rsidRDefault="00C12F9B">
      <w:pPr>
        <w:rPr>
          <w:rFonts w:cstheme="minorHAnsi"/>
        </w:rPr>
      </w:pPr>
      <w:r w:rsidRPr="00002DFB">
        <w:rPr>
          <w:rFonts w:cstheme="minorHAnsi"/>
          <w:b/>
        </w:rPr>
        <w:t>Grant Number</w:t>
      </w:r>
      <w:r w:rsidRPr="00002DFB">
        <w:rPr>
          <w:rFonts w:cstheme="minorHAnsi"/>
        </w:rPr>
        <w:t xml:space="preserve">: </w:t>
      </w:r>
      <w:r w:rsidR="00F240B7" w:rsidRPr="00002DFB">
        <w:rPr>
          <w:rFonts w:cstheme="minorHAnsi"/>
          <w:color w:val="333333"/>
        </w:rPr>
        <w:t>Aries Code 201880</w:t>
      </w:r>
    </w:p>
    <w:p w:rsidR="00C12F9B" w:rsidRPr="00002DFB" w:rsidRDefault="00C12F9B">
      <w:pPr>
        <w:rPr>
          <w:rFonts w:cstheme="minorHAnsi"/>
          <w:b/>
        </w:rPr>
      </w:pPr>
      <w:r w:rsidRPr="00002DFB">
        <w:rPr>
          <w:rFonts w:cstheme="minorHAnsi"/>
          <w:b/>
        </w:rPr>
        <w:t xml:space="preserve">Sponsor: </w:t>
      </w:r>
      <w:r w:rsidR="00F240B7" w:rsidRPr="00002DFB">
        <w:rPr>
          <w:rFonts w:cstheme="minorHAnsi"/>
          <w:color w:val="333333"/>
        </w:rPr>
        <w:t>Foreign Commonwealth and Development Office</w:t>
      </w:r>
    </w:p>
    <w:p w:rsidR="00F240B7" w:rsidRPr="00002DFB" w:rsidRDefault="000F06C6" w:rsidP="00F240B7">
      <w:pPr>
        <w:rPr>
          <w:rFonts w:eastAsia="Times New Roman" w:cstheme="minorHAnsi"/>
          <w:color w:val="333333"/>
          <w:lang w:eastAsia="en-GB"/>
        </w:rPr>
      </w:pPr>
      <w:r w:rsidRPr="00002DFB">
        <w:rPr>
          <w:rFonts w:cstheme="minorHAnsi"/>
          <w:b/>
        </w:rPr>
        <w:t>Project title</w:t>
      </w:r>
      <w:r w:rsidRPr="00002DFB">
        <w:rPr>
          <w:rFonts w:cstheme="minorHAnsi"/>
        </w:rPr>
        <w:t xml:space="preserve">: </w:t>
      </w:r>
      <w:r w:rsidR="00F240B7" w:rsidRPr="00002DFB">
        <w:rPr>
          <w:rFonts w:eastAsia="Times New Roman" w:cstheme="minorHAnsi"/>
          <w:color w:val="333333"/>
          <w:lang w:eastAsia="en-GB"/>
        </w:rPr>
        <w:t>REACH | Improving water security for the poor</w:t>
      </w:r>
    </w:p>
    <w:p w:rsidR="000F06C6" w:rsidRPr="00002DFB" w:rsidRDefault="000F06C6">
      <w:pPr>
        <w:rPr>
          <w:rFonts w:cstheme="minorHAnsi"/>
        </w:rPr>
      </w:pPr>
    </w:p>
    <w:p w:rsidR="000F06C6" w:rsidRPr="00002DFB" w:rsidRDefault="000F06C6">
      <w:pPr>
        <w:rPr>
          <w:rFonts w:cstheme="minorHAnsi"/>
        </w:rPr>
      </w:pPr>
      <w:r w:rsidRPr="00002DFB">
        <w:rPr>
          <w:rFonts w:cstheme="minorHAns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393"/>
      </w:tblGrid>
      <w:tr w:rsidR="000F06C6" w:rsidRPr="00002DFB" w:rsidTr="003D7C0E">
        <w:tc>
          <w:tcPr>
            <w:tcW w:w="4623" w:type="dxa"/>
          </w:tcPr>
          <w:p w:rsidR="000F06C6" w:rsidRPr="00002DFB" w:rsidRDefault="000F06C6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File name</w:t>
            </w:r>
          </w:p>
        </w:tc>
        <w:tc>
          <w:tcPr>
            <w:tcW w:w="4393" w:type="dxa"/>
          </w:tcPr>
          <w:p w:rsidR="000F06C6" w:rsidRPr="00002DFB" w:rsidRDefault="000F06C6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File description (Short description of c</w:t>
            </w:r>
            <w:r w:rsidR="00377F0F" w:rsidRPr="00002DFB">
              <w:rPr>
                <w:rFonts w:cstheme="minorHAnsi"/>
              </w:rPr>
              <w:t xml:space="preserve">ontent, sample size, format, any linking between different types of data, </w:t>
            </w:r>
            <w:r w:rsidR="003B3C82" w:rsidRPr="00002DFB">
              <w:rPr>
                <w:rFonts w:cstheme="minorHAnsi"/>
              </w:rPr>
              <w:t>i.e.</w:t>
            </w:r>
            <w:r w:rsidR="00377F0F" w:rsidRPr="00002DFB">
              <w:rPr>
                <w:rFonts w:cstheme="minorHAnsi"/>
              </w:rPr>
              <w:t xml:space="preserve"> survey and </w:t>
            </w:r>
            <w:r w:rsidR="003B3C82" w:rsidRPr="00002DFB">
              <w:rPr>
                <w:rFonts w:cstheme="minorHAnsi"/>
              </w:rPr>
              <w:t>interviews/focus groups</w:t>
            </w:r>
            <w:r w:rsidRPr="00002DFB">
              <w:rPr>
                <w:rFonts w:cstheme="minorHAnsi"/>
              </w:rPr>
              <w:t>)</w:t>
            </w:r>
          </w:p>
        </w:tc>
      </w:tr>
      <w:tr w:rsidR="000F06C6" w:rsidRPr="00002DFB" w:rsidTr="003D7C0E">
        <w:trPr>
          <w:trHeight w:val="397"/>
        </w:trPr>
        <w:tc>
          <w:tcPr>
            <w:tcW w:w="4623" w:type="dxa"/>
            <w:shd w:val="clear" w:color="auto" w:fill="auto"/>
          </w:tcPr>
          <w:p w:rsidR="000F06C6" w:rsidRPr="003D7C0E" w:rsidRDefault="00F240B7">
            <w:pPr>
              <w:rPr>
                <w:rFonts w:cstheme="minorHAnsi"/>
              </w:rPr>
            </w:pPr>
            <w:hyperlink r:id="rId5" w:history="1">
              <w:r w:rsidRPr="003D7C0E">
                <w:rPr>
                  <w:rStyle w:val="Hyperlink"/>
                  <w:rFonts w:cstheme="minorHAnsi"/>
                  <w:color w:val="auto"/>
                  <w:u w:val="none"/>
                  <w:shd w:val="clear" w:color="auto" w:fill="FAFAFA"/>
                </w:rPr>
                <w:t>REACH_Khulna_HH_survey_DATA.xlsx</w:t>
              </w:r>
            </w:hyperlink>
          </w:p>
        </w:tc>
        <w:tc>
          <w:tcPr>
            <w:tcW w:w="4393" w:type="dxa"/>
          </w:tcPr>
          <w:p w:rsidR="00C54023" w:rsidRPr="00002DFB" w:rsidRDefault="00C54023" w:rsidP="00C54023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Excel file containing the Household Survey Dataset. There are three sheets - Section 1, 3-5, and 7; Section 2; and Section 6.</w:t>
            </w:r>
          </w:p>
          <w:p w:rsidR="00C54023" w:rsidRPr="00002DFB" w:rsidRDefault="00C54023" w:rsidP="00C54023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 xml:space="preserve">The first two columns of each sheet </w:t>
            </w:r>
            <w:r w:rsidR="003D7C0E" w:rsidRPr="00002DFB">
              <w:rPr>
                <w:rFonts w:cstheme="minorHAnsi"/>
              </w:rPr>
              <w:t>contain</w:t>
            </w:r>
            <w:r w:rsidRPr="00002DFB">
              <w:rPr>
                <w:rFonts w:cstheme="minorHAnsi"/>
              </w:rPr>
              <w:t xml:space="preserve"> the ‘Phase’ and ‘HH_ID’ numbers that link individual households (n = 2103). </w:t>
            </w:r>
          </w:p>
        </w:tc>
      </w:tr>
      <w:tr w:rsidR="000F06C6" w:rsidRPr="00002DFB" w:rsidTr="003D7C0E">
        <w:trPr>
          <w:trHeight w:val="397"/>
        </w:trPr>
        <w:tc>
          <w:tcPr>
            <w:tcW w:w="4623" w:type="dxa"/>
            <w:shd w:val="clear" w:color="auto" w:fill="auto"/>
          </w:tcPr>
          <w:p w:rsidR="000F06C6" w:rsidRPr="003D7C0E" w:rsidRDefault="00F240B7">
            <w:pPr>
              <w:rPr>
                <w:rFonts w:cstheme="minorHAnsi"/>
              </w:rPr>
            </w:pPr>
            <w:hyperlink r:id="rId6" w:history="1">
              <w:r w:rsidRPr="003D7C0E">
                <w:rPr>
                  <w:rStyle w:val="Hyperlink"/>
                  <w:rFonts w:cstheme="minorHAnsi"/>
                  <w:color w:val="auto"/>
                  <w:u w:val="none"/>
                  <w:shd w:val="clear" w:color="auto" w:fill="FAFAFA"/>
                </w:rPr>
                <w:t>REACH_Khulna_HH_sur</w:t>
              </w:r>
              <w:bookmarkStart w:id="0" w:name="_GoBack"/>
              <w:bookmarkEnd w:id="0"/>
              <w:r w:rsidRPr="003D7C0E">
                <w:rPr>
                  <w:rStyle w:val="Hyperlink"/>
                  <w:rFonts w:cstheme="minorHAnsi"/>
                  <w:color w:val="auto"/>
                  <w:u w:val="none"/>
                  <w:shd w:val="clear" w:color="auto" w:fill="FAFAFA"/>
                </w:rPr>
                <w:t>vey_QUESTIONNAIRE.xlsx</w:t>
              </w:r>
            </w:hyperlink>
          </w:p>
        </w:tc>
        <w:tc>
          <w:tcPr>
            <w:tcW w:w="4393" w:type="dxa"/>
          </w:tcPr>
          <w:p w:rsidR="000F06C6" w:rsidRPr="00002DFB" w:rsidRDefault="00355C08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Excel file containing the Questionnaire programmed for uploading to the mobile survey platform ONA. There are three sheets – survey (the questions); choices (options for multiple choice questions); and settings.</w:t>
            </w:r>
          </w:p>
          <w:p w:rsidR="00355C08" w:rsidRPr="00002DFB" w:rsidRDefault="00355C08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 xml:space="preserve">The ‘name’ column in the survey sheet aligns with the column headings of the Dataset, while the ‘name’ column of the choices sheet </w:t>
            </w:r>
            <w:r w:rsidR="003D7C0E" w:rsidRPr="00002DFB">
              <w:rPr>
                <w:rFonts w:cstheme="minorHAnsi"/>
              </w:rPr>
              <w:t>refers</w:t>
            </w:r>
            <w:r w:rsidRPr="00002DFB">
              <w:rPr>
                <w:rFonts w:cstheme="minorHAnsi"/>
              </w:rPr>
              <w:t xml:space="preserve"> to the entries in the Dataset.</w:t>
            </w:r>
          </w:p>
        </w:tc>
      </w:tr>
      <w:tr w:rsidR="000F06C6" w:rsidRPr="00002DFB" w:rsidTr="003D7C0E">
        <w:trPr>
          <w:trHeight w:val="397"/>
        </w:trPr>
        <w:tc>
          <w:tcPr>
            <w:tcW w:w="4623" w:type="dxa"/>
          </w:tcPr>
          <w:p w:rsidR="000F06C6" w:rsidRPr="003D7C0E" w:rsidRDefault="00F240B7">
            <w:pPr>
              <w:rPr>
                <w:rFonts w:cstheme="minorHAnsi"/>
              </w:rPr>
            </w:pPr>
            <w:hyperlink r:id="rId7" w:history="1">
              <w:r w:rsidRPr="003D7C0E">
                <w:rPr>
                  <w:rStyle w:val="Hyperlink"/>
                  <w:rFonts w:cstheme="minorHAnsi"/>
                  <w:color w:val="auto"/>
                  <w:u w:val="none"/>
                </w:rPr>
                <w:t>REACH_HH_survey_METHODS_MANUAL.pdf</w:t>
              </w:r>
            </w:hyperlink>
          </w:p>
        </w:tc>
        <w:tc>
          <w:tcPr>
            <w:tcW w:w="4393" w:type="dxa"/>
          </w:tcPr>
          <w:p w:rsidR="000F06C6" w:rsidRPr="00002DFB" w:rsidRDefault="00A31227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Pdf file outlining the details of the sampling strategy, questionnaire and field logistics.</w:t>
            </w:r>
          </w:p>
        </w:tc>
      </w:tr>
      <w:tr w:rsidR="000F06C6" w:rsidRPr="00002DFB" w:rsidTr="003D7C0E">
        <w:trPr>
          <w:trHeight w:val="397"/>
        </w:trPr>
        <w:tc>
          <w:tcPr>
            <w:tcW w:w="4623" w:type="dxa"/>
            <w:shd w:val="clear" w:color="auto" w:fill="auto"/>
          </w:tcPr>
          <w:p w:rsidR="000F06C6" w:rsidRPr="003D7C0E" w:rsidRDefault="00F240B7">
            <w:pPr>
              <w:rPr>
                <w:rFonts w:cstheme="minorHAnsi"/>
              </w:rPr>
            </w:pPr>
            <w:hyperlink r:id="rId8" w:history="1">
              <w:r w:rsidRPr="003D7C0E">
                <w:rPr>
                  <w:rStyle w:val="Hyperlink"/>
                  <w:rFonts w:cstheme="minorHAnsi"/>
                  <w:color w:val="auto"/>
                  <w:u w:val="none"/>
                  <w:shd w:val="clear" w:color="auto" w:fill="FAFAFA"/>
                </w:rPr>
                <w:t>Participant_consent_form.docx</w:t>
              </w:r>
            </w:hyperlink>
          </w:p>
        </w:tc>
        <w:tc>
          <w:tcPr>
            <w:tcW w:w="4393" w:type="dxa"/>
          </w:tcPr>
          <w:p w:rsidR="000F06C6" w:rsidRPr="00002DFB" w:rsidRDefault="00F240B7">
            <w:pPr>
              <w:rPr>
                <w:rFonts w:cstheme="minorHAnsi"/>
              </w:rPr>
            </w:pPr>
            <w:r w:rsidRPr="00002DFB">
              <w:rPr>
                <w:rFonts w:cstheme="minorHAnsi"/>
              </w:rPr>
              <w:t>Word file containing the Participant Information and Consent Form</w:t>
            </w:r>
            <w:r w:rsidR="00B901D5" w:rsidRPr="00002DFB">
              <w:rPr>
                <w:rFonts w:cstheme="minorHAnsi"/>
              </w:rPr>
              <w:t>. The Bangla translation of this form was read out to obtain verbal consent and then handed over to the respondent for their records.</w:t>
            </w:r>
          </w:p>
        </w:tc>
      </w:tr>
    </w:tbl>
    <w:p w:rsidR="000F06C6" w:rsidRPr="00002DFB" w:rsidRDefault="000F06C6">
      <w:pPr>
        <w:rPr>
          <w:rFonts w:cstheme="minorHAnsi"/>
        </w:rPr>
      </w:pPr>
    </w:p>
    <w:p w:rsidR="00C12F9B" w:rsidRPr="00002DFB" w:rsidRDefault="00C12F9B">
      <w:pPr>
        <w:rPr>
          <w:rFonts w:cstheme="minorHAnsi"/>
        </w:rPr>
      </w:pPr>
      <w:r w:rsidRPr="00002DFB">
        <w:rPr>
          <w:rFonts w:cstheme="minorHAnsi"/>
          <w:b/>
        </w:rPr>
        <w:t>Publications</w:t>
      </w:r>
      <w:r w:rsidRPr="00002DFB">
        <w:rPr>
          <w:rFonts w:cstheme="minorHAnsi"/>
        </w:rPr>
        <w:t xml:space="preserve">: </w:t>
      </w:r>
    </w:p>
    <w:tbl>
      <w:tblPr>
        <w:tblW w:w="5000" w:type="pct"/>
        <w:shd w:val="clear" w:color="auto" w:fill="FAFAF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F240B7" w:rsidRPr="00F240B7" w:rsidTr="00F240B7">
        <w:tc>
          <w:tcPr>
            <w:tcW w:w="0" w:type="auto"/>
            <w:shd w:val="clear" w:color="auto" w:fill="FAFAFA"/>
            <w:vAlign w:val="center"/>
            <w:hideMark/>
          </w:tcPr>
          <w:p w:rsidR="00F240B7" w:rsidRPr="00F240B7" w:rsidRDefault="00F240B7" w:rsidP="00F240B7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hyperlink r:id="rId9" w:history="1">
              <w:r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>Hoque, S. F. and Hope, R. (2019) Examining the economics of affordability through water diaries in coastal Bangladesh. Water Economics and Policy, 6(03)</w:t>
              </w:r>
            </w:hyperlink>
          </w:p>
        </w:tc>
      </w:tr>
      <w:tr w:rsidR="00F240B7" w:rsidRPr="00F240B7" w:rsidTr="00F240B7">
        <w:tc>
          <w:tcPr>
            <w:tcW w:w="0" w:type="auto"/>
            <w:shd w:val="clear" w:color="auto" w:fill="FAFAFA"/>
            <w:vAlign w:val="center"/>
            <w:hideMark/>
          </w:tcPr>
          <w:p w:rsidR="00F240B7" w:rsidRPr="00F240B7" w:rsidRDefault="00F240B7" w:rsidP="00F240B7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hyperlink r:id="rId10" w:history="1">
              <w:r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 xml:space="preserve">Hoque, S.F., Hope, R., </w:t>
              </w:r>
              <w:proofErr w:type="spellStart"/>
              <w:r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>Arif</w:t>
              </w:r>
              <w:proofErr w:type="spellEnd"/>
              <w:r w:rsidRPr="00002DFB">
                <w:rPr>
                  <w:rFonts w:eastAsia="Times New Roman" w:cstheme="minorHAnsi"/>
                  <w:color w:val="294471"/>
                  <w:u w:val="single"/>
                  <w:lang w:eastAsia="en-GB"/>
                </w:rPr>
                <w:t>, S.T., Akhter, T., Naz, M. and Salehin, M. (2019) A social-ecological analysis of drinking water risks in coastal Bangladesh. Science of the Total Environment, 679: 23-34.</w:t>
              </w:r>
            </w:hyperlink>
          </w:p>
        </w:tc>
      </w:tr>
    </w:tbl>
    <w:p w:rsidR="00F240B7" w:rsidRPr="00002DFB" w:rsidRDefault="00F240B7">
      <w:pPr>
        <w:rPr>
          <w:rFonts w:cstheme="minorHAnsi"/>
        </w:rPr>
      </w:pPr>
    </w:p>
    <w:p w:rsidR="00C12F9B" w:rsidRPr="00002DFB" w:rsidRDefault="00C12F9B">
      <w:pPr>
        <w:rPr>
          <w:rFonts w:cstheme="minorHAnsi"/>
        </w:rPr>
      </w:pPr>
    </w:p>
    <w:sectPr w:rsidR="00C12F9B" w:rsidRPr="0000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2DFB"/>
    <w:rsid w:val="000F06C6"/>
    <w:rsid w:val="00121130"/>
    <w:rsid w:val="001D3D77"/>
    <w:rsid w:val="00355C08"/>
    <w:rsid w:val="00377F0F"/>
    <w:rsid w:val="003B3C82"/>
    <w:rsid w:val="003D7C0E"/>
    <w:rsid w:val="00414A0E"/>
    <w:rsid w:val="00684A3C"/>
    <w:rsid w:val="009A005F"/>
    <w:rsid w:val="009D076B"/>
    <w:rsid w:val="00A31227"/>
    <w:rsid w:val="00AB5DC8"/>
    <w:rsid w:val="00B901D5"/>
    <w:rsid w:val="00C12F9B"/>
    <w:rsid w:val="00C54023"/>
    <w:rsid w:val="00DD1FA8"/>
    <w:rsid w:val="00E010CB"/>
    <w:rsid w:val="00E07FD4"/>
    <w:rsid w:val="00F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61E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24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are.ukdataservice.ac.uk/854685/9/Participant_consent_form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are.ukdataservice.ac.uk/854685/3/REACH_HH_survey_METHODS_MANUAL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are.ukdataservice.ac.uk/854685/2/REACH_Khulna_HH_survey_QUESTIONNAIRE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are.ukdataservice.ac.uk/854685/1/REACH_Khulna_HH_survey_DATA.xlsx" TargetMode="External"/><Relationship Id="rId10" Type="http://schemas.openxmlformats.org/officeDocument/2006/relationships/hyperlink" Target="https://www.sciencedirect.com/science/article/pii/S0048969719319023?via%3Dihu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i.org/10.1142/S2382624X19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Sonia Hoque</cp:lastModifiedBy>
  <cp:revision>14</cp:revision>
  <dcterms:created xsi:type="dcterms:W3CDTF">2019-03-05T13:58:00Z</dcterms:created>
  <dcterms:modified xsi:type="dcterms:W3CDTF">2021-02-17T11:33:00Z</dcterms:modified>
</cp:coreProperties>
</file>