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1C885630" wp14:editId="355F435C">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rsidR="00E010CB" w:rsidRDefault="00E010CB">
      <w:pPr>
        <w:rPr>
          <w:b/>
        </w:rPr>
      </w:pPr>
    </w:p>
    <w:p w:rsidR="00E010CB" w:rsidRDefault="00E010CB">
      <w:pPr>
        <w:rPr>
          <w:b/>
        </w:rPr>
      </w:pPr>
    </w:p>
    <w:p w:rsidR="00E010CB" w:rsidRDefault="00E010CB">
      <w:pPr>
        <w:rPr>
          <w:b/>
        </w:rPr>
      </w:pPr>
    </w:p>
    <w:p w:rsidR="00121130" w:rsidRDefault="00C12F9B">
      <w:r w:rsidRPr="00C12F9B">
        <w:rPr>
          <w:b/>
        </w:rPr>
        <w:t>Grant Number</w:t>
      </w:r>
      <w:r>
        <w:t xml:space="preserve">: </w:t>
      </w:r>
      <w:r w:rsidR="008C2DD6" w:rsidRPr="008C2DD6">
        <w:t>ES/P003435/1</w:t>
      </w:r>
    </w:p>
    <w:p w:rsidR="00C12F9B" w:rsidRPr="008C2DD6" w:rsidRDefault="00C12F9B">
      <w:r w:rsidRPr="00C12F9B">
        <w:rPr>
          <w:b/>
        </w:rPr>
        <w:t xml:space="preserve">Sponsor: </w:t>
      </w:r>
      <w:r w:rsidR="008C2DD6" w:rsidRPr="008C2DD6">
        <w:t>Economic and Social Research Council</w:t>
      </w:r>
    </w:p>
    <w:p w:rsidR="000F06C6" w:rsidRDefault="000F06C6">
      <w:r w:rsidRPr="00C12F9B">
        <w:rPr>
          <w:b/>
        </w:rPr>
        <w:t>Project title</w:t>
      </w:r>
      <w:r>
        <w:t xml:space="preserve">: </w:t>
      </w:r>
      <w:r w:rsidR="008C2DD6" w:rsidRPr="008C2DD6">
        <w:t xml:space="preserve">The </w:t>
      </w:r>
      <w:proofErr w:type="spellStart"/>
      <w:r w:rsidR="008C2DD6" w:rsidRPr="008C2DD6">
        <w:t>Financialisation</w:t>
      </w:r>
      <w:proofErr w:type="spellEnd"/>
      <w:r w:rsidR="008C2DD6" w:rsidRPr="008C2DD6">
        <w:t xml:space="preserve"> of Urban Development and Associated Financial Risks in China</w:t>
      </w:r>
    </w:p>
    <w:p w:rsidR="000F06C6" w:rsidRDefault="000F06C6">
      <w:r>
        <w:t>The following files have been archived:</w:t>
      </w:r>
    </w:p>
    <w:tbl>
      <w:tblPr>
        <w:tblStyle w:val="a3"/>
        <w:tblW w:w="0" w:type="auto"/>
        <w:tblLook w:val="04A0" w:firstRow="1" w:lastRow="0" w:firstColumn="1" w:lastColumn="0" w:noHBand="0" w:noVBand="1"/>
      </w:tblPr>
      <w:tblGrid>
        <w:gridCol w:w="4508"/>
        <w:gridCol w:w="4508"/>
      </w:tblGrid>
      <w:tr w:rsidR="000F06C6" w:rsidTr="000F06C6">
        <w:tc>
          <w:tcPr>
            <w:tcW w:w="4508" w:type="dxa"/>
          </w:tcPr>
          <w:p w:rsidR="000F06C6" w:rsidRDefault="000F06C6">
            <w:r>
              <w:t>File name</w:t>
            </w:r>
          </w:p>
        </w:tc>
        <w:tc>
          <w:tcPr>
            <w:tcW w:w="4508" w:type="dxa"/>
          </w:tcPr>
          <w:p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rsidTr="009D076B">
        <w:trPr>
          <w:trHeight w:val="397"/>
        </w:trPr>
        <w:tc>
          <w:tcPr>
            <w:tcW w:w="4508" w:type="dxa"/>
          </w:tcPr>
          <w:p w:rsidR="000F06C6" w:rsidRDefault="008948EA">
            <w:r>
              <w:rPr>
                <w:rFonts w:hint="eastAsia"/>
              </w:rPr>
              <w:t>U</w:t>
            </w:r>
            <w:r>
              <w:t>rban Housing Questionnaire Survey</w:t>
            </w:r>
          </w:p>
        </w:tc>
        <w:tc>
          <w:tcPr>
            <w:tcW w:w="4508" w:type="dxa"/>
          </w:tcPr>
          <w:p w:rsidR="000F06C6" w:rsidRDefault="008948EA">
            <w:r>
              <w:rPr>
                <w:rFonts w:hint="eastAsia"/>
              </w:rPr>
              <w:t>T</w:t>
            </w:r>
            <w:r>
              <w:t>his questionnaire includes questions related to respondents’ basic family information, assets, liabilities, expenditure and subjective attitudes.</w:t>
            </w:r>
          </w:p>
        </w:tc>
      </w:tr>
      <w:tr w:rsidR="000F06C6" w:rsidTr="009D076B">
        <w:trPr>
          <w:trHeight w:val="397"/>
        </w:trPr>
        <w:tc>
          <w:tcPr>
            <w:tcW w:w="4508" w:type="dxa"/>
          </w:tcPr>
          <w:p w:rsidR="000F06C6" w:rsidRDefault="008948EA">
            <w:r>
              <w:rPr>
                <w:rFonts w:hint="eastAsia"/>
              </w:rPr>
              <w:t>S</w:t>
            </w:r>
            <w:r>
              <w:t>urvey data</w:t>
            </w:r>
          </w:p>
        </w:tc>
        <w:tc>
          <w:tcPr>
            <w:tcW w:w="4508" w:type="dxa"/>
          </w:tcPr>
          <w:p w:rsidR="000F06C6" w:rsidRPr="002866C5" w:rsidRDefault="001B01CC">
            <w:r>
              <w:rPr>
                <w:rFonts w:hint="eastAsia"/>
              </w:rPr>
              <w:t>T</w:t>
            </w:r>
            <w:r>
              <w:t>he data</w:t>
            </w:r>
            <w:r w:rsidR="009A0D68">
              <w:t>set is in the form of STATA file. It</w:t>
            </w:r>
            <w:r>
              <w:t xml:space="preserve"> includes the answers from respondents of this questionnaire survey.</w:t>
            </w:r>
            <w:r w:rsidR="002866C5">
              <w:t xml:space="preserve"> The variable </w:t>
            </w:r>
            <w:r w:rsidR="00406D2C">
              <w:t>“</w:t>
            </w:r>
            <w:r w:rsidR="002866C5">
              <w:t>sid</w:t>
            </w:r>
            <w:r w:rsidR="00406D2C">
              <w:t>”</w:t>
            </w:r>
            <w:r w:rsidR="002866C5">
              <w:t xml:space="preserve"> represents the sample code. </w:t>
            </w:r>
            <w:r w:rsidR="002866C5">
              <w:rPr>
                <w:rFonts w:ascii="Calibri" w:hAnsi="Calibri" w:cs="Calibri"/>
                <w:color w:val="000000"/>
                <w:shd w:val="clear" w:color="auto" w:fill="FFFFFF"/>
              </w:rPr>
              <w:t>A</w:t>
            </w:r>
            <w:r w:rsidR="002866C5">
              <w:rPr>
                <w:rFonts w:ascii="Calibri" w:hAnsi="Calibri" w:cs="Calibri"/>
                <w:color w:val="000000"/>
                <w:shd w:val="clear" w:color="auto" w:fill="FFFFFF"/>
              </w:rPr>
              <w:t>ll the</w:t>
            </w:r>
            <w:r w:rsidR="002866C5">
              <w:rPr>
                <w:rFonts w:ascii="Calibri" w:hAnsi="Calibri" w:cs="Calibri"/>
                <w:color w:val="000000"/>
                <w:shd w:val="clear" w:color="auto" w:fill="FFFFFF"/>
              </w:rPr>
              <w:t xml:space="preserve"> other</w:t>
            </w:r>
            <w:r w:rsidR="002866C5">
              <w:rPr>
                <w:rFonts w:ascii="Calibri" w:hAnsi="Calibri" w:cs="Calibri"/>
                <w:color w:val="000000"/>
                <w:shd w:val="clear" w:color="auto" w:fill="FFFFFF"/>
              </w:rPr>
              <w:t xml:space="preserve"> variables in the dataset are named by the question codes in the questionnaire. At the same time, the value of variables corresponds to the options under each question in the questionnaire. For example, the variable "A008" in the dataset corresponds to the question "[A008] What is your current account type?", and the values of this variable "1", "2", "3" and "7777" correspond to the options "1. Agriculture", "2. Non-agricultural","3. Unifying Resident Registration" and "</w:t>
            </w:r>
            <w:r w:rsidR="002866C5">
              <w:rPr>
                <w:rFonts w:ascii="Calibri" w:hAnsi="Calibri" w:cs="Calibri"/>
                <w:color w:val="000000"/>
                <w:bdr w:val="none" w:sz="0" w:space="0" w:color="auto" w:frame="1"/>
                <w:shd w:val="clear" w:color="auto" w:fill="FFFFFF"/>
              </w:rPr>
              <w:t>7777. Others" respectively in the questionnaire.</w:t>
            </w:r>
          </w:p>
        </w:tc>
      </w:tr>
      <w:tr w:rsidR="000F06C6" w:rsidTr="009D076B">
        <w:trPr>
          <w:trHeight w:val="397"/>
        </w:trPr>
        <w:tc>
          <w:tcPr>
            <w:tcW w:w="4508" w:type="dxa"/>
          </w:tcPr>
          <w:p w:rsidR="000F06C6" w:rsidRDefault="000F06C6"/>
        </w:tc>
        <w:tc>
          <w:tcPr>
            <w:tcW w:w="4508" w:type="dxa"/>
          </w:tcPr>
          <w:p w:rsidR="000F06C6" w:rsidRDefault="000F06C6"/>
        </w:tc>
      </w:tr>
      <w:tr w:rsidR="000F06C6" w:rsidTr="009D076B">
        <w:trPr>
          <w:trHeight w:val="397"/>
        </w:trPr>
        <w:tc>
          <w:tcPr>
            <w:tcW w:w="4508" w:type="dxa"/>
          </w:tcPr>
          <w:p w:rsidR="000F06C6" w:rsidRDefault="000F06C6"/>
        </w:tc>
        <w:tc>
          <w:tcPr>
            <w:tcW w:w="4508" w:type="dxa"/>
          </w:tcPr>
          <w:p w:rsidR="000F06C6" w:rsidRDefault="000F06C6"/>
        </w:tc>
      </w:tr>
      <w:tr w:rsidR="000F06C6" w:rsidTr="009D076B">
        <w:trPr>
          <w:trHeight w:val="397"/>
        </w:trPr>
        <w:tc>
          <w:tcPr>
            <w:tcW w:w="4508" w:type="dxa"/>
          </w:tcPr>
          <w:p w:rsidR="000F06C6" w:rsidRDefault="000F06C6"/>
        </w:tc>
        <w:tc>
          <w:tcPr>
            <w:tcW w:w="4508" w:type="dxa"/>
          </w:tcPr>
          <w:p w:rsidR="000F06C6" w:rsidRDefault="000F06C6"/>
        </w:tc>
      </w:tr>
      <w:tr w:rsidR="000F06C6" w:rsidTr="009D076B">
        <w:trPr>
          <w:trHeight w:val="397"/>
        </w:trPr>
        <w:tc>
          <w:tcPr>
            <w:tcW w:w="4508" w:type="dxa"/>
          </w:tcPr>
          <w:p w:rsidR="000F06C6" w:rsidRDefault="000F06C6"/>
        </w:tc>
        <w:tc>
          <w:tcPr>
            <w:tcW w:w="4508" w:type="dxa"/>
          </w:tcPr>
          <w:p w:rsidR="000F06C6" w:rsidRDefault="000F06C6"/>
        </w:tc>
      </w:tr>
      <w:tr w:rsidR="000F06C6" w:rsidTr="009D076B">
        <w:trPr>
          <w:trHeight w:val="397"/>
        </w:trPr>
        <w:tc>
          <w:tcPr>
            <w:tcW w:w="4508" w:type="dxa"/>
          </w:tcPr>
          <w:p w:rsidR="000F06C6" w:rsidRDefault="000F06C6"/>
        </w:tc>
        <w:tc>
          <w:tcPr>
            <w:tcW w:w="4508" w:type="dxa"/>
          </w:tcPr>
          <w:p w:rsidR="000F06C6" w:rsidRDefault="000F06C6"/>
        </w:tc>
      </w:tr>
    </w:tbl>
    <w:p w:rsidR="000F06C6" w:rsidRDefault="000F06C6"/>
    <w:p w:rsidR="00C12F9B" w:rsidRDefault="00C12F9B">
      <w:r w:rsidRPr="00C12F9B">
        <w:rPr>
          <w:b/>
        </w:rPr>
        <w:t>Publications</w:t>
      </w:r>
      <w:r w:rsidRPr="00C12F9B">
        <w:t>:</w:t>
      </w:r>
      <w:r>
        <w:t xml:space="preserve"> (based on this data, if any)</w:t>
      </w:r>
    </w:p>
    <w:p w:rsidR="00C12F9B" w:rsidRDefault="008C2DD6">
      <w:r w:rsidRPr="008C2DD6">
        <w:t xml:space="preserve">Chung, C. K. L., Zhang, F., &amp; Wu, F. (2018). Negotiating green space with landed interests: The urban political ecology of greenway in the Pearl River Delta, China. </w:t>
      </w:r>
      <w:r w:rsidRPr="00917C08">
        <w:rPr>
          <w:i/>
          <w:iCs/>
        </w:rPr>
        <w:t>Antipode</w:t>
      </w:r>
      <w:r w:rsidRPr="008C2DD6">
        <w:t>, 50(4), 891-909.</w:t>
      </w:r>
    </w:p>
    <w:p w:rsidR="008C2DD6" w:rsidRDefault="008C2DD6">
      <w:r w:rsidRPr="008C2DD6">
        <w:lastRenderedPageBreak/>
        <w:t xml:space="preserve">Lu, T., Zhang, F., &amp; Wu, F. (2018). Place attachment in gated neighbourhoods in China: Evidence from Wenzhou. </w:t>
      </w:r>
      <w:proofErr w:type="spellStart"/>
      <w:r w:rsidRPr="00917C08">
        <w:rPr>
          <w:i/>
          <w:iCs/>
        </w:rPr>
        <w:t>Geoforum</w:t>
      </w:r>
      <w:proofErr w:type="spellEnd"/>
      <w:r w:rsidRPr="008C2DD6">
        <w:t>, 92, 144-151.</w:t>
      </w:r>
    </w:p>
    <w:p w:rsidR="008C2DD6" w:rsidRDefault="008C2DD6">
      <w:r w:rsidRPr="008C2DD6">
        <w:t>Lu, T., Zhang, F., &amp; Wu, F. (2019). The</w:t>
      </w:r>
      <w:r w:rsidR="00903F71" w:rsidRPr="008C2DD6">
        <w:t xml:space="preserve"> meaning of “private governance” in ur</w:t>
      </w:r>
      <w:r w:rsidRPr="008C2DD6">
        <w:t xml:space="preserve">ban China: Researching </w:t>
      </w:r>
      <w:r w:rsidR="00903F71" w:rsidRPr="008C2DD6">
        <w:t>residents’ preferences and sat</w:t>
      </w:r>
      <w:r w:rsidRPr="008C2DD6">
        <w:t xml:space="preserve">isfaction. </w:t>
      </w:r>
      <w:r w:rsidRPr="00917C08">
        <w:rPr>
          <w:i/>
          <w:iCs/>
        </w:rPr>
        <w:t>Urban Policy and Research</w:t>
      </w:r>
      <w:r w:rsidRPr="008C2DD6">
        <w:t>, 37(3), 378-392.</w:t>
      </w:r>
    </w:p>
    <w:p w:rsidR="008C2DD6" w:rsidRDefault="008C2DD6">
      <w:r w:rsidRPr="008C2DD6">
        <w:t xml:space="preserve">Pan, F., Yang, C., Wang, H., &amp; </w:t>
      </w:r>
      <w:proofErr w:type="spellStart"/>
      <w:r w:rsidRPr="008C2DD6">
        <w:t>Wójcik</w:t>
      </w:r>
      <w:proofErr w:type="spellEnd"/>
      <w:r w:rsidRPr="008C2DD6">
        <w:t xml:space="preserve">, D. (2020). Linking global financial networks with regional development: </w:t>
      </w:r>
      <w:r w:rsidR="00903F71" w:rsidRPr="008C2DD6">
        <w:t>A</w:t>
      </w:r>
      <w:r w:rsidRPr="008C2DD6">
        <w:t xml:space="preserve"> case study of Linyi, China. </w:t>
      </w:r>
      <w:r w:rsidRPr="00917C08">
        <w:rPr>
          <w:i/>
          <w:iCs/>
        </w:rPr>
        <w:t>Regional Studies</w:t>
      </w:r>
      <w:r w:rsidRPr="008C2DD6">
        <w:t>, 54(2), 187-197.</w:t>
      </w:r>
    </w:p>
    <w:p w:rsidR="008C2DD6" w:rsidRDefault="008C2DD6">
      <w:r w:rsidRPr="008C2DD6">
        <w:t xml:space="preserve">Shen, J., &amp; Wu, F. (2019). Paving the way to growth: Transit-oriented development as a financing instrument for Shanghai’s post-suburbanization. </w:t>
      </w:r>
      <w:r w:rsidRPr="00917C08">
        <w:rPr>
          <w:i/>
          <w:iCs/>
        </w:rPr>
        <w:t>Urban Geography</w:t>
      </w:r>
      <w:r w:rsidRPr="008C2DD6">
        <w:t>.</w:t>
      </w:r>
      <w:r>
        <w:t xml:space="preserve"> </w:t>
      </w:r>
      <w:hyperlink r:id="rId5" w:history="1">
        <w:r w:rsidRPr="00D24513">
          <w:rPr>
            <w:rStyle w:val="a4"/>
          </w:rPr>
          <w:t>https://doi.org/10.1080/02723638.2019.1630209</w:t>
        </w:r>
      </w:hyperlink>
      <w:r>
        <w:t>.</w:t>
      </w:r>
    </w:p>
    <w:p w:rsidR="008C2DD6" w:rsidRDefault="008C2DD6">
      <w:r w:rsidRPr="008C2DD6">
        <w:t xml:space="preserve">Wu, F. (2019). Land </w:t>
      </w:r>
      <w:proofErr w:type="spellStart"/>
      <w:r w:rsidRPr="008C2DD6">
        <w:t>financialisation</w:t>
      </w:r>
      <w:proofErr w:type="spellEnd"/>
      <w:r w:rsidRPr="008C2DD6">
        <w:t xml:space="preserve"> and the financing of urban development in China. </w:t>
      </w:r>
      <w:r w:rsidRPr="00917C08">
        <w:rPr>
          <w:i/>
          <w:iCs/>
        </w:rPr>
        <w:t>Land Use Policy</w:t>
      </w:r>
      <w:r w:rsidRPr="008C2DD6">
        <w:t>.</w:t>
      </w:r>
      <w:r>
        <w:t xml:space="preserve"> </w:t>
      </w:r>
      <w:hyperlink r:id="rId6" w:history="1">
        <w:r w:rsidRPr="00D24513">
          <w:rPr>
            <w:rStyle w:val="a4"/>
          </w:rPr>
          <w:t>https://doi.org/10.1016/j.landusepol.2019.104412</w:t>
        </w:r>
      </w:hyperlink>
      <w:r>
        <w:t>.</w:t>
      </w:r>
    </w:p>
    <w:p w:rsidR="008C2DD6" w:rsidRDefault="008C2DD6">
      <w:r w:rsidRPr="008C2DD6">
        <w:t>Wu, F. (20</w:t>
      </w:r>
      <w:r>
        <w:t>20</w:t>
      </w:r>
      <w:r w:rsidRPr="008C2DD6">
        <w:t>).</w:t>
      </w:r>
      <w:r>
        <w:t xml:space="preserve"> </w:t>
      </w:r>
      <w:r w:rsidRPr="008C2DD6">
        <w:t xml:space="preserve">Emerging </w:t>
      </w:r>
      <w:r w:rsidR="00903F71" w:rsidRPr="008C2DD6">
        <w:t>cities and urban th</w:t>
      </w:r>
      <w:r w:rsidRPr="008C2DD6">
        <w:t xml:space="preserve">eories: A Chinese </w:t>
      </w:r>
      <w:r w:rsidR="00903F71" w:rsidRPr="008C2DD6">
        <w:t>p</w:t>
      </w:r>
      <w:r w:rsidRPr="008C2DD6">
        <w:t>erspective</w:t>
      </w:r>
      <w:r>
        <w:t xml:space="preserve">. In </w:t>
      </w:r>
      <w:proofErr w:type="spellStart"/>
      <w:r w:rsidRPr="008C2DD6">
        <w:t>Pumain</w:t>
      </w:r>
      <w:proofErr w:type="spellEnd"/>
      <w:r w:rsidRPr="008C2DD6">
        <w:t>, D. (</w:t>
      </w:r>
      <w:r w:rsidR="00990649">
        <w:t>eds</w:t>
      </w:r>
      <w:r w:rsidRPr="008C2DD6">
        <w:t xml:space="preserve">). </w:t>
      </w:r>
      <w:r w:rsidRPr="00917C08">
        <w:rPr>
          <w:i/>
          <w:iCs/>
        </w:rPr>
        <w:t>Theories and Models of Urbanization</w:t>
      </w:r>
      <w:r w:rsidRPr="008C2DD6">
        <w:t>. Springer International Publishing.</w:t>
      </w:r>
    </w:p>
    <w:p w:rsidR="00990649" w:rsidRDefault="00990649">
      <w:r w:rsidRPr="00990649">
        <w:t xml:space="preserve">Wu, F., Chen, J., Pan, F., </w:t>
      </w:r>
      <w:proofErr w:type="spellStart"/>
      <w:r w:rsidRPr="00990649">
        <w:t>Gallent</w:t>
      </w:r>
      <w:proofErr w:type="spellEnd"/>
      <w:r w:rsidRPr="00990649">
        <w:t xml:space="preserve">, N., &amp; Zhang, F. (2020). </w:t>
      </w:r>
      <w:proofErr w:type="spellStart"/>
      <w:r w:rsidRPr="00990649">
        <w:t>Assetization</w:t>
      </w:r>
      <w:proofErr w:type="spellEnd"/>
      <w:r w:rsidRPr="00990649">
        <w:t>: The Chinese</w:t>
      </w:r>
      <w:r w:rsidR="00903F71" w:rsidRPr="00990649">
        <w:t xml:space="preserve"> path to housing financialization</w:t>
      </w:r>
      <w:r w:rsidRPr="00990649">
        <w:t xml:space="preserve">. </w:t>
      </w:r>
      <w:r w:rsidRPr="00917C08">
        <w:rPr>
          <w:i/>
          <w:iCs/>
        </w:rPr>
        <w:t>Annals of the American Association of Geographers</w:t>
      </w:r>
      <w:r w:rsidRPr="00990649">
        <w:t>, 110</w:t>
      </w:r>
      <w:r>
        <w:t>(</w:t>
      </w:r>
      <w:r w:rsidRPr="00990649">
        <w:t>5</w:t>
      </w:r>
      <w:r>
        <w:t>)</w:t>
      </w:r>
      <w:r w:rsidRPr="00990649">
        <w:t>, 1483-1499</w:t>
      </w:r>
      <w:r>
        <w:t>.</w:t>
      </w:r>
    </w:p>
    <w:p w:rsidR="00990649" w:rsidRDefault="00990649">
      <w:r w:rsidRPr="00990649">
        <w:t xml:space="preserve">Wu, F. (2018). Housing privatization and the return of the state: </w:t>
      </w:r>
      <w:r w:rsidR="00903F71" w:rsidRPr="00990649">
        <w:t>C</w:t>
      </w:r>
      <w:r w:rsidRPr="00990649">
        <w:t xml:space="preserve">hanging governance in China. </w:t>
      </w:r>
      <w:r w:rsidRPr="00917C08">
        <w:rPr>
          <w:i/>
          <w:iCs/>
        </w:rPr>
        <w:t xml:space="preserve">Urban </w:t>
      </w:r>
      <w:r w:rsidR="00903F71" w:rsidRPr="00917C08">
        <w:rPr>
          <w:i/>
          <w:iCs/>
        </w:rPr>
        <w:t>G</w:t>
      </w:r>
      <w:r w:rsidRPr="00917C08">
        <w:rPr>
          <w:i/>
          <w:iCs/>
        </w:rPr>
        <w:t>eography</w:t>
      </w:r>
      <w:r w:rsidRPr="00990649">
        <w:t>, 39(8), 1177-1194.</w:t>
      </w:r>
    </w:p>
    <w:p w:rsidR="00990649" w:rsidRDefault="00990649">
      <w:r w:rsidRPr="00990649">
        <w:t xml:space="preserve">Wu, F. (2020). Adding new narratives to the urban imagination: An introduction to ‘New directions of urban studies in China’. </w:t>
      </w:r>
      <w:r w:rsidRPr="00917C08">
        <w:rPr>
          <w:i/>
          <w:iCs/>
        </w:rPr>
        <w:t>Urban Studies</w:t>
      </w:r>
      <w:r w:rsidRPr="00990649">
        <w:t>, 57(3), 459-472.</w:t>
      </w:r>
    </w:p>
    <w:p w:rsidR="00990649" w:rsidRDefault="00F14AF5">
      <w:r w:rsidRPr="00F14AF5">
        <w:t>Zhang, F., &amp; Wu, F. (2019). Rethinking the city and innovation: A political economic view from China</w:t>
      </w:r>
      <w:r w:rsidRPr="00990649">
        <w:t>’</w:t>
      </w:r>
      <w:r w:rsidRPr="00F14AF5">
        <w:t xml:space="preserve">s biotech. </w:t>
      </w:r>
      <w:r w:rsidRPr="00917C08">
        <w:rPr>
          <w:i/>
          <w:iCs/>
        </w:rPr>
        <w:t>Cities</w:t>
      </w:r>
      <w:r w:rsidRPr="00F14AF5">
        <w:t>, 85, 150-155.</w:t>
      </w:r>
    </w:p>
    <w:sectPr w:rsidR="00990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F06C6"/>
    <w:rsid w:val="00121130"/>
    <w:rsid w:val="001B01CC"/>
    <w:rsid w:val="001D3D77"/>
    <w:rsid w:val="002866C5"/>
    <w:rsid w:val="00377F0F"/>
    <w:rsid w:val="003B3C82"/>
    <w:rsid w:val="00406D2C"/>
    <w:rsid w:val="00414A0E"/>
    <w:rsid w:val="00684A3C"/>
    <w:rsid w:val="008948EA"/>
    <w:rsid w:val="008C2DD6"/>
    <w:rsid w:val="00903F71"/>
    <w:rsid w:val="00917C08"/>
    <w:rsid w:val="00990649"/>
    <w:rsid w:val="009A0D68"/>
    <w:rsid w:val="009D076B"/>
    <w:rsid w:val="00AB5DC8"/>
    <w:rsid w:val="00C12F9B"/>
    <w:rsid w:val="00DD1FA8"/>
    <w:rsid w:val="00E010CB"/>
    <w:rsid w:val="00E07FD4"/>
    <w:rsid w:val="00F14A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0507"/>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2DD6"/>
    <w:rPr>
      <w:color w:val="0563C1" w:themeColor="hyperlink"/>
      <w:u w:val="single"/>
    </w:rPr>
  </w:style>
  <w:style w:type="character" w:styleId="a5">
    <w:name w:val="Unresolved Mention"/>
    <w:basedOn w:val="a0"/>
    <w:uiPriority w:val="99"/>
    <w:semiHidden/>
    <w:unhideWhenUsed/>
    <w:rsid w:val="008C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1444">
      <w:bodyDiv w:val="1"/>
      <w:marLeft w:val="0"/>
      <w:marRight w:val="0"/>
      <w:marTop w:val="0"/>
      <w:marBottom w:val="0"/>
      <w:divBdr>
        <w:top w:val="none" w:sz="0" w:space="0" w:color="auto"/>
        <w:left w:val="none" w:sz="0" w:space="0" w:color="auto"/>
        <w:bottom w:val="none" w:sz="0" w:space="0" w:color="auto"/>
        <w:right w:val="none" w:sz="0" w:space="0" w:color="auto"/>
      </w:divBdr>
    </w:div>
    <w:div w:id="219480468">
      <w:bodyDiv w:val="1"/>
      <w:marLeft w:val="0"/>
      <w:marRight w:val="0"/>
      <w:marTop w:val="0"/>
      <w:marBottom w:val="0"/>
      <w:divBdr>
        <w:top w:val="none" w:sz="0" w:space="0" w:color="auto"/>
        <w:left w:val="none" w:sz="0" w:space="0" w:color="auto"/>
        <w:bottom w:val="none" w:sz="0" w:space="0" w:color="auto"/>
        <w:right w:val="none" w:sz="0" w:space="0" w:color="auto"/>
      </w:divBdr>
    </w:div>
    <w:div w:id="248736956">
      <w:bodyDiv w:val="1"/>
      <w:marLeft w:val="0"/>
      <w:marRight w:val="0"/>
      <w:marTop w:val="0"/>
      <w:marBottom w:val="0"/>
      <w:divBdr>
        <w:top w:val="none" w:sz="0" w:space="0" w:color="auto"/>
        <w:left w:val="none" w:sz="0" w:space="0" w:color="auto"/>
        <w:bottom w:val="none" w:sz="0" w:space="0" w:color="auto"/>
        <w:right w:val="none" w:sz="0" w:space="0" w:color="auto"/>
      </w:divBdr>
    </w:div>
    <w:div w:id="286350518">
      <w:bodyDiv w:val="1"/>
      <w:marLeft w:val="0"/>
      <w:marRight w:val="0"/>
      <w:marTop w:val="0"/>
      <w:marBottom w:val="0"/>
      <w:divBdr>
        <w:top w:val="none" w:sz="0" w:space="0" w:color="auto"/>
        <w:left w:val="none" w:sz="0" w:space="0" w:color="auto"/>
        <w:bottom w:val="none" w:sz="0" w:space="0" w:color="auto"/>
        <w:right w:val="none" w:sz="0" w:space="0" w:color="auto"/>
      </w:divBdr>
    </w:div>
    <w:div w:id="389037708">
      <w:bodyDiv w:val="1"/>
      <w:marLeft w:val="0"/>
      <w:marRight w:val="0"/>
      <w:marTop w:val="0"/>
      <w:marBottom w:val="0"/>
      <w:divBdr>
        <w:top w:val="none" w:sz="0" w:space="0" w:color="auto"/>
        <w:left w:val="none" w:sz="0" w:space="0" w:color="auto"/>
        <w:bottom w:val="none" w:sz="0" w:space="0" w:color="auto"/>
        <w:right w:val="none" w:sz="0" w:space="0" w:color="auto"/>
      </w:divBdr>
    </w:div>
    <w:div w:id="761804123">
      <w:bodyDiv w:val="1"/>
      <w:marLeft w:val="0"/>
      <w:marRight w:val="0"/>
      <w:marTop w:val="0"/>
      <w:marBottom w:val="0"/>
      <w:divBdr>
        <w:top w:val="none" w:sz="0" w:space="0" w:color="auto"/>
        <w:left w:val="none" w:sz="0" w:space="0" w:color="auto"/>
        <w:bottom w:val="none" w:sz="0" w:space="0" w:color="auto"/>
        <w:right w:val="none" w:sz="0" w:space="0" w:color="auto"/>
      </w:divBdr>
    </w:div>
    <w:div w:id="1132596771">
      <w:bodyDiv w:val="1"/>
      <w:marLeft w:val="0"/>
      <w:marRight w:val="0"/>
      <w:marTop w:val="0"/>
      <w:marBottom w:val="0"/>
      <w:divBdr>
        <w:top w:val="none" w:sz="0" w:space="0" w:color="auto"/>
        <w:left w:val="none" w:sz="0" w:space="0" w:color="auto"/>
        <w:bottom w:val="none" w:sz="0" w:space="0" w:color="auto"/>
        <w:right w:val="none" w:sz="0" w:space="0" w:color="auto"/>
      </w:divBdr>
    </w:div>
    <w:div w:id="1208686219">
      <w:bodyDiv w:val="1"/>
      <w:marLeft w:val="0"/>
      <w:marRight w:val="0"/>
      <w:marTop w:val="0"/>
      <w:marBottom w:val="0"/>
      <w:divBdr>
        <w:top w:val="none" w:sz="0" w:space="0" w:color="auto"/>
        <w:left w:val="none" w:sz="0" w:space="0" w:color="auto"/>
        <w:bottom w:val="none" w:sz="0" w:space="0" w:color="auto"/>
        <w:right w:val="none" w:sz="0" w:space="0" w:color="auto"/>
      </w:divBdr>
    </w:div>
    <w:div w:id="1267810309">
      <w:bodyDiv w:val="1"/>
      <w:marLeft w:val="0"/>
      <w:marRight w:val="0"/>
      <w:marTop w:val="0"/>
      <w:marBottom w:val="0"/>
      <w:divBdr>
        <w:top w:val="none" w:sz="0" w:space="0" w:color="auto"/>
        <w:left w:val="none" w:sz="0" w:space="0" w:color="auto"/>
        <w:bottom w:val="none" w:sz="0" w:space="0" w:color="auto"/>
        <w:right w:val="none" w:sz="0" w:space="0" w:color="auto"/>
      </w:divBdr>
    </w:div>
    <w:div w:id="1290207513">
      <w:bodyDiv w:val="1"/>
      <w:marLeft w:val="0"/>
      <w:marRight w:val="0"/>
      <w:marTop w:val="0"/>
      <w:marBottom w:val="0"/>
      <w:divBdr>
        <w:top w:val="none" w:sz="0" w:space="0" w:color="auto"/>
        <w:left w:val="none" w:sz="0" w:space="0" w:color="auto"/>
        <w:bottom w:val="none" w:sz="0" w:space="0" w:color="auto"/>
        <w:right w:val="none" w:sz="0" w:space="0" w:color="auto"/>
      </w:divBdr>
    </w:div>
    <w:div w:id="1356269204">
      <w:bodyDiv w:val="1"/>
      <w:marLeft w:val="0"/>
      <w:marRight w:val="0"/>
      <w:marTop w:val="0"/>
      <w:marBottom w:val="0"/>
      <w:divBdr>
        <w:top w:val="none" w:sz="0" w:space="0" w:color="auto"/>
        <w:left w:val="none" w:sz="0" w:space="0" w:color="auto"/>
        <w:bottom w:val="none" w:sz="0" w:space="0" w:color="auto"/>
        <w:right w:val="none" w:sz="0" w:space="0" w:color="auto"/>
      </w:divBdr>
    </w:div>
    <w:div w:id="1549337165">
      <w:bodyDiv w:val="1"/>
      <w:marLeft w:val="0"/>
      <w:marRight w:val="0"/>
      <w:marTop w:val="0"/>
      <w:marBottom w:val="0"/>
      <w:divBdr>
        <w:top w:val="none" w:sz="0" w:space="0" w:color="auto"/>
        <w:left w:val="none" w:sz="0" w:space="0" w:color="auto"/>
        <w:bottom w:val="none" w:sz="0" w:space="0" w:color="auto"/>
        <w:right w:val="none" w:sz="0" w:space="0" w:color="auto"/>
      </w:divBdr>
    </w:div>
    <w:div w:id="1609897808">
      <w:bodyDiv w:val="1"/>
      <w:marLeft w:val="0"/>
      <w:marRight w:val="0"/>
      <w:marTop w:val="0"/>
      <w:marBottom w:val="0"/>
      <w:divBdr>
        <w:top w:val="none" w:sz="0" w:space="0" w:color="auto"/>
        <w:left w:val="none" w:sz="0" w:space="0" w:color="auto"/>
        <w:bottom w:val="none" w:sz="0" w:space="0" w:color="auto"/>
        <w:right w:val="none" w:sz="0" w:space="0" w:color="auto"/>
      </w:divBdr>
    </w:div>
    <w:div w:id="1678851231">
      <w:bodyDiv w:val="1"/>
      <w:marLeft w:val="0"/>
      <w:marRight w:val="0"/>
      <w:marTop w:val="0"/>
      <w:marBottom w:val="0"/>
      <w:divBdr>
        <w:top w:val="none" w:sz="0" w:space="0" w:color="auto"/>
        <w:left w:val="none" w:sz="0" w:space="0" w:color="auto"/>
        <w:bottom w:val="none" w:sz="0" w:space="0" w:color="auto"/>
        <w:right w:val="none" w:sz="0" w:space="0" w:color="auto"/>
      </w:divBdr>
    </w:div>
    <w:div w:id="18788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landusepol.2019.104412" TargetMode="External"/><Relationship Id="rId5" Type="http://schemas.openxmlformats.org/officeDocument/2006/relationships/hyperlink" Target="https://doi.org/10.1080/02723638.2019.16302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XU MENGRAN</cp:lastModifiedBy>
  <cp:revision>17</cp:revision>
  <dcterms:created xsi:type="dcterms:W3CDTF">2019-03-05T13:58:00Z</dcterms:created>
  <dcterms:modified xsi:type="dcterms:W3CDTF">2020-10-21T09:53:00Z</dcterms:modified>
</cp:coreProperties>
</file>