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39783" w14:textId="6814E56B" w:rsidR="00EC0C22" w:rsidRPr="00626232" w:rsidRDefault="00F83B26" w:rsidP="002B0722">
      <w:pPr>
        <w:pStyle w:val="Heading1"/>
        <w:jc w:val="center"/>
        <w:rPr>
          <w:rFonts w:ascii="Times New Roman" w:hAnsi="Times New Roman" w:cs="Times New Roman"/>
          <w:szCs w:val="24"/>
        </w:rPr>
      </w:pPr>
      <w:r w:rsidRPr="00626232">
        <w:rPr>
          <w:rFonts w:ascii="Times New Roman" w:eastAsia="Calibri" w:hAnsi="Times New Roman" w:cs="Times New Roman"/>
          <w:szCs w:val="24"/>
          <w:lang w:val="en-US"/>
        </w:rPr>
        <w:t xml:space="preserve">Study </w:t>
      </w:r>
      <w:r w:rsidR="0040347B">
        <w:rPr>
          <w:rFonts w:ascii="Times New Roman" w:eastAsia="Calibri" w:hAnsi="Times New Roman" w:cs="Times New Roman"/>
          <w:szCs w:val="24"/>
          <w:lang w:val="en-US"/>
        </w:rPr>
        <w:t>3</w:t>
      </w:r>
      <w:r w:rsidRPr="00626232">
        <w:rPr>
          <w:rFonts w:ascii="Times New Roman" w:eastAsia="Calibri" w:hAnsi="Times New Roman" w:cs="Times New Roman"/>
          <w:szCs w:val="24"/>
          <w:lang w:val="en-US"/>
        </w:rPr>
        <w:t xml:space="preserve">: </w:t>
      </w:r>
      <w:r w:rsidR="00D70942" w:rsidRPr="00626232">
        <w:rPr>
          <w:rFonts w:ascii="Times New Roman" w:hAnsi="Times New Roman" w:cs="Times New Roman"/>
          <w:szCs w:val="24"/>
        </w:rPr>
        <w:t>Social facilitation and longer-term energy intake (</w:t>
      </w:r>
      <w:r w:rsidR="0040347B">
        <w:rPr>
          <w:rFonts w:ascii="Times New Roman" w:hAnsi="Times New Roman" w:cs="Times New Roman"/>
          <w:szCs w:val="24"/>
        </w:rPr>
        <w:t xml:space="preserve">compensation </w:t>
      </w:r>
      <w:r w:rsidR="00D70942" w:rsidRPr="00626232">
        <w:rPr>
          <w:rFonts w:ascii="Times New Roman" w:hAnsi="Times New Roman" w:cs="Times New Roman"/>
          <w:szCs w:val="24"/>
        </w:rPr>
        <w:t>study)</w:t>
      </w:r>
    </w:p>
    <w:p w14:paraId="5E52B683" w14:textId="446B1D1D" w:rsidR="00834ACF" w:rsidRPr="00626232" w:rsidRDefault="00985AED" w:rsidP="00985AED">
      <w:pPr>
        <w:pStyle w:val="Heading1"/>
        <w:rPr>
          <w:rFonts w:ascii="Times New Roman" w:hAnsi="Times New Roman" w:cs="Times New Roman"/>
          <w:szCs w:val="24"/>
        </w:rPr>
      </w:pPr>
      <w:r w:rsidRPr="00626232">
        <w:rPr>
          <w:rFonts w:ascii="Times New Roman" w:hAnsi="Times New Roman" w:cs="Times New Roman"/>
          <w:szCs w:val="24"/>
        </w:rPr>
        <w:t xml:space="preserve">1. </w:t>
      </w:r>
      <w:r w:rsidR="00834ACF" w:rsidRPr="00626232">
        <w:rPr>
          <w:rFonts w:ascii="Times New Roman" w:hAnsi="Times New Roman" w:cs="Times New Roman"/>
          <w:szCs w:val="24"/>
        </w:rPr>
        <w:t>Aim</w:t>
      </w:r>
    </w:p>
    <w:p w14:paraId="44074CBD" w14:textId="555B78C6" w:rsidR="00912D25" w:rsidRPr="00912D25" w:rsidRDefault="007A5157" w:rsidP="00912D25">
      <w:pPr>
        <w:spacing w:line="240" w:lineRule="auto"/>
        <w:rPr>
          <w:rFonts w:eastAsia="Times New Roman" w:cs="Times New Roman"/>
          <w:color w:val="000000" w:themeColor="text1"/>
          <w:lang w:eastAsia="en-GB"/>
        </w:rPr>
      </w:pPr>
      <w:r w:rsidRPr="00912D25">
        <w:rPr>
          <w:rFonts w:cs="Times New Roman"/>
          <w:color w:val="000000" w:themeColor="text1"/>
        </w:rPr>
        <w:t xml:space="preserve">The </w:t>
      </w:r>
      <w:r w:rsidR="00E27AF1" w:rsidRPr="00912D25">
        <w:rPr>
          <w:rFonts w:cs="Times New Roman"/>
          <w:color w:val="000000" w:themeColor="text1"/>
        </w:rPr>
        <w:t xml:space="preserve">primary </w:t>
      </w:r>
      <w:r w:rsidRPr="00912D25">
        <w:rPr>
          <w:rFonts w:cs="Times New Roman"/>
          <w:color w:val="000000" w:themeColor="text1"/>
        </w:rPr>
        <w:t>aim of this lab-based</w:t>
      </w:r>
      <w:r w:rsidR="00666AF4" w:rsidRPr="00912D25">
        <w:rPr>
          <w:rFonts w:cs="Times New Roman"/>
          <w:color w:val="000000" w:themeColor="text1"/>
        </w:rPr>
        <w:t xml:space="preserve"> study </w:t>
      </w:r>
      <w:r w:rsidR="002E1D85" w:rsidRPr="00912D25">
        <w:rPr>
          <w:rFonts w:cs="Times New Roman"/>
          <w:color w:val="000000" w:themeColor="text1"/>
        </w:rPr>
        <w:t xml:space="preserve">to establish the extent to which social facilitation effects on eating </w:t>
      </w:r>
      <w:r w:rsidR="0040347B" w:rsidRPr="00912D25">
        <w:rPr>
          <w:rFonts w:cs="Times New Roman"/>
          <w:color w:val="000000" w:themeColor="text1"/>
        </w:rPr>
        <w:t>are compensated for by eating less across subsequent meals</w:t>
      </w:r>
      <w:r w:rsidR="00F83B26" w:rsidRPr="00912D25">
        <w:rPr>
          <w:rFonts w:cs="Times New Roman"/>
          <w:color w:val="000000" w:themeColor="text1"/>
          <w:lang w:val="en-US"/>
        </w:rPr>
        <w:t xml:space="preserve">. We examined the amount of food that participants ate </w:t>
      </w:r>
      <w:r w:rsidR="00912D25" w:rsidRPr="00912D25">
        <w:rPr>
          <w:rFonts w:cs="Times New Roman"/>
          <w:color w:val="000000" w:themeColor="text1"/>
          <w:lang w:val="en-US"/>
        </w:rPr>
        <w:t xml:space="preserve">during a lunch meal which was consumed in the lab either with two friends (social condition) or alone (alone condition). Participants then completed food diaries for the remainder of that day (day 1) and across the following 3 days (days 2-4). We predicted that participants </w:t>
      </w:r>
      <w:r w:rsidR="00912D25" w:rsidRPr="00912D25">
        <w:rPr>
          <w:rFonts w:eastAsia="Times New Roman" w:cs="Times New Roman"/>
          <w:color w:val="000000" w:themeColor="text1"/>
          <w:shd w:val="clear" w:color="auto" w:fill="FFFFFF"/>
          <w:lang w:eastAsia="en-GB"/>
        </w:rPr>
        <w:t>in the social condition w</w:t>
      </w:r>
      <w:r w:rsidR="00250E8A">
        <w:rPr>
          <w:rFonts w:eastAsia="Times New Roman" w:cs="Times New Roman"/>
          <w:color w:val="000000" w:themeColor="text1"/>
          <w:shd w:val="clear" w:color="auto" w:fill="FFFFFF"/>
          <w:lang w:eastAsia="en-GB"/>
        </w:rPr>
        <w:t xml:space="preserve">ould </w:t>
      </w:r>
      <w:r w:rsidR="00912D25" w:rsidRPr="00912D25">
        <w:rPr>
          <w:rFonts w:eastAsia="Times New Roman" w:cs="Times New Roman"/>
          <w:color w:val="000000" w:themeColor="text1"/>
          <w:shd w:val="clear" w:color="auto" w:fill="FFFFFF"/>
          <w:lang w:eastAsia="en-GB"/>
        </w:rPr>
        <w:t xml:space="preserve">eat more </w:t>
      </w:r>
      <w:r w:rsidR="00250E8A">
        <w:rPr>
          <w:rFonts w:eastAsia="Times New Roman" w:cs="Times New Roman"/>
          <w:color w:val="000000" w:themeColor="text1"/>
          <w:shd w:val="clear" w:color="auto" w:fill="FFFFFF"/>
          <w:lang w:eastAsia="en-GB"/>
        </w:rPr>
        <w:t xml:space="preserve">during the lab session </w:t>
      </w:r>
      <w:r w:rsidR="00912D25" w:rsidRPr="00912D25">
        <w:rPr>
          <w:rFonts w:eastAsia="Times New Roman" w:cs="Times New Roman"/>
          <w:color w:val="000000" w:themeColor="text1"/>
          <w:shd w:val="clear" w:color="auto" w:fill="FFFFFF"/>
          <w:lang w:eastAsia="en-GB"/>
        </w:rPr>
        <w:t>than participants in the alone condition, and this difference in intake w</w:t>
      </w:r>
      <w:r w:rsidR="00250E8A">
        <w:rPr>
          <w:rFonts w:eastAsia="Times New Roman" w:cs="Times New Roman"/>
          <w:color w:val="000000" w:themeColor="text1"/>
          <w:shd w:val="clear" w:color="auto" w:fill="FFFFFF"/>
          <w:lang w:eastAsia="en-GB"/>
        </w:rPr>
        <w:t>ould</w:t>
      </w:r>
      <w:r w:rsidR="00912D25" w:rsidRPr="00912D25">
        <w:rPr>
          <w:rFonts w:eastAsia="Times New Roman" w:cs="Times New Roman"/>
          <w:color w:val="000000" w:themeColor="text1"/>
          <w:shd w:val="clear" w:color="auto" w:fill="FFFFFF"/>
          <w:lang w:eastAsia="en-GB"/>
        </w:rPr>
        <w:t xml:space="preserve"> not be compensated for by eating less at subsequent meals. </w:t>
      </w:r>
      <w:proofErr w:type="gramStart"/>
      <w:r w:rsidR="00912D25" w:rsidRPr="00912D25">
        <w:rPr>
          <w:rFonts w:eastAsia="Times New Roman" w:cs="Times New Roman"/>
          <w:color w:val="000000" w:themeColor="text1"/>
          <w:shd w:val="clear" w:color="auto" w:fill="FFFFFF"/>
          <w:lang w:eastAsia="en-GB"/>
        </w:rPr>
        <w:t>Hence</w:t>
      </w:r>
      <w:proofErr w:type="gramEnd"/>
      <w:r w:rsidR="00912D25" w:rsidRPr="00912D25">
        <w:rPr>
          <w:rFonts w:eastAsia="Times New Roman" w:cs="Times New Roman"/>
          <w:color w:val="000000" w:themeColor="text1"/>
          <w:shd w:val="clear" w:color="auto" w:fill="FFFFFF"/>
          <w:lang w:eastAsia="en-GB"/>
        </w:rPr>
        <w:t xml:space="preserve"> we predicted that greater intake in the social meal group compared with the alone group w</w:t>
      </w:r>
      <w:r w:rsidR="00250E8A">
        <w:rPr>
          <w:rFonts w:eastAsia="Times New Roman" w:cs="Times New Roman"/>
          <w:color w:val="000000" w:themeColor="text1"/>
          <w:shd w:val="clear" w:color="auto" w:fill="FFFFFF"/>
          <w:lang w:eastAsia="en-GB"/>
        </w:rPr>
        <w:t>ould</w:t>
      </w:r>
      <w:r w:rsidR="00912D25" w:rsidRPr="00912D25">
        <w:rPr>
          <w:rFonts w:eastAsia="Times New Roman" w:cs="Times New Roman"/>
          <w:color w:val="000000" w:themeColor="text1"/>
          <w:shd w:val="clear" w:color="auto" w:fill="FFFFFF"/>
          <w:lang w:eastAsia="en-GB"/>
        </w:rPr>
        <w:t xml:space="preserve"> be observed </w:t>
      </w:r>
      <w:r w:rsidR="00912D25" w:rsidRPr="00D515A7">
        <w:rPr>
          <w:rFonts w:eastAsia="Times New Roman" w:cs="Times New Roman"/>
          <w:i/>
          <w:iCs/>
          <w:color w:val="000000" w:themeColor="text1"/>
          <w:shd w:val="clear" w:color="auto" w:fill="FFFFFF"/>
          <w:lang w:eastAsia="en-GB"/>
        </w:rPr>
        <w:t>in total</w:t>
      </w:r>
      <w:r w:rsidR="00912D25" w:rsidRPr="00912D25">
        <w:rPr>
          <w:rFonts w:eastAsia="Times New Roman" w:cs="Times New Roman"/>
          <w:color w:val="000000" w:themeColor="text1"/>
          <w:shd w:val="clear" w:color="auto" w:fill="FFFFFF"/>
          <w:lang w:eastAsia="en-GB"/>
        </w:rPr>
        <w:t xml:space="preserve"> at the end of Day 1 and </w:t>
      </w:r>
      <w:r w:rsidR="00250E8A">
        <w:rPr>
          <w:rFonts w:eastAsia="Times New Roman" w:cs="Times New Roman"/>
          <w:color w:val="000000" w:themeColor="text1"/>
          <w:shd w:val="clear" w:color="auto" w:fill="FFFFFF"/>
          <w:lang w:eastAsia="en-GB"/>
        </w:rPr>
        <w:t>across all four days</w:t>
      </w:r>
      <w:r w:rsidR="00912D25" w:rsidRPr="00912D25">
        <w:rPr>
          <w:rFonts w:eastAsia="Times New Roman" w:cs="Times New Roman"/>
          <w:color w:val="000000" w:themeColor="text1"/>
          <w:shd w:val="clear" w:color="auto" w:fill="FFFFFF"/>
          <w:lang w:eastAsia="en-GB"/>
        </w:rPr>
        <w:t xml:space="preserve">. </w:t>
      </w:r>
    </w:p>
    <w:p w14:paraId="22BE0700" w14:textId="2BEB8C6C" w:rsidR="00834ACF" w:rsidRPr="00626232" w:rsidRDefault="00985AED" w:rsidP="00985AED">
      <w:pPr>
        <w:pStyle w:val="Heading1"/>
        <w:rPr>
          <w:rFonts w:ascii="Times New Roman" w:hAnsi="Times New Roman" w:cs="Times New Roman"/>
          <w:szCs w:val="24"/>
        </w:rPr>
      </w:pPr>
      <w:r w:rsidRPr="00626232">
        <w:rPr>
          <w:rFonts w:ascii="Times New Roman" w:hAnsi="Times New Roman" w:cs="Times New Roman"/>
          <w:szCs w:val="24"/>
        </w:rPr>
        <w:t xml:space="preserve">2. </w:t>
      </w:r>
      <w:r w:rsidR="00834ACF" w:rsidRPr="00626232">
        <w:rPr>
          <w:rFonts w:ascii="Times New Roman" w:hAnsi="Times New Roman" w:cs="Times New Roman"/>
          <w:szCs w:val="24"/>
        </w:rPr>
        <w:t>Design</w:t>
      </w:r>
    </w:p>
    <w:p w14:paraId="38F1D609" w14:textId="7C9D9051" w:rsidR="00D515A7" w:rsidRPr="00AB6356" w:rsidRDefault="00822400" w:rsidP="00250E8A">
      <w:pPr>
        <w:spacing w:line="276" w:lineRule="auto"/>
        <w:rPr>
          <w:rFonts w:cs="Times New Roman"/>
          <w:color w:val="262626"/>
          <w:szCs w:val="22"/>
        </w:rPr>
      </w:pPr>
      <w:r w:rsidRPr="00626232">
        <w:rPr>
          <w:rFonts w:cs="Times New Roman"/>
          <w:color w:val="262626"/>
        </w:rPr>
        <w:t xml:space="preserve">A </w:t>
      </w:r>
      <w:r w:rsidR="00D515A7">
        <w:rPr>
          <w:rFonts w:cs="Times New Roman"/>
          <w:color w:val="262626"/>
        </w:rPr>
        <w:t>between</w:t>
      </w:r>
      <w:r w:rsidRPr="00626232">
        <w:rPr>
          <w:rFonts w:cs="Times New Roman"/>
          <w:color w:val="262626"/>
        </w:rPr>
        <w:t xml:space="preserve">-subjects design was used in which </w:t>
      </w:r>
      <w:r w:rsidR="00D515A7">
        <w:rPr>
          <w:rFonts w:cs="Times New Roman"/>
          <w:color w:val="262626"/>
          <w:szCs w:val="22"/>
        </w:rPr>
        <w:t>p</w:t>
      </w:r>
      <w:r w:rsidR="00D515A7" w:rsidRPr="00AB6356">
        <w:rPr>
          <w:rFonts w:cs="Times New Roman"/>
          <w:color w:val="262626"/>
          <w:szCs w:val="22"/>
        </w:rPr>
        <w:t>articipants were randomly allocated to either the ‘alone’ or ‘social’ condition</w:t>
      </w:r>
      <w:r w:rsidR="00CC224D">
        <w:rPr>
          <w:rFonts w:cs="Times New Roman"/>
          <w:color w:val="262626"/>
          <w:szCs w:val="22"/>
        </w:rPr>
        <w:t xml:space="preserve"> </w:t>
      </w:r>
      <w:r w:rsidR="00CC224D">
        <w:rPr>
          <w:rFonts w:cs="Times New Roman"/>
          <w:b/>
          <w:bCs/>
          <w:color w:val="262626"/>
          <w:szCs w:val="22"/>
        </w:rPr>
        <w:t>[Condition]</w:t>
      </w:r>
      <w:r w:rsidR="00D515A7" w:rsidRPr="00AB6356">
        <w:rPr>
          <w:rFonts w:cs="Times New Roman"/>
          <w:color w:val="262626"/>
          <w:szCs w:val="22"/>
        </w:rPr>
        <w:t xml:space="preserve">; those in the ‘alone’ condition ate </w:t>
      </w:r>
      <w:r w:rsidR="00D515A7">
        <w:rPr>
          <w:rFonts w:cs="Times New Roman"/>
          <w:color w:val="262626"/>
          <w:szCs w:val="22"/>
        </w:rPr>
        <w:t xml:space="preserve">the buffet </w:t>
      </w:r>
      <w:r w:rsidR="00D515A7" w:rsidRPr="00AB6356">
        <w:rPr>
          <w:rFonts w:cs="Times New Roman"/>
          <w:color w:val="262626"/>
          <w:szCs w:val="22"/>
        </w:rPr>
        <w:t xml:space="preserve">lunch alone, while those in the ‘social’ condition ate with the two friends </w:t>
      </w:r>
      <w:r w:rsidR="00D515A7">
        <w:rPr>
          <w:rFonts w:cs="Times New Roman"/>
          <w:color w:val="262626"/>
          <w:szCs w:val="22"/>
        </w:rPr>
        <w:t xml:space="preserve">(also participants) </w:t>
      </w:r>
      <w:r w:rsidR="00D515A7" w:rsidRPr="00AB6356">
        <w:rPr>
          <w:rFonts w:cs="Times New Roman"/>
          <w:color w:val="262626"/>
          <w:szCs w:val="22"/>
        </w:rPr>
        <w:t>with whom they had signed up to the study.</w:t>
      </w:r>
    </w:p>
    <w:p w14:paraId="4FA1B886" w14:textId="6CF39582" w:rsidR="00A75952" w:rsidRPr="00626232" w:rsidRDefault="00985AED" w:rsidP="00985AED">
      <w:pPr>
        <w:pStyle w:val="Heading1"/>
        <w:rPr>
          <w:rFonts w:ascii="Times New Roman" w:hAnsi="Times New Roman" w:cs="Times New Roman"/>
          <w:szCs w:val="24"/>
        </w:rPr>
      </w:pPr>
      <w:r w:rsidRPr="00626232">
        <w:rPr>
          <w:rFonts w:ascii="Times New Roman" w:hAnsi="Times New Roman" w:cs="Times New Roman"/>
          <w:szCs w:val="24"/>
        </w:rPr>
        <w:t xml:space="preserve">3. </w:t>
      </w:r>
      <w:r w:rsidR="00A75952" w:rsidRPr="00626232">
        <w:rPr>
          <w:rFonts w:ascii="Times New Roman" w:hAnsi="Times New Roman" w:cs="Times New Roman"/>
          <w:szCs w:val="24"/>
        </w:rPr>
        <w:t>Measures</w:t>
      </w:r>
    </w:p>
    <w:p w14:paraId="6378681C" w14:textId="26C02707" w:rsidR="008D3BC1" w:rsidRPr="00F22466" w:rsidRDefault="00DB39D6" w:rsidP="00F22466">
      <w:pPr>
        <w:pStyle w:val="ListParagraph"/>
        <w:numPr>
          <w:ilvl w:val="0"/>
          <w:numId w:val="8"/>
        </w:numPr>
        <w:spacing w:line="276" w:lineRule="auto"/>
        <w:rPr>
          <w:rFonts w:cs="Times New Roman"/>
        </w:rPr>
      </w:pPr>
      <w:r w:rsidRPr="00F22466">
        <w:rPr>
          <w:rFonts w:cs="Times New Roman"/>
        </w:rPr>
        <w:t>Participants completed the following questionnaire measures:</w:t>
      </w:r>
    </w:p>
    <w:p w14:paraId="2B133F53" w14:textId="53CA696F" w:rsidR="005022E0" w:rsidRPr="00D515A7" w:rsidRDefault="005022E0" w:rsidP="00F22466">
      <w:pPr>
        <w:pStyle w:val="ListParagraph"/>
        <w:numPr>
          <w:ilvl w:val="0"/>
          <w:numId w:val="8"/>
        </w:numPr>
        <w:spacing w:line="276" w:lineRule="auto"/>
        <w:rPr>
          <w:rFonts w:cs="Times New Roman"/>
          <w:i/>
          <w:lang w:val="en-US"/>
        </w:rPr>
      </w:pPr>
      <w:r w:rsidRPr="00626232">
        <w:rPr>
          <w:rStyle w:val="Heading4Char"/>
          <w:rFonts w:cs="Times New Roman"/>
        </w:rPr>
        <w:t>Appetite and liking ratings</w:t>
      </w:r>
      <w:r w:rsidRPr="00626232">
        <w:rPr>
          <w:rFonts w:cs="Times New Roman"/>
          <w:b/>
          <w:i/>
          <w:iCs/>
          <w:lang w:val="en-US"/>
        </w:rPr>
        <w:t>.</w:t>
      </w:r>
      <w:r w:rsidRPr="00626232">
        <w:rPr>
          <w:rFonts w:cs="Times New Roman"/>
          <w:i/>
          <w:lang w:val="en-US"/>
        </w:rPr>
        <w:t xml:space="preserve"> </w:t>
      </w:r>
      <w:r w:rsidRPr="00626232">
        <w:rPr>
          <w:rFonts w:cs="Times New Roman"/>
          <w:lang w:val="en-US"/>
        </w:rPr>
        <w:t xml:space="preserve">Assessments of hunger, fullness, and “liking” for the </w:t>
      </w:r>
      <w:r w:rsidR="00822400" w:rsidRPr="00626232">
        <w:rPr>
          <w:rFonts w:cs="Times New Roman"/>
          <w:lang w:val="en-US"/>
        </w:rPr>
        <w:t>test foods</w:t>
      </w:r>
      <w:r w:rsidRPr="00626232">
        <w:rPr>
          <w:rFonts w:cs="Times New Roman"/>
          <w:lang w:val="en-US"/>
        </w:rPr>
        <w:t xml:space="preserve"> were taken using 100-mm Visual Analogue Scales (VAS) </w:t>
      </w:r>
      <w:r w:rsidR="00250E8A">
        <w:rPr>
          <w:rFonts w:cs="Times New Roman"/>
          <w:lang w:val="en-US"/>
        </w:rPr>
        <w:t xml:space="preserve">with </w:t>
      </w:r>
      <w:r w:rsidRPr="00626232">
        <w:rPr>
          <w:rFonts w:cs="Times New Roman"/>
          <w:lang w:val="en-US"/>
        </w:rPr>
        <w:t xml:space="preserve">anchors </w:t>
      </w:r>
      <w:r w:rsidRPr="00626232">
        <w:rPr>
          <w:rFonts w:cs="Times New Roman"/>
          <w:i/>
          <w:iCs/>
          <w:lang w:val="en-US"/>
        </w:rPr>
        <w:t>Not at all</w:t>
      </w:r>
      <w:r w:rsidRPr="00626232">
        <w:rPr>
          <w:rFonts w:cs="Times New Roman"/>
          <w:lang w:val="en-US"/>
        </w:rPr>
        <w:t xml:space="preserve"> on the left and </w:t>
      </w:r>
      <w:r w:rsidRPr="00626232">
        <w:rPr>
          <w:rFonts w:cs="Times New Roman"/>
          <w:i/>
          <w:iCs/>
          <w:lang w:val="en-US"/>
        </w:rPr>
        <w:t>Extremely</w:t>
      </w:r>
      <w:r w:rsidRPr="00626232">
        <w:rPr>
          <w:rFonts w:cs="Times New Roman"/>
          <w:lang w:val="en-US"/>
        </w:rPr>
        <w:t xml:space="preserve"> on the right. A composite ‘appetite’ score was calculated by taking the mean rating assigned to the ‘hunger’ VAS and the inverse rating assigned to the ‘fullness’ VAS (100-fullness)</w:t>
      </w:r>
      <w:r w:rsidR="00822400" w:rsidRPr="00626232">
        <w:rPr>
          <w:rFonts w:cs="Times New Roman"/>
          <w:lang w:val="en-US"/>
        </w:rPr>
        <w:t xml:space="preserve"> [</w:t>
      </w:r>
      <w:r w:rsidR="00822400" w:rsidRPr="00626232">
        <w:rPr>
          <w:rFonts w:cs="Times New Roman"/>
          <w:b/>
          <w:bCs/>
          <w:lang w:val="en-US"/>
        </w:rPr>
        <w:t xml:space="preserve">Before meal: </w:t>
      </w:r>
      <w:proofErr w:type="spellStart"/>
      <w:r w:rsidR="00D17068">
        <w:rPr>
          <w:rFonts w:cs="Times New Roman"/>
          <w:b/>
          <w:bCs/>
          <w:lang w:val="en-US"/>
        </w:rPr>
        <w:t>Pre_meal_appetite</w:t>
      </w:r>
      <w:proofErr w:type="spellEnd"/>
      <w:r w:rsidR="00822400" w:rsidRPr="00626232">
        <w:rPr>
          <w:rFonts w:cs="Times New Roman"/>
          <w:b/>
          <w:bCs/>
          <w:lang w:val="en-US"/>
        </w:rPr>
        <w:t xml:space="preserve">; After meal: </w:t>
      </w:r>
      <w:proofErr w:type="spellStart"/>
      <w:r w:rsidR="00D17068">
        <w:rPr>
          <w:rFonts w:cs="Times New Roman"/>
          <w:b/>
          <w:bCs/>
          <w:lang w:val="en-US"/>
        </w:rPr>
        <w:t>Post_meal_appetite</w:t>
      </w:r>
      <w:proofErr w:type="spellEnd"/>
      <w:r w:rsidR="00822400" w:rsidRPr="00626232">
        <w:rPr>
          <w:rFonts w:cs="Times New Roman"/>
          <w:lang w:val="en-US"/>
        </w:rPr>
        <w:t>]</w:t>
      </w:r>
      <w:r w:rsidRPr="00626232">
        <w:rPr>
          <w:rFonts w:cs="Times New Roman"/>
          <w:lang w:val="en-US"/>
        </w:rPr>
        <w:t>.</w:t>
      </w:r>
      <w:r w:rsidR="00A23B10">
        <w:rPr>
          <w:rFonts w:cs="Times New Roman"/>
          <w:lang w:val="en-US"/>
        </w:rPr>
        <w:t xml:space="preserve"> </w:t>
      </w:r>
      <w:r w:rsidRPr="00626232">
        <w:rPr>
          <w:rFonts w:cs="Times New Roman"/>
          <w:lang w:val="en-US"/>
        </w:rPr>
        <w:t xml:space="preserve">The liking VAS was anchored by </w:t>
      </w:r>
      <w:r w:rsidRPr="00626232">
        <w:rPr>
          <w:rFonts w:cs="Times New Roman"/>
          <w:i/>
          <w:iCs/>
          <w:lang w:val="en-US"/>
        </w:rPr>
        <w:t>Didn’t like it at all</w:t>
      </w:r>
      <w:r w:rsidRPr="00626232">
        <w:rPr>
          <w:rFonts w:cs="Times New Roman"/>
          <w:lang w:val="en-US"/>
        </w:rPr>
        <w:t xml:space="preserve"> and </w:t>
      </w:r>
      <w:r w:rsidRPr="00626232">
        <w:rPr>
          <w:rFonts w:cs="Times New Roman"/>
          <w:i/>
          <w:iCs/>
          <w:lang w:val="en-US"/>
        </w:rPr>
        <w:t xml:space="preserve">Liked it a lot </w:t>
      </w:r>
      <w:r w:rsidRPr="00626232">
        <w:rPr>
          <w:rFonts w:cs="Times New Roman"/>
          <w:lang w:val="en-US"/>
        </w:rPr>
        <w:t xml:space="preserve">to the left and right of the scale, respectively. </w:t>
      </w:r>
      <w:r w:rsidR="00822400" w:rsidRPr="00626232">
        <w:rPr>
          <w:rFonts w:cs="Times New Roman"/>
          <w:lang w:val="en-US"/>
        </w:rPr>
        <w:t>Liking ratings were averaged across all foods</w:t>
      </w:r>
      <w:r w:rsidR="00770F44" w:rsidRPr="00626232">
        <w:rPr>
          <w:rFonts w:cs="Times New Roman"/>
          <w:lang w:val="en-US"/>
        </w:rPr>
        <w:t xml:space="preserve"> consumed </w:t>
      </w:r>
      <w:r w:rsidR="00250E8A">
        <w:rPr>
          <w:rFonts w:cs="Times New Roman"/>
          <w:lang w:val="en-US"/>
        </w:rPr>
        <w:t>during the lab session</w:t>
      </w:r>
      <w:r w:rsidR="00822400" w:rsidRPr="00626232">
        <w:rPr>
          <w:rFonts w:cs="Times New Roman"/>
          <w:lang w:val="en-US"/>
        </w:rPr>
        <w:t xml:space="preserve"> [</w:t>
      </w:r>
      <w:proofErr w:type="spellStart"/>
      <w:r w:rsidR="00D17068" w:rsidRPr="00D17068">
        <w:rPr>
          <w:rFonts w:cs="Times New Roman"/>
          <w:b/>
          <w:bCs/>
          <w:lang w:val="en-US"/>
        </w:rPr>
        <w:t>Mean_</w:t>
      </w:r>
      <w:r w:rsidR="00822400" w:rsidRPr="00626232">
        <w:rPr>
          <w:rFonts w:cs="Times New Roman"/>
          <w:b/>
          <w:bCs/>
          <w:lang w:val="en-US"/>
        </w:rPr>
        <w:t>Liking</w:t>
      </w:r>
      <w:proofErr w:type="spellEnd"/>
      <w:r w:rsidR="00822400" w:rsidRPr="00626232">
        <w:rPr>
          <w:rFonts w:cs="Times New Roman"/>
          <w:lang w:val="en-US"/>
        </w:rPr>
        <w:t>]</w:t>
      </w:r>
      <w:r w:rsidR="00A23B10">
        <w:rPr>
          <w:rFonts w:cs="Times New Roman"/>
          <w:lang w:val="en-US"/>
        </w:rPr>
        <w:t>.</w:t>
      </w:r>
    </w:p>
    <w:p w14:paraId="4DC20D9A" w14:textId="40780400" w:rsidR="00D515A7" w:rsidRPr="00626232" w:rsidRDefault="00D515A7" w:rsidP="00F22466">
      <w:pPr>
        <w:pStyle w:val="ListParagraph"/>
        <w:numPr>
          <w:ilvl w:val="0"/>
          <w:numId w:val="8"/>
        </w:numPr>
        <w:spacing w:line="276" w:lineRule="auto"/>
        <w:rPr>
          <w:rFonts w:cs="Times New Roman"/>
          <w:i/>
          <w:lang w:val="en-US"/>
        </w:rPr>
      </w:pPr>
      <w:r>
        <w:rPr>
          <w:rStyle w:val="Heading4Char"/>
          <w:rFonts w:cs="Times New Roman"/>
        </w:rPr>
        <w:t>Overall meal enjoyment</w:t>
      </w:r>
      <w:r w:rsidR="00250E8A">
        <w:rPr>
          <w:rStyle w:val="Heading4Char"/>
          <w:rFonts w:cs="Times New Roman"/>
        </w:rPr>
        <w:t xml:space="preserve">. </w:t>
      </w:r>
      <w:r w:rsidR="00651D49">
        <w:rPr>
          <w:rStyle w:val="Heading4Char"/>
          <w:rFonts w:cs="Times New Roman"/>
        </w:rPr>
        <w:t xml:space="preserve"> </w:t>
      </w:r>
      <w:r w:rsidR="00250E8A">
        <w:rPr>
          <w:rFonts w:cs="Times New Roman"/>
          <w:color w:val="262626"/>
          <w:szCs w:val="22"/>
        </w:rPr>
        <w:t>A single item was used to assess how much participants enjoyed the overall meal experience (</w:t>
      </w:r>
      <w:r w:rsidR="00651D49" w:rsidRPr="00651D49">
        <w:rPr>
          <w:rFonts w:cs="Times New Roman"/>
          <w:color w:val="262626"/>
          <w:szCs w:val="22"/>
        </w:rPr>
        <w:t>“how much did you enjoy the overall meal experience</w:t>
      </w:r>
      <w:r w:rsidR="00D17068">
        <w:rPr>
          <w:rFonts w:cs="Times New Roman"/>
          <w:color w:val="262626"/>
          <w:szCs w:val="22"/>
        </w:rPr>
        <w:t>?</w:t>
      </w:r>
      <w:r w:rsidR="00651D49" w:rsidRPr="00651D49">
        <w:rPr>
          <w:rFonts w:cs="Times New Roman"/>
          <w:color w:val="262626"/>
          <w:szCs w:val="22"/>
        </w:rPr>
        <w:t>”</w:t>
      </w:r>
      <w:r w:rsidR="00250E8A">
        <w:rPr>
          <w:rFonts w:cs="Times New Roman"/>
          <w:color w:val="262626"/>
          <w:szCs w:val="22"/>
        </w:rPr>
        <w:t>)</w:t>
      </w:r>
      <w:r w:rsidR="00651D49" w:rsidRPr="00651D49">
        <w:rPr>
          <w:rFonts w:cs="Times New Roman"/>
          <w:color w:val="262626"/>
          <w:szCs w:val="22"/>
        </w:rPr>
        <w:t xml:space="preserve"> with responses provided on a 100mm VAS scale ranging from ‘Not at all’ </w:t>
      </w:r>
      <w:r w:rsidR="00250E8A">
        <w:rPr>
          <w:rFonts w:cs="Times New Roman"/>
          <w:color w:val="262626"/>
          <w:szCs w:val="22"/>
        </w:rPr>
        <w:t xml:space="preserve">on the left </w:t>
      </w:r>
      <w:r w:rsidR="00651D49" w:rsidRPr="00651D49">
        <w:rPr>
          <w:rFonts w:cs="Times New Roman"/>
          <w:color w:val="262626"/>
          <w:szCs w:val="22"/>
        </w:rPr>
        <w:t>to ‘Extremely’</w:t>
      </w:r>
      <w:r w:rsidR="00D17068">
        <w:rPr>
          <w:rFonts w:cs="Times New Roman"/>
          <w:color w:val="262626"/>
          <w:szCs w:val="22"/>
        </w:rPr>
        <w:t xml:space="preserve"> </w:t>
      </w:r>
      <w:r w:rsidR="00250E8A">
        <w:rPr>
          <w:rFonts w:cs="Times New Roman"/>
          <w:color w:val="262626"/>
          <w:szCs w:val="22"/>
        </w:rPr>
        <w:t xml:space="preserve">on the right </w:t>
      </w:r>
      <w:r w:rsidR="00D17068">
        <w:rPr>
          <w:rFonts w:cs="Times New Roman"/>
          <w:color w:val="262626"/>
          <w:szCs w:val="22"/>
        </w:rPr>
        <w:t>[</w:t>
      </w:r>
      <w:r w:rsidR="00D17068">
        <w:rPr>
          <w:rFonts w:cs="Times New Roman"/>
          <w:b/>
          <w:bCs/>
          <w:color w:val="262626"/>
          <w:szCs w:val="22"/>
        </w:rPr>
        <w:t>Overall].</w:t>
      </w:r>
    </w:p>
    <w:p w14:paraId="16BDDD7F" w14:textId="7F3C8812" w:rsidR="002B0F99" w:rsidRPr="00626232" w:rsidRDefault="005022E0" w:rsidP="00F22466">
      <w:pPr>
        <w:pStyle w:val="ListParagraph"/>
        <w:numPr>
          <w:ilvl w:val="0"/>
          <w:numId w:val="8"/>
        </w:numPr>
        <w:spacing w:line="276" w:lineRule="auto"/>
        <w:rPr>
          <w:rFonts w:cs="Times New Roman"/>
        </w:rPr>
      </w:pPr>
      <w:r w:rsidRPr="00626232">
        <w:rPr>
          <w:rStyle w:val="Heading4Char"/>
          <w:rFonts w:cs="Times New Roman"/>
        </w:rPr>
        <w:t>Three-Factor Eating Questionnaire-18</w:t>
      </w:r>
      <w:r w:rsidRPr="00626232">
        <w:rPr>
          <w:rFonts w:cs="Times New Roman"/>
          <w:b/>
          <w:i/>
          <w:iCs/>
          <w:lang w:val="en-US"/>
        </w:rPr>
        <w:t>.</w:t>
      </w:r>
      <w:r w:rsidRPr="00626232">
        <w:rPr>
          <w:rFonts w:cs="Times New Roman"/>
          <w:i/>
          <w:lang w:val="en-US"/>
        </w:rPr>
        <w:t xml:space="preserve"> </w:t>
      </w:r>
      <w:r w:rsidRPr="00626232">
        <w:rPr>
          <w:rFonts w:cs="Times New Roman"/>
          <w:lang w:val="en-US"/>
        </w:rPr>
        <w:t>The Three-Factor Eating Questionnaire Revised 18-item version (TFEQ-18</w:t>
      </w:r>
      <w:r w:rsidR="00250E8A">
        <w:rPr>
          <w:rFonts w:cs="Times New Roman"/>
          <w:lang w:val="en-US"/>
        </w:rPr>
        <w:t xml:space="preserve">, </w:t>
      </w:r>
      <w:r w:rsidR="00250E8A" w:rsidRPr="00626232">
        <w:rPr>
          <w:rFonts w:cs="Times New Roman"/>
          <w:lang w:val="en-US"/>
        </w:rPr>
        <w:t xml:space="preserve">Karlsson, Persson, </w:t>
      </w:r>
      <w:proofErr w:type="spellStart"/>
      <w:r w:rsidR="00250E8A" w:rsidRPr="00626232">
        <w:rPr>
          <w:rFonts w:cs="Times New Roman"/>
          <w:lang w:val="en-US"/>
        </w:rPr>
        <w:t>Sjöström</w:t>
      </w:r>
      <w:proofErr w:type="spellEnd"/>
      <w:r w:rsidR="00250E8A" w:rsidRPr="00626232">
        <w:rPr>
          <w:rFonts w:cs="Times New Roman"/>
          <w:lang w:val="en-US"/>
        </w:rPr>
        <w:t>, &amp; Sullivan, 2000</w:t>
      </w:r>
      <w:r w:rsidRPr="00626232">
        <w:rPr>
          <w:rFonts w:cs="Times New Roman"/>
          <w:lang w:val="en-US"/>
        </w:rPr>
        <w:t>) was included to assess dietary restraint</w:t>
      </w:r>
      <w:r w:rsidR="00822400" w:rsidRPr="00626232">
        <w:rPr>
          <w:rFonts w:cs="Times New Roman"/>
          <w:lang w:val="en-US"/>
        </w:rPr>
        <w:t xml:space="preserve"> [</w:t>
      </w:r>
      <w:proofErr w:type="spellStart"/>
      <w:r w:rsidR="00822400" w:rsidRPr="00626232">
        <w:rPr>
          <w:rFonts w:cs="Times New Roman"/>
          <w:b/>
          <w:bCs/>
          <w:lang w:val="en-US"/>
        </w:rPr>
        <w:t>TFEQ_</w:t>
      </w:r>
      <w:r w:rsidR="00D17068">
        <w:rPr>
          <w:rFonts w:cs="Times New Roman"/>
          <w:b/>
          <w:bCs/>
          <w:lang w:val="en-US"/>
        </w:rPr>
        <w:t>Cognitive_Restraint</w:t>
      </w:r>
      <w:proofErr w:type="spellEnd"/>
      <w:r w:rsidR="00822400" w:rsidRPr="00626232">
        <w:rPr>
          <w:rFonts w:cs="Times New Roman"/>
          <w:lang w:val="en-US"/>
        </w:rPr>
        <w:t>]</w:t>
      </w:r>
      <w:r w:rsidRPr="00626232">
        <w:rPr>
          <w:rFonts w:cs="Times New Roman"/>
          <w:lang w:val="en-US"/>
        </w:rPr>
        <w:t>, uncontrolled eating</w:t>
      </w:r>
      <w:r w:rsidR="00822400" w:rsidRPr="00626232">
        <w:rPr>
          <w:rFonts w:cs="Times New Roman"/>
          <w:lang w:val="en-US"/>
        </w:rPr>
        <w:t xml:space="preserve"> [</w:t>
      </w:r>
      <w:proofErr w:type="spellStart"/>
      <w:r w:rsidR="00822400" w:rsidRPr="00626232">
        <w:rPr>
          <w:rFonts w:cs="Times New Roman"/>
          <w:b/>
          <w:bCs/>
          <w:lang w:val="en-US"/>
        </w:rPr>
        <w:t>TFEQ_</w:t>
      </w:r>
      <w:r w:rsidR="00D17068">
        <w:rPr>
          <w:rFonts w:cs="Times New Roman"/>
          <w:b/>
          <w:bCs/>
          <w:lang w:val="en-US"/>
        </w:rPr>
        <w:t>Uncontrolled_Eating</w:t>
      </w:r>
      <w:proofErr w:type="spellEnd"/>
      <w:r w:rsidR="00822400" w:rsidRPr="00626232">
        <w:rPr>
          <w:rFonts w:cs="Times New Roman"/>
          <w:lang w:val="en-US"/>
        </w:rPr>
        <w:t>]</w:t>
      </w:r>
      <w:r w:rsidRPr="00626232">
        <w:rPr>
          <w:rFonts w:cs="Times New Roman"/>
          <w:lang w:val="en-US"/>
        </w:rPr>
        <w:t>, and emotional eating</w:t>
      </w:r>
      <w:r w:rsidR="00822400" w:rsidRPr="00626232">
        <w:rPr>
          <w:rFonts w:cs="Times New Roman"/>
          <w:lang w:val="en-US"/>
        </w:rPr>
        <w:t xml:space="preserve"> [</w:t>
      </w:r>
      <w:proofErr w:type="spellStart"/>
      <w:r w:rsidR="00822400" w:rsidRPr="00626232">
        <w:rPr>
          <w:rFonts w:cs="Times New Roman"/>
          <w:b/>
          <w:bCs/>
          <w:lang w:val="en-US"/>
        </w:rPr>
        <w:t>TFEQ_</w:t>
      </w:r>
      <w:r w:rsidR="00D17068">
        <w:rPr>
          <w:rFonts w:cs="Times New Roman"/>
          <w:b/>
          <w:bCs/>
          <w:lang w:val="en-US"/>
        </w:rPr>
        <w:t>Emotional_eating</w:t>
      </w:r>
      <w:proofErr w:type="spellEnd"/>
      <w:r w:rsidR="00822400" w:rsidRPr="00626232">
        <w:rPr>
          <w:rFonts w:cs="Times New Roman"/>
          <w:lang w:val="en-US"/>
        </w:rPr>
        <w:t>]</w:t>
      </w:r>
      <w:r w:rsidRPr="00626232">
        <w:rPr>
          <w:rFonts w:cs="Times New Roman"/>
          <w:lang w:val="en-US"/>
        </w:rPr>
        <w:t xml:space="preserve">. </w:t>
      </w:r>
      <w:r w:rsidR="00DC0B8E" w:rsidRPr="00DC0B8E">
        <w:rPr>
          <w:color w:val="000000" w:themeColor="text1"/>
        </w:rPr>
        <w:t xml:space="preserve">Scores for each subscale were centred to enable us to explore whether TFEQ scores moderated effects of condition on food intake during the lab session </w:t>
      </w:r>
      <w:r w:rsidR="00454877">
        <w:rPr>
          <w:rFonts w:cs="Times New Roman"/>
          <w:lang w:val="en-US"/>
        </w:rPr>
        <w:t>[</w:t>
      </w:r>
      <w:proofErr w:type="spellStart"/>
      <w:r w:rsidR="00DC0B8E">
        <w:rPr>
          <w:rFonts w:cs="Times New Roman"/>
          <w:b/>
          <w:bCs/>
          <w:lang w:val="en-US"/>
        </w:rPr>
        <w:t>Restraint_centered</w:t>
      </w:r>
      <w:proofErr w:type="spellEnd"/>
      <w:r w:rsidR="00454877">
        <w:rPr>
          <w:rFonts w:cs="Times New Roman"/>
          <w:b/>
          <w:bCs/>
          <w:lang w:val="en-US"/>
        </w:rPr>
        <w:t xml:space="preserve">, </w:t>
      </w:r>
      <w:proofErr w:type="spellStart"/>
      <w:r w:rsidR="00DC0B8E">
        <w:rPr>
          <w:rFonts w:cs="Times New Roman"/>
          <w:b/>
          <w:bCs/>
          <w:lang w:val="en-US"/>
        </w:rPr>
        <w:t>Uncontrolled_centered</w:t>
      </w:r>
      <w:proofErr w:type="spellEnd"/>
      <w:r w:rsidR="00454877">
        <w:rPr>
          <w:rFonts w:cs="Times New Roman"/>
          <w:b/>
          <w:bCs/>
          <w:lang w:val="en-US"/>
        </w:rPr>
        <w:t xml:space="preserve">, </w:t>
      </w:r>
      <w:proofErr w:type="spellStart"/>
      <w:r w:rsidR="00DC0B8E">
        <w:rPr>
          <w:rFonts w:cs="Times New Roman"/>
          <w:b/>
          <w:bCs/>
          <w:lang w:val="en-US"/>
        </w:rPr>
        <w:t>Emotional_centered</w:t>
      </w:r>
      <w:proofErr w:type="spellEnd"/>
      <w:r w:rsidR="00454877">
        <w:rPr>
          <w:rFonts w:cs="Times New Roman"/>
          <w:b/>
          <w:bCs/>
          <w:lang w:val="en-US"/>
        </w:rPr>
        <w:t>].</w:t>
      </w:r>
    </w:p>
    <w:p w14:paraId="1C4B78A4" w14:textId="5BD168E6" w:rsidR="009378C8" w:rsidRPr="009378C8" w:rsidRDefault="00713E52" w:rsidP="00F22466">
      <w:pPr>
        <w:pStyle w:val="ListParagraph"/>
        <w:numPr>
          <w:ilvl w:val="0"/>
          <w:numId w:val="8"/>
        </w:numPr>
        <w:spacing w:line="276" w:lineRule="auto"/>
        <w:rPr>
          <w:rFonts w:cs="Times New Roman"/>
          <w:bCs/>
          <w:i/>
          <w:iCs/>
          <w:szCs w:val="22"/>
        </w:rPr>
      </w:pPr>
      <w:r w:rsidRPr="009378C8">
        <w:rPr>
          <w:b/>
          <w:bCs/>
          <w:i/>
          <w:iCs/>
          <w:color w:val="000000" w:themeColor="text1"/>
          <w:szCs w:val="22"/>
        </w:rPr>
        <w:t>Food cravings</w:t>
      </w:r>
      <w:r w:rsidR="009378C8">
        <w:rPr>
          <w:color w:val="000000" w:themeColor="text1"/>
          <w:szCs w:val="22"/>
        </w:rPr>
        <w:t>. Food cravings</w:t>
      </w:r>
      <w:r w:rsidRPr="00713E52">
        <w:rPr>
          <w:color w:val="000000" w:themeColor="text1"/>
          <w:szCs w:val="22"/>
        </w:rPr>
        <w:t xml:space="preserve"> were assessed using the State General Food Cravings Questionnaire (G-FCQ-S, </w:t>
      </w:r>
      <w:proofErr w:type="spellStart"/>
      <w:r w:rsidRPr="00713E52">
        <w:rPr>
          <w:color w:val="000000" w:themeColor="text1"/>
          <w:szCs w:val="22"/>
        </w:rPr>
        <w:t>Nijs</w:t>
      </w:r>
      <w:proofErr w:type="spellEnd"/>
      <w:r w:rsidRPr="00713E52">
        <w:rPr>
          <w:color w:val="000000" w:themeColor="text1"/>
          <w:szCs w:val="22"/>
        </w:rPr>
        <w:t xml:space="preserve">, Franken, </w:t>
      </w:r>
      <w:proofErr w:type="spellStart"/>
      <w:r w:rsidRPr="00713E52">
        <w:rPr>
          <w:color w:val="000000" w:themeColor="text1"/>
          <w:szCs w:val="22"/>
        </w:rPr>
        <w:t>Muris</w:t>
      </w:r>
      <w:proofErr w:type="spellEnd"/>
      <w:r w:rsidRPr="00713E52">
        <w:rPr>
          <w:color w:val="000000" w:themeColor="text1"/>
          <w:szCs w:val="22"/>
        </w:rPr>
        <w:t xml:space="preserve">, 2007). Individuals are asked to indicate on a 5-point Likert scale (1=strongly disagree, 5=strongly agree) the extent to which they </w:t>
      </w:r>
      <w:r w:rsidRPr="00713E52">
        <w:rPr>
          <w:color w:val="000000" w:themeColor="text1"/>
          <w:szCs w:val="22"/>
        </w:rPr>
        <w:lastRenderedPageBreak/>
        <w:t>agree with each item “</w:t>
      </w:r>
      <w:r w:rsidRPr="00713E52">
        <w:rPr>
          <w:i/>
          <w:iCs/>
          <w:color w:val="000000" w:themeColor="text1"/>
          <w:szCs w:val="22"/>
        </w:rPr>
        <w:t>right now, at this very moment</w:t>
      </w:r>
      <w:r w:rsidRPr="00713E52">
        <w:rPr>
          <w:color w:val="000000" w:themeColor="text1"/>
          <w:szCs w:val="22"/>
        </w:rPr>
        <w:t xml:space="preserve">”. The G-FCQ-S assesses the following five factors: 1) desire to eat </w:t>
      </w:r>
      <w:r>
        <w:rPr>
          <w:color w:val="000000" w:themeColor="text1"/>
          <w:szCs w:val="22"/>
        </w:rPr>
        <w:t>[</w:t>
      </w:r>
      <w:proofErr w:type="spellStart"/>
      <w:r w:rsidRPr="00713E52">
        <w:rPr>
          <w:b/>
          <w:bCs/>
          <w:color w:val="000000" w:themeColor="text1"/>
          <w:szCs w:val="22"/>
        </w:rPr>
        <w:t>G_FCQ_S_Desire</w:t>
      </w:r>
      <w:proofErr w:type="spellEnd"/>
      <w:r>
        <w:rPr>
          <w:color w:val="000000" w:themeColor="text1"/>
          <w:szCs w:val="22"/>
        </w:rPr>
        <w:t>]</w:t>
      </w:r>
      <w:r w:rsidRPr="00713E52">
        <w:rPr>
          <w:color w:val="000000" w:themeColor="text1"/>
          <w:szCs w:val="22"/>
        </w:rPr>
        <w:t xml:space="preserve">; 2) anticipation of positive reinforcement </w:t>
      </w:r>
      <w:r>
        <w:rPr>
          <w:color w:val="000000" w:themeColor="text1"/>
          <w:szCs w:val="22"/>
        </w:rPr>
        <w:t>[</w:t>
      </w:r>
      <w:proofErr w:type="spellStart"/>
      <w:r w:rsidRPr="00241D2E">
        <w:rPr>
          <w:b/>
          <w:bCs/>
          <w:color w:val="000000" w:themeColor="text1"/>
          <w:szCs w:val="22"/>
        </w:rPr>
        <w:t>G_FCQ_S_positive</w:t>
      </w:r>
      <w:proofErr w:type="spellEnd"/>
      <w:r>
        <w:rPr>
          <w:color w:val="000000" w:themeColor="text1"/>
          <w:szCs w:val="22"/>
        </w:rPr>
        <w:t>]</w:t>
      </w:r>
      <w:r w:rsidRPr="00713E52">
        <w:rPr>
          <w:color w:val="000000" w:themeColor="text1"/>
          <w:szCs w:val="22"/>
        </w:rPr>
        <w:t xml:space="preserve">; 3) anticipation of relief from negative states </w:t>
      </w:r>
      <w:r>
        <w:rPr>
          <w:color w:val="000000" w:themeColor="text1"/>
          <w:szCs w:val="22"/>
        </w:rPr>
        <w:t>[</w:t>
      </w:r>
      <w:proofErr w:type="spellStart"/>
      <w:r w:rsidRPr="00241D2E">
        <w:rPr>
          <w:b/>
          <w:bCs/>
          <w:color w:val="000000" w:themeColor="text1"/>
          <w:szCs w:val="22"/>
        </w:rPr>
        <w:t>G_FCQ_S_relief</w:t>
      </w:r>
      <w:proofErr w:type="spellEnd"/>
      <w:r>
        <w:rPr>
          <w:color w:val="000000" w:themeColor="text1"/>
          <w:szCs w:val="22"/>
        </w:rPr>
        <w:t>]</w:t>
      </w:r>
      <w:r w:rsidRPr="00713E52">
        <w:rPr>
          <w:color w:val="000000" w:themeColor="text1"/>
          <w:szCs w:val="22"/>
        </w:rPr>
        <w:t>; 4) preoccupation with food or lack of control over eating</w:t>
      </w:r>
      <w:r w:rsidR="00250E8A">
        <w:rPr>
          <w:color w:val="000000" w:themeColor="text1"/>
          <w:szCs w:val="22"/>
        </w:rPr>
        <w:t xml:space="preserve"> </w:t>
      </w:r>
      <w:r>
        <w:rPr>
          <w:color w:val="000000" w:themeColor="text1"/>
          <w:szCs w:val="22"/>
        </w:rPr>
        <w:t>[</w:t>
      </w:r>
      <w:proofErr w:type="spellStart"/>
      <w:r w:rsidRPr="00241D2E">
        <w:rPr>
          <w:b/>
          <w:bCs/>
          <w:color w:val="000000" w:themeColor="text1"/>
          <w:szCs w:val="22"/>
        </w:rPr>
        <w:t>G_FCQ_S_preocc</w:t>
      </w:r>
      <w:proofErr w:type="spellEnd"/>
      <w:r>
        <w:rPr>
          <w:color w:val="000000" w:themeColor="text1"/>
          <w:szCs w:val="22"/>
        </w:rPr>
        <w:t>]</w:t>
      </w:r>
      <w:r w:rsidRPr="00713E52">
        <w:rPr>
          <w:color w:val="000000" w:themeColor="text1"/>
          <w:szCs w:val="22"/>
        </w:rPr>
        <w:t>; and 5) physiological craving.</w:t>
      </w:r>
      <w:r>
        <w:rPr>
          <w:color w:val="000000" w:themeColor="text1"/>
          <w:szCs w:val="22"/>
        </w:rPr>
        <w:t xml:space="preserve"> </w:t>
      </w:r>
      <w:r w:rsidR="00250E8A">
        <w:rPr>
          <w:color w:val="000000" w:themeColor="text1"/>
          <w:szCs w:val="22"/>
        </w:rPr>
        <w:t>A</w:t>
      </w:r>
      <w:r>
        <w:rPr>
          <w:color w:val="000000" w:themeColor="text1"/>
          <w:szCs w:val="22"/>
        </w:rPr>
        <w:t xml:space="preserve"> total </w:t>
      </w:r>
      <w:r w:rsidR="00241D2E">
        <w:rPr>
          <w:color w:val="000000" w:themeColor="text1"/>
          <w:szCs w:val="22"/>
        </w:rPr>
        <w:t xml:space="preserve">craving </w:t>
      </w:r>
      <w:r>
        <w:rPr>
          <w:color w:val="000000" w:themeColor="text1"/>
          <w:szCs w:val="22"/>
        </w:rPr>
        <w:t xml:space="preserve">score </w:t>
      </w:r>
      <w:r w:rsidR="00250E8A">
        <w:rPr>
          <w:color w:val="000000" w:themeColor="text1"/>
          <w:szCs w:val="22"/>
        </w:rPr>
        <w:t xml:space="preserve">for each participant </w:t>
      </w:r>
      <w:r w:rsidR="00241D2E">
        <w:rPr>
          <w:color w:val="000000" w:themeColor="text1"/>
          <w:szCs w:val="22"/>
        </w:rPr>
        <w:t xml:space="preserve">(i.e. summed </w:t>
      </w:r>
      <w:r>
        <w:rPr>
          <w:color w:val="000000" w:themeColor="text1"/>
          <w:szCs w:val="22"/>
        </w:rPr>
        <w:t>across all five subscales</w:t>
      </w:r>
      <w:r w:rsidR="00241D2E">
        <w:rPr>
          <w:color w:val="000000" w:themeColor="text1"/>
          <w:szCs w:val="22"/>
        </w:rPr>
        <w:t>)</w:t>
      </w:r>
      <w:r>
        <w:rPr>
          <w:color w:val="000000" w:themeColor="text1"/>
          <w:szCs w:val="22"/>
        </w:rPr>
        <w:t xml:space="preserve"> was also calculated [</w:t>
      </w:r>
      <w:r w:rsidRPr="00241D2E">
        <w:rPr>
          <w:b/>
          <w:bCs/>
          <w:color w:val="000000" w:themeColor="text1"/>
          <w:szCs w:val="22"/>
        </w:rPr>
        <w:t>G_FCQ_S_TOTAL</w:t>
      </w:r>
      <w:r>
        <w:rPr>
          <w:color w:val="000000" w:themeColor="text1"/>
          <w:szCs w:val="22"/>
        </w:rPr>
        <w:t>].</w:t>
      </w:r>
    </w:p>
    <w:p w14:paraId="1E33C056" w14:textId="74A011C1" w:rsidR="00651D49" w:rsidRPr="009378C8" w:rsidRDefault="00651D49" w:rsidP="00F22466">
      <w:pPr>
        <w:pStyle w:val="ListParagraph"/>
        <w:numPr>
          <w:ilvl w:val="0"/>
          <w:numId w:val="8"/>
        </w:numPr>
        <w:spacing w:line="276" w:lineRule="auto"/>
        <w:rPr>
          <w:rFonts w:cs="Times New Roman"/>
          <w:b/>
          <w:bCs/>
          <w:i/>
          <w:iCs/>
          <w:szCs w:val="22"/>
        </w:rPr>
      </w:pPr>
      <w:r w:rsidRPr="009378C8">
        <w:rPr>
          <w:b/>
          <w:bCs/>
          <w:i/>
          <w:iCs/>
        </w:rPr>
        <w:t>Friendship ‘closeness’</w:t>
      </w:r>
      <w:r w:rsidR="009378C8">
        <w:rPr>
          <w:b/>
          <w:bCs/>
          <w:i/>
          <w:iCs/>
        </w:rPr>
        <w:t xml:space="preserve">. </w:t>
      </w:r>
      <w:r w:rsidRPr="009378C8">
        <w:rPr>
          <w:rFonts w:cs="Times New Roman"/>
          <w:color w:val="000000" w:themeColor="text1"/>
          <w:szCs w:val="22"/>
        </w:rPr>
        <w:t>A measure of friendship closeness was taken</w:t>
      </w:r>
      <w:r w:rsidR="00241D2E" w:rsidRPr="009378C8">
        <w:rPr>
          <w:rFonts w:cs="Times New Roman"/>
          <w:color w:val="000000" w:themeColor="text1"/>
          <w:szCs w:val="22"/>
        </w:rPr>
        <w:t xml:space="preserve"> before and after the lunch meal</w:t>
      </w:r>
      <w:r w:rsidRPr="009378C8">
        <w:rPr>
          <w:rFonts w:cs="Times New Roman"/>
          <w:color w:val="000000" w:themeColor="text1"/>
          <w:szCs w:val="22"/>
        </w:rPr>
        <w:t xml:space="preserve">, using a 100mm Visual Analogue Scale in which participants were asked to draw a vertical line through the scale to indicate how close they feel </w:t>
      </w:r>
      <w:r w:rsidRPr="009378C8">
        <w:rPr>
          <w:rFonts w:cs="Times New Roman"/>
          <w:szCs w:val="22"/>
        </w:rPr>
        <w:t>to the two friends that they are taking part with. Participants were instructed to draw one line for each of their two friends that they were taking part with</w:t>
      </w:r>
      <w:r w:rsidR="009378C8">
        <w:rPr>
          <w:rFonts w:cs="Times New Roman"/>
          <w:szCs w:val="22"/>
        </w:rPr>
        <w:t xml:space="preserve"> and these were averaged to provide a single closeness score</w:t>
      </w:r>
      <w:r w:rsidRPr="009378C8">
        <w:rPr>
          <w:rFonts w:cs="Times New Roman"/>
          <w:szCs w:val="22"/>
        </w:rPr>
        <w:t xml:space="preserve">. </w:t>
      </w:r>
      <w:r w:rsidR="009378C8">
        <w:rPr>
          <w:rFonts w:cs="Times New Roman"/>
          <w:szCs w:val="22"/>
        </w:rPr>
        <w:t>C</w:t>
      </w:r>
      <w:r w:rsidRPr="009378C8">
        <w:rPr>
          <w:rFonts w:cs="Times New Roman"/>
          <w:szCs w:val="22"/>
        </w:rPr>
        <w:t xml:space="preserve">loseness score </w:t>
      </w:r>
      <w:r w:rsidR="009378C8">
        <w:rPr>
          <w:rFonts w:cs="Times New Roman"/>
          <w:szCs w:val="22"/>
        </w:rPr>
        <w:t xml:space="preserve">ratings were taken </w:t>
      </w:r>
      <w:r w:rsidR="00241D2E" w:rsidRPr="009378C8">
        <w:rPr>
          <w:rFonts w:cs="Times New Roman"/>
          <w:szCs w:val="22"/>
        </w:rPr>
        <w:t>before and after the meal [</w:t>
      </w:r>
      <w:proofErr w:type="spellStart"/>
      <w:r w:rsidR="00241D2E" w:rsidRPr="009378C8">
        <w:rPr>
          <w:rFonts w:cs="Times New Roman"/>
          <w:b/>
          <w:bCs/>
          <w:szCs w:val="22"/>
        </w:rPr>
        <w:t>Closeness_pre_av</w:t>
      </w:r>
      <w:proofErr w:type="spellEnd"/>
      <w:r w:rsidR="00241D2E" w:rsidRPr="009378C8">
        <w:rPr>
          <w:rFonts w:cs="Times New Roman"/>
          <w:b/>
          <w:bCs/>
          <w:szCs w:val="22"/>
        </w:rPr>
        <w:t xml:space="preserve">; </w:t>
      </w:r>
      <w:proofErr w:type="spellStart"/>
      <w:r w:rsidR="00241D2E" w:rsidRPr="009378C8">
        <w:rPr>
          <w:rFonts w:cs="Times New Roman"/>
          <w:b/>
          <w:bCs/>
          <w:szCs w:val="22"/>
        </w:rPr>
        <w:t>Closeness_post_av</w:t>
      </w:r>
      <w:proofErr w:type="spellEnd"/>
      <w:r w:rsidR="00241D2E" w:rsidRPr="009378C8">
        <w:rPr>
          <w:rFonts w:cs="Times New Roman"/>
          <w:szCs w:val="22"/>
        </w:rPr>
        <w:t xml:space="preserve">]. The change in closeness rating from before to after the meal was </w:t>
      </w:r>
      <w:r w:rsidR="009378C8">
        <w:rPr>
          <w:rFonts w:cs="Times New Roman"/>
          <w:szCs w:val="22"/>
        </w:rPr>
        <w:t xml:space="preserve">also </w:t>
      </w:r>
      <w:r w:rsidR="00241D2E" w:rsidRPr="009378C8">
        <w:rPr>
          <w:rFonts w:cs="Times New Roman"/>
          <w:szCs w:val="22"/>
        </w:rPr>
        <w:t>calculated [</w:t>
      </w:r>
      <w:proofErr w:type="spellStart"/>
      <w:r w:rsidR="00241D2E" w:rsidRPr="009378C8">
        <w:rPr>
          <w:rFonts w:cs="Times New Roman"/>
          <w:b/>
          <w:bCs/>
          <w:szCs w:val="22"/>
        </w:rPr>
        <w:t>Closeness_change</w:t>
      </w:r>
      <w:proofErr w:type="spellEnd"/>
      <w:r w:rsidR="00241D2E" w:rsidRPr="009378C8">
        <w:rPr>
          <w:rFonts w:cs="Times New Roman"/>
          <w:szCs w:val="22"/>
        </w:rPr>
        <w:t>].</w:t>
      </w:r>
    </w:p>
    <w:p w14:paraId="48DCB8F7" w14:textId="7DAF337A" w:rsidR="00AD7A13" w:rsidRPr="00626232" w:rsidRDefault="00AD7A13" w:rsidP="00F22466">
      <w:pPr>
        <w:pStyle w:val="ListParagraph"/>
        <w:numPr>
          <w:ilvl w:val="0"/>
          <w:numId w:val="8"/>
        </w:numPr>
        <w:spacing w:line="276" w:lineRule="auto"/>
        <w:rPr>
          <w:rFonts w:cs="Times New Roman"/>
        </w:rPr>
      </w:pPr>
      <w:r w:rsidRPr="00FF4F1B">
        <w:rPr>
          <w:rFonts w:cs="Times New Roman"/>
          <w:b/>
          <w:bCs/>
          <w:i/>
          <w:iCs/>
        </w:rPr>
        <w:t>Demand awareness</w:t>
      </w:r>
      <w:r w:rsidRPr="00626232">
        <w:rPr>
          <w:rFonts w:cs="Times New Roman"/>
        </w:rPr>
        <w:t xml:space="preserve">: </w:t>
      </w:r>
      <w:r w:rsidRPr="00626232">
        <w:rPr>
          <w:rFonts w:cs="Times New Roman"/>
          <w:color w:val="000000" w:themeColor="text1"/>
          <w:lang w:val="en-US"/>
        </w:rPr>
        <w:t>participants were asked to write down what they thought were the aims of the study</w:t>
      </w:r>
      <w:r w:rsidR="0051048A" w:rsidRPr="00626232">
        <w:rPr>
          <w:rFonts w:cs="Times New Roman"/>
          <w:color w:val="000000" w:themeColor="text1"/>
          <w:lang w:val="en-US"/>
        </w:rPr>
        <w:t xml:space="preserve"> [</w:t>
      </w:r>
      <w:r w:rsidR="00241D2E">
        <w:rPr>
          <w:rFonts w:cs="Times New Roman"/>
          <w:b/>
          <w:bCs/>
          <w:color w:val="000000" w:themeColor="text1"/>
          <w:lang w:val="en-US"/>
        </w:rPr>
        <w:t>A</w:t>
      </w:r>
      <w:r w:rsidR="0051048A" w:rsidRPr="00626232">
        <w:rPr>
          <w:rFonts w:cs="Times New Roman"/>
          <w:b/>
          <w:bCs/>
          <w:color w:val="000000" w:themeColor="text1"/>
          <w:lang w:val="en-US"/>
        </w:rPr>
        <w:t>im</w:t>
      </w:r>
      <w:r w:rsidR="00241D2E">
        <w:rPr>
          <w:rFonts w:cs="Times New Roman"/>
          <w:b/>
          <w:bCs/>
          <w:color w:val="000000" w:themeColor="text1"/>
          <w:lang w:val="en-US"/>
        </w:rPr>
        <w:t>s</w:t>
      </w:r>
      <w:r w:rsidR="0051048A" w:rsidRPr="00626232">
        <w:rPr>
          <w:rFonts w:cs="Times New Roman"/>
          <w:color w:val="000000" w:themeColor="text1"/>
          <w:lang w:val="en-US"/>
        </w:rPr>
        <w:t>]</w:t>
      </w:r>
      <w:r w:rsidR="00985AED" w:rsidRPr="00626232">
        <w:rPr>
          <w:rFonts w:cs="Times New Roman"/>
          <w:color w:val="000000" w:themeColor="text1"/>
          <w:lang w:val="en-US"/>
        </w:rPr>
        <w:t>.</w:t>
      </w:r>
      <w:r w:rsidR="00626232">
        <w:rPr>
          <w:rFonts w:cs="Times New Roman"/>
          <w:color w:val="000000" w:themeColor="text1"/>
          <w:lang w:val="en-US"/>
        </w:rPr>
        <w:t xml:space="preserve"> </w:t>
      </w:r>
    </w:p>
    <w:p w14:paraId="7F57E953" w14:textId="129CF729" w:rsidR="00241D2E" w:rsidRPr="00241D2E" w:rsidRDefault="00AD7A13" w:rsidP="00F22466">
      <w:pPr>
        <w:pStyle w:val="ListParagraph"/>
        <w:numPr>
          <w:ilvl w:val="0"/>
          <w:numId w:val="8"/>
        </w:numPr>
        <w:spacing w:line="276" w:lineRule="auto"/>
        <w:rPr>
          <w:strike/>
        </w:rPr>
      </w:pPr>
      <w:r w:rsidRPr="00FF4F1B">
        <w:rPr>
          <w:rFonts w:cs="Times New Roman"/>
          <w:b/>
          <w:bCs/>
          <w:i/>
          <w:iCs/>
          <w:color w:val="000000" w:themeColor="text1"/>
          <w:lang w:val="en-US"/>
        </w:rPr>
        <w:t>Friend familiarity</w:t>
      </w:r>
      <w:r w:rsidRPr="00241D2E">
        <w:rPr>
          <w:rFonts w:cs="Times New Roman"/>
          <w:color w:val="000000" w:themeColor="text1"/>
          <w:lang w:val="en-US"/>
        </w:rPr>
        <w:t xml:space="preserve">: </w:t>
      </w:r>
      <w:r w:rsidR="00241D2E" w:rsidRPr="004438E6">
        <w:rPr>
          <w:rFonts w:eastAsia="Times New Roman" w:cs="Times New Roman"/>
          <w:color w:val="000000" w:themeColor="text1"/>
          <w:lang w:eastAsia="en-GB"/>
        </w:rPr>
        <w:t>Participants were asked to write down how long they have known each of their friends with whom they had participated</w:t>
      </w:r>
      <w:r w:rsidR="00824610">
        <w:rPr>
          <w:rFonts w:eastAsia="Times New Roman" w:cs="Times New Roman"/>
          <w:color w:val="000000" w:themeColor="text1"/>
          <w:lang w:eastAsia="en-GB"/>
        </w:rPr>
        <w:t>. Friendship duration (in months) was averaged across the two friends [</w:t>
      </w:r>
      <w:proofErr w:type="spellStart"/>
      <w:r w:rsidR="00824610" w:rsidRPr="00824610">
        <w:rPr>
          <w:rFonts w:eastAsia="Times New Roman" w:cs="Times New Roman"/>
          <w:b/>
          <w:bCs/>
          <w:color w:val="000000" w:themeColor="text1"/>
          <w:lang w:eastAsia="en-GB"/>
        </w:rPr>
        <w:t>Average_Friend_Length</w:t>
      </w:r>
      <w:proofErr w:type="spellEnd"/>
      <w:r w:rsidR="00824610">
        <w:rPr>
          <w:rFonts w:eastAsia="Times New Roman" w:cs="Times New Roman"/>
          <w:color w:val="000000" w:themeColor="text1"/>
          <w:lang w:eastAsia="en-GB"/>
        </w:rPr>
        <w:t xml:space="preserve">]. Participants also rated </w:t>
      </w:r>
      <w:r w:rsidR="00241D2E" w:rsidRPr="004438E6">
        <w:rPr>
          <w:rFonts w:eastAsia="Times New Roman" w:cs="Times New Roman"/>
          <w:color w:val="000000" w:themeColor="text1"/>
          <w:lang w:eastAsia="en-GB"/>
        </w:rPr>
        <w:t xml:space="preserve">well they feel they know </w:t>
      </w:r>
      <w:r w:rsidR="00824610">
        <w:rPr>
          <w:rFonts w:eastAsia="Times New Roman" w:cs="Times New Roman"/>
          <w:color w:val="000000" w:themeColor="text1"/>
          <w:lang w:eastAsia="en-GB"/>
        </w:rPr>
        <w:t xml:space="preserve">each </w:t>
      </w:r>
      <w:r w:rsidR="00241D2E" w:rsidRPr="004438E6">
        <w:rPr>
          <w:rFonts w:eastAsia="Times New Roman" w:cs="Times New Roman"/>
          <w:color w:val="000000" w:themeColor="text1"/>
          <w:lang w:eastAsia="en-GB"/>
        </w:rPr>
        <w:t>friend (1-10 scale)</w:t>
      </w:r>
      <w:r w:rsidR="00265719">
        <w:rPr>
          <w:rFonts w:eastAsia="Times New Roman" w:cs="Times New Roman"/>
          <w:color w:val="000000" w:themeColor="text1"/>
          <w:lang w:eastAsia="en-GB"/>
        </w:rPr>
        <w:t xml:space="preserve">. </w:t>
      </w:r>
      <w:r w:rsidR="00DD56B3">
        <w:t>These ratings were averaged across both friends [</w:t>
      </w:r>
      <w:proofErr w:type="spellStart"/>
      <w:r w:rsidR="00DD56B3" w:rsidRPr="00DD56B3">
        <w:rPr>
          <w:b/>
          <w:bCs/>
        </w:rPr>
        <w:t>Friend_familiarity_av</w:t>
      </w:r>
      <w:proofErr w:type="spellEnd"/>
      <w:r w:rsidR="00DD56B3">
        <w:t xml:space="preserve">]. Friendship familiarity </w:t>
      </w:r>
      <w:r w:rsidR="00265719">
        <w:t xml:space="preserve">(i.e. average ‘how well’ ratings) </w:t>
      </w:r>
      <w:r w:rsidR="00DD56B3">
        <w:t>was mean-</w:t>
      </w:r>
      <w:proofErr w:type="spellStart"/>
      <w:r w:rsidR="00DD56B3">
        <w:t>centered</w:t>
      </w:r>
      <w:proofErr w:type="spellEnd"/>
      <w:r w:rsidR="00DD56B3">
        <w:t xml:space="preserve"> to</w:t>
      </w:r>
      <w:r w:rsidR="00265719">
        <w:t xml:space="preserve"> examine whether ratings moderated effects of condition on food intake during the lab session [</w:t>
      </w:r>
      <w:proofErr w:type="spellStart"/>
      <w:r w:rsidR="00265719" w:rsidRPr="00265719">
        <w:rPr>
          <w:b/>
          <w:bCs/>
        </w:rPr>
        <w:t>Familiarity_cent</w:t>
      </w:r>
      <w:proofErr w:type="spellEnd"/>
      <w:r w:rsidR="00265719">
        <w:t>].</w:t>
      </w:r>
    </w:p>
    <w:p w14:paraId="73FD2BCE" w14:textId="6592A2C4" w:rsidR="00626232" w:rsidRDefault="00CC224D" w:rsidP="00F22466">
      <w:pPr>
        <w:pStyle w:val="ListParagraph"/>
        <w:numPr>
          <w:ilvl w:val="0"/>
          <w:numId w:val="8"/>
        </w:numPr>
        <w:spacing w:line="276" w:lineRule="auto"/>
      </w:pPr>
      <w:r w:rsidRPr="00E65BF0">
        <w:rPr>
          <w:b/>
          <w:bCs/>
        </w:rPr>
        <w:t>Mood.</w:t>
      </w:r>
      <w:r>
        <w:t xml:space="preserve"> Consistent with the cover story, </w:t>
      </w:r>
      <w:r w:rsidR="00E65BF0">
        <w:rPr>
          <w:color w:val="262626"/>
        </w:rPr>
        <w:t>m</w:t>
      </w:r>
      <w:r w:rsidR="00770F44" w:rsidRPr="00E65BF0">
        <w:rPr>
          <w:color w:val="262626"/>
        </w:rPr>
        <w:t>ood assessments were taken using 100mm Visual Analogue Scales (VAS)</w:t>
      </w:r>
      <w:r w:rsidR="00ED7B07" w:rsidRPr="00E65BF0">
        <w:rPr>
          <w:color w:val="262626"/>
        </w:rPr>
        <w:t xml:space="preserve">. </w:t>
      </w:r>
      <w:r w:rsidR="00770F44" w:rsidRPr="00626232">
        <w:t>Each scale was anchored with ‘Not at all’ on the left and ‘Extremely’ on the right</w:t>
      </w:r>
      <w:r w:rsidR="00E65BF0">
        <w:t xml:space="preserve"> [</w:t>
      </w:r>
      <w:r w:rsidR="00E65BF0" w:rsidRPr="00FF4F1B">
        <w:rPr>
          <w:b/>
          <w:bCs/>
        </w:rPr>
        <w:t>Happy, Excited, Sociable, Anxious, Bored, Guilty</w:t>
      </w:r>
      <w:r w:rsidR="00E65BF0">
        <w:t>].</w:t>
      </w:r>
    </w:p>
    <w:p w14:paraId="20427FE4" w14:textId="77777777" w:rsidR="00FF4F1B" w:rsidRPr="00626232" w:rsidRDefault="00FF4F1B" w:rsidP="00F22466">
      <w:pPr>
        <w:pStyle w:val="ListParagraph"/>
        <w:numPr>
          <w:ilvl w:val="0"/>
          <w:numId w:val="8"/>
        </w:numPr>
        <w:spacing w:line="276" w:lineRule="auto"/>
        <w:rPr>
          <w:rFonts w:cs="Times New Roman"/>
        </w:rPr>
      </w:pPr>
      <w:r w:rsidRPr="00FF4F1B">
        <w:rPr>
          <w:rFonts w:cs="Times New Roman"/>
          <w:b/>
          <w:bCs/>
        </w:rPr>
        <w:t>Demographics:</w:t>
      </w:r>
      <w:r w:rsidRPr="00626232">
        <w:rPr>
          <w:rFonts w:cs="Times New Roman"/>
        </w:rPr>
        <w:t xml:space="preserve"> Age [</w:t>
      </w:r>
      <w:r w:rsidRPr="00626232">
        <w:rPr>
          <w:rFonts w:cs="Times New Roman"/>
          <w:b/>
          <w:bCs/>
        </w:rPr>
        <w:t>Age</w:t>
      </w:r>
      <w:r w:rsidRPr="00626232">
        <w:rPr>
          <w:rFonts w:cs="Times New Roman"/>
        </w:rPr>
        <w:t>], ethnicity [</w:t>
      </w:r>
      <w:r w:rsidRPr="00626232">
        <w:rPr>
          <w:rFonts w:cs="Times New Roman"/>
          <w:b/>
          <w:bCs/>
        </w:rPr>
        <w:t>Ethnicity</w:t>
      </w:r>
      <w:r w:rsidRPr="00626232">
        <w:rPr>
          <w:rFonts w:cs="Times New Roman"/>
        </w:rPr>
        <w:t>]</w:t>
      </w:r>
      <w:r>
        <w:rPr>
          <w:rFonts w:cs="Times New Roman"/>
        </w:rPr>
        <w:t>, Body mass index [</w:t>
      </w:r>
      <w:r>
        <w:rPr>
          <w:rFonts w:cs="Times New Roman"/>
          <w:b/>
          <w:bCs/>
        </w:rPr>
        <w:t>BMI].</w:t>
      </w:r>
    </w:p>
    <w:p w14:paraId="79D8AB8C" w14:textId="77777777" w:rsidR="0065781D" w:rsidRDefault="0065781D" w:rsidP="00792E8F">
      <w:pPr>
        <w:rPr>
          <w:rStyle w:val="Heading4Char"/>
          <w:rFonts w:cs="Times New Roman"/>
        </w:rPr>
      </w:pPr>
      <w:bookmarkStart w:id="0" w:name="_Hlk35000706"/>
    </w:p>
    <w:p w14:paraId="42151418" w14:textId="477829BC" w:rsidR="00D515A7" w:rsidRPr="008E1DD9" w:rsidRDefault="00A06C4C" w:rsidP="00D515A7">
      <w:pPr>
        <w:rPr>
          <w:rFonts w:cs="Times New Roman"/>
          <w:color w:val="262626"/>
        </w:rPr>
      </w:pPr>
      <w:r w:rsidRPr="00626232">
        <w:rPr>
          <w:rStyle w:val="Heading4Char"/>
          <w:rFonts w:cs="Times New Roman"/>
        </w:rPr>
        <w:t xml:space="preserve">Food </w:t>
      </w:r>
      <w:bookmarkEnd w:id="0"/>
    </w:p>
    <w:p w14:paraId="3C332B85" w14:textId="106E6CEE" w:rsidR="00D515A7" w:rsidRDefault="00D515A7" w:rsidP="00D515A7">
      <w:pPr>
        <w:rPr>
          <w:rFonts w:cs="Times New Roman"/>
          <w:color w:val="262626"/>
          <w:szCs w:val="22"/>
        </w:rPr>
      </w:pPr>
      <w:r w:rsidRPr="00AB6356">
        <w:rPr>
          <w:rFonts w:cs="Times New Roman"/>
          <w:color w:val="262626"/>
          <w:szCs w:val="22"/>
        </w:rPr>
        <w:t xml:space="preserve">Participants were provided with a buffet lunch comprising </w:t>
      </w:r>
      <w:r>
        <w:rPr>
          <w:rFonts w:cs="Times New Roman"/>
          <w:color w:val="262626"/>
          <w:szCs w:val="22"/>
        </w:rPr>
        <w:t>1952</w:t>
      </w:r>
      <w:r w:rsidRPr="00AB6356">
        <w:rPr>
          <w:rFonts w:cs="Times New Roman"/>
          <w:color w:val="262626"/>
          <w:szCs w:val="22"/>
        </w:rPr>
        <w:t xml:space="preserve"> calories </w:t>
      </w:r>
      <w:r>
        <w:rPr>
          <w:rFonts w:cs="Times New Roman"/>
          <w:color w:val="262626"/>
          <w:szCs w:val="22"/>
        </w:rPr>
        <w:t xml:space="preserve">and 85g fat. Table </w:t>
      </w:r>
      <w:r w:rsidR="00CC224D">
        <w:rPr>
          <w:rFonts w:cs="Times New Roman"/>
          <w:color w:val="262626"/>
          <w:szCs w:val="22"/>
        </w:rPr>
        <w:t>1</w:t>
      </w:r>
      <w:r>
        <w:rPr>
          <w:rFonts w:cs="Times New Roman"/>
          <w:color w:val="262626"/>
          <w:szCs w:val="22"/>
        </w:rPr>
        <w:t xml:space="preserve"> provides a full list of foods provided to each participant.</w:t>
      </w:r>
      <w:r w:rsidRPr="00AB6356">
        <w:rPr>
          <w:rFonts w:cs="Times New Roman"/>
          <w:color w:val="262626"/>
          <w:szCs w:val="22"/>
        </w:rPr>
        <w:t xml:space="preserve"> </w:t>
      </w:r>
      <w:r w:rsidR="0065781D">
        <w:rPr>
          <w:rFonts w:cs="Times New Roman"/>
          <w:color w:val="262626"/>
          <w:szCs w:val="22"/>
        </w:rPr>
        <w:t>Total calories consumed in the lab was calculated [</w:t>
      </w:r>
      <w:proofErr w:type="spellStart"/>
      <w:r w:rsidR="0065781D" w:rsidRPr="00721C3F">
        <w:rPr>
          <w:rFonts w:cs="Times New Roman"/>
          <w:b/>
          <w:bCs/>
          <w:color w:val="262626"/>
          <w:szCs w:val="22"/>
        </w:rPr>
        <w:t>Lab_kcals</w:t>
      </w:r>
      <w:proofErr w:type="spellEnd"/>
      <w:r w:rsidR="0065781D">
        <w:rPr>
          <w:rFonts w:cs="Times New Roman"/>
          <w:color w:val="262626"/>
          <w:szCs w:val="22"/>
        </w:rPr>
        <w:t>].</w:t>
      </w:r>
      <w:r w:rsidR="00721C3F">
        <w:rPr>
          <w:rFonts w:cs="Times New Roman"/>
          <w:color w:val="262626"/>
          <w:szCs w:val="22"/>
        </w:rPr>
        <w:t xml:space="preserve"> The amount consumed (in grams) of each food was also recorded [</w:t>
      </w:r>
      <w:proofErr w:type="spellStart"/>
      <w:r w:rsidR="00721C3F" w:rsidRPr="00721C3F">
        <w:rPr>
          <w:rFonts w:cs="Times New Roman"/>
          <w:b/>
          <w:bCs/>
          <w:color w:val="262626"/>
          <w:szCs w:val="22"/>
        </w:rPr>
        <w:t>Quiche_weight</w:t>
      </w:r>
      <w:proofErr w:type="spellEnd"/>
      <w:r w:rsidR="00721C3F" w:rsidRPr="00721C3F">
        <w:rPr>
          <w:rFonts w:cs="Times New Roman"/>
          <w:b/>
          <w:bCs/>
          <w:color w:val="262626"/>
          <w:szCs w:val="22"/>
        </w:rPr>
        <w:t xml:space="preserve">; </w:t>
      </w:r>
      <w:proofErr w:type="spellStart"/>
      <w:r w:rsidR="00721C3F" w:rsidRPr="00721C3F">
        <w:rPr>
          <w:rFonts w:cs="Times New Roman"/>
          <w:b/>
          <w:bCs/>
          <w:color w:val="262626"/>
          <w:szCs w:val="22"/>
        </w:rPr>
        <w:t>Crisps_</w:t>
      </w:r>
      <w:proofErr w:type="gramStart"/>
      <w:r w:rsidR="00721C3F" w:rsidRPr="00721C3F">
        <w:rPr>
          <w:rFonts w:cs="Times New Roman"/>
          <w:b/>
          <w:bCs/>
          <w:color w:val="262626"/>
          <w:szCs w:val="22"/>
        </w:rPr>
        <w:t>weight;Chocolate</w:t>
      </w:r>
      <w:proofErr w:type="gramEnd"/>
      <w:r w:rsidR="00721C3F" w:rsidRPr="00721C3F">
        <w:rPr>
          <w:rFonts w:cs="Times New Roman"/>
          <w:b/>
          <w:bCs/>
          <w:color w:val="262626"/>
          <w:szCs w:val="22"/>
        </w:rPr>
        <w:t>_weight</w:t>
      </w:r>
      <w:proofErr w:type="spellEnd"/>
      <w:r w:rsidR="00721C3F" w:rsidRPr="00721C3F">
        <w:rPr>
          <w:rFonts w:cs="Times New Roman"/>
          <w:b/>
          <w:bCs/>
          <w:color w:val="262626"/>
          <w:szCs w:val="22"/>
        </w:rPr>
        <w:t xml:space="preserve">; </w:t>
      </w:r>
      <w:proofErr w:type="spellStart"/>
      <w:r w:rsidR="00721C3F" w:rsidRPr="00721C3F">
        <w:rPr>
          <w:rFonts w:cs="Times New Roman"/>
          <w:b/>
          <w:bCs/>
          <w:color w:val="262626"/>
          <w:szCs w:val="22"/>
        </w:rPr>
        <w:t>Pizza_weight</w:t>
      </w:r>
      <w:proofErr w:type="spellEnd"/>
      <w:r w:rsidR="00721C3F" w:rsidRPr="00721C3F">
        <w:rPr>
          <w:rFonts w:cs="Times New Roman"/>
          <w:b/>
          <w:bCs/>
          <w:color w:val="262626"/>
          <w:szCs w:val="22"/>
        </w:rPr>
        <w:t xml:space="preserve">; </w:t>
      </w:r>
      <w:proofErr w:type="spellStart"/>
      <w:r w:rsidR="00721C3F" w:rsidRPr="00721C3F">
        <w:rPr>
          <w:rFonts w:cs="Times New Roman"/>
          <w:b/>
          <w:bCs/>
          <w:color w:val="262626"/>
          <w:szCs w:val="22"/>
        </w:rPr>
        <w:t>Brownies_weight_Flapjacks_weight</w:t>
      </w:r>
      <w:proofErr w:type="spellEnd"/>
      <w:r w:rsidR="00721C3F">
        <w:rPr>
          <w:rFonts w:cs="Times New Roman"/>
          <w:color w:val="262626"/>
          <w:szCs w:val="22"/>
        </w:rPr>
        <w:t>], and the total weight of food consumed in the lab was calculated [</w:t>
      </w:r>
      <w:proofErr w:type="spellStart"/>
      <w:r w:rsidR="00721C3F" w:rsidRPr="00721C3F">
        <w:rPr>
          <w:rFonts w:cs="Times New Roman"/>
          <w:b/>
          <w:bCs/>
          <w:color w:val="262626"/>
          <w:szCs w:val="22"/>
        </w:rPr>
        <w:t>Lab_weight_total</w:t>
      </w:r>
      <w:proofErr w:type="spellEnd"/>
      <w:r w:rsidR="00721C3F">
        <w:rPr>
          <w:rFonts w:cs="Times New Roman"/>
          <w:color w:val="262626"/>
          <w:szCs w:val="22"/>
        </w:rPr>
        <w:t>].</w:t>
      </w:r>
    </w:p>
    <w:p w14:paraId="7755A626" w14:textId="67E5E9C9" w:rsidR="00F22466" w:rsidRDefault="00F22466" w:rsidP="00D515A7">
      <w:pPr>
        <w:rPr>
          <w:rFonts w:cs="Times New Roman"/>
          <w:color w:val="262626"/>
          <w:szCs w:val="22"/>
        </w:rPr>
      </w:pPr>
    </w:p>
    <w:p w14:paraId="7A46B1B6" w14:textId="77777777" w:rsidR="008E1DD9" w:rsidRDefault="008E1DD9" w:rsidP="00D515A7">
      <w:pPr>
        <w:rPr>
          <w:rFonts w:cs="Times New Roman"/>
          <w:color w:val="262626"/>
          <w:szCs w:val="22"/>
        </w:rPr>
      </w:pPr>
    </w:p>
    <w:p w14:paraId="5AD616AC" w14:textId="6230A225" w:rsidR="00F22466" w:rsidRDefault="00F22466" w:rsidP="00D515A7">
      <w:pPr>
        <w:rPr>
          <w:rFonts w:cs="Times New Roman"/>
          <w:color w:val="262626"/>
          <w:szCs w:val="22"/>
        </w:rPr>
      </w:pPr>
    </w:p>
    <w:p w14:paraId="7EC9413A" w14:textId="77777777" w:rsidR="00F22466" w:rsidRDefault="00F22466" w:rsidP="00D515A7">
      <w:pPr>
        <w:rPr>
          <w:rFonts w:cs="Times New Roman"/>
          <w:color w:val="262626"/>
          <w:szCs w:val="22"/>
        </w:rPr>
      </w:pPr>
    </w:p>
    <w:p w14:paraId="12197074" w14:textId="77777777" w:rsidR="00D515A7" w:rsidRDefault="00D515A7" w:rsidP="00D515A7">
      <w:pPr>
        <w:rPr>
          <w:rFonts w:cs="Times New Roman"/>
          <w:color w:val="262626"/>
          <w:szCs w:val="22"/>
        </w:rPr>
      </w:pPr>
    </w:p>
    <w:p w14:paraId="74FBC22B" w14:textId="0BEC7702" w:rsidR="00D515A7" w:rsidRPr="00AB6356" w:rsidRDefault="00D515A7" w:rsidP="00D515A7">
      <w:pPr>
        <w:rPr>
          <w:rFonts w:cs="Times New Roman"/>
          <w:color w:val="262626"/>
          <w:szCs w:val="22"/>
        </w:rPr>
      </w:pPr>
      <w:r>
        <w:rPr>
          <w:rFonts w:cs="Times New Roman"/>
          <w:color w:val="262626"/>
          <w:szCs w:val="22"/>
        </w:rPr>
        <w:lastRenderedPageBreak/>
        <w:t xml:space="preserve">Table </w:t>
      </w:r>
      <w:r w:rsidR="00CC224D">
        <w:rPr>
          <w:rFonts w:cs="Times New Roman"/>
          <w:color w:val="262626"/>
          <w:szCs w:val="22"/>
        </w:rPr>
        <w:t>1</w:t>
      </w:r>
      <w:r>
        <w:rPr>
          <w:rFonts w:cs="Times New Roman"/>
          <w:color w:val="262626"/>
          <w:szCs w:val="22"/>
        </w:rPr>
        <w:t xml:space="preserve">. </w:t>
      </w:r>
      <w:r w:rsidRPr="000703E6">
        <w:rPr>
          <w:rFonts w:cs="Times New Roman"/>
          <w:i/>
          <w:iCs/>
          <w:color w:val="262626"/>
          <w:szCs w:val="22"/>
        </w:rPr>
        <w:t>Foods provided during the buffet lunch (per participant).</w:t>
      </w:r>
    </w:p>
    <w:tbl>
      <w:tblPr>
        <w:tblStyle w:val="PlainTable2"/>
        <w:tblW w:w="9582" w:type="dxa"/>
        <w:tblLook w:val="04A0" w:firstRow="1" w:lastRow="0" w:firstColumn="1" w:lastColumn="0" w:noHBand="0" w:noVBand="1"/>
      </w:tblPr>
      <w:tblGrid>
        <w:gridCol w:w="3969"/>
        <w:gridCol w:w="1624"/>
        <w:gridCol w:w="2062"/>
        <w:gridCol w:w="1927"/>
      </w:tblGrid>
      <w:tr w:rsidR="00D515A7" w:rsidRPr="000703E6" w14:paraId="6ADC5479" w14:textId="77777777" w:rsidTr="005D47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7954D604" w14:textId="77777777" w:rsidR="00D515A7" w:rsidRPr="000703E6" w:rsidRDefault="00D515A7" w:rsidP="005D471B">
            <w:pPr>
              <w:rPr>
                <w:rFonts w:cs="Times New Roman"/>
                <w:color w:val="262626"/>
                <w:sz w:val="18"/>
                <w:szCs w:val="18"/>
              </w:rPr>
            </w:pPr>
          </w:p>
        </w:tc>
        <w:tc>
          <w:tcPr>
            <w:tcW w:w="1624" w:type="dxa"/>
          </w:tcPr>
          <w:p w14:paraId="46A354F5" w14:textId="77777777" w:rsidR="00D515A7" w:rsidRPr="000703E6" w:rsidRDefault="00D515A7" w:rsidP="005D471B">
            <w:pPr>
              <w:cnfStyle w:val="100000000000" w:firstRow="1" w:lastRow="0" w:firstColumn="0" w:lastColumn="0" w:oddVBand="0" w:evenVBand="0" w:oddHBand="0"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Portion size</w:t>
            </w:r>
          </w:p>
        </w:tc>
        <w:tc>
          <w:tcPr>
            <w:tcW w:w="2062" w:type="dxa"/>
          </w:tcPr>
          <w:p w14:paraId="02FF1E70" w14:textId="77777777" w:rsidR="00D515A7" w:rsidRPr="000703E6" w:rsidRDefault="00D515A7" w:rsidP="005D471B">
            <w:pPr>
              <w:cnfStyle w:val="100000000000" w:firstRow="1" w:lastRow="0" w:firstColumn="0" w:lastColumn="0" w:oddVBand="0" w:evenVBand="0" w:oddHBand="0"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Calories (per 100g)</w:t>
            </w:r>
          </w:p>
        </w:tc>
        <w:tc>
          <w:tcPr>
            <w:tcW w:w="1927" w:type="dxa"/>
          </w:tcPr>
          <w:p w14:paraId="103F6397" w14:textId="77777777" w:rsidR="00D515A7" w:rsidRPr="000703E6" w:rsidRDefault="00D515A7" w:rsidP="005D471B">
            <w:pPr>
              <w:cnfStyle w:val="100000000000" w:firstRow="1" w:lastRow="0" w:firstColumn="0" w:lastColumn="0" w:oddVBand="0" w:evenVBand="0" w:oddHBand="0"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Fat (per 100g)</w:t>
            </w:r>
          </w:p>
        </w:tc>
      </w:tr>
      <w:tr w:rsidR="00D515A7" w:rsidRPr="000703E6" w14:paraId="525097D7" w14:textId="77777777" w:rsidTr="005D47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nil"/>
              <w:right w:val="nil"/>
            </w:tcBorders>
          </w:tcPr>
          <w:p w14:paraId="21A194C7" w14:textId="77777777" w:rsidR="00D515A7" w:rsidRPr="000703E6" w:rsidRDefault="00D515A7" w:rsidP="005D471B">
            <w:pPr>
              <w:rPr>
                <w:rFonts w:cs="Times New Roman"/>
                <w:color w:val="262626"/>
                <w:sz w:val="18"/>
                <w:szCs w:val="18"/>
              </w:rPr>
            </w:pPr>
            <w:r w:rsidRPr="000703E6">
              <w:rPr>
                <w:rFonts w:cs="Times New Roman"/>
                <w:color w:val="262626"/>
                <w:sz w:val="18"/>
                <w:szCs w:val="18"/>
              </w:rPr>
              <w:t>Tesco cheese &amp; onion quiche</w:t>
            </w:r>
          </w:p>
        </w:tc>
        <w:tc>
          <w:tcPr>
            <w:tcW w:w="1624" w:type="dxa"/>
            <w:tcBorders>
              <w:left w:val="nil"/>
              <w:bottom w:val="nil"/>
              <w:right w:val="nil"/>
            </w:tcBorders>
          </w:tcPr>
          <w:p w14:paraId="4ED562A5" w14:textId="77777777" w:rsidR="00D515A7" w:rsidRPr="000703E6" w:rsidRDefault="00D515A7" w:rsidP="005D471B">
            <w:pPr>
              <w:cnfStyle w:val="000000100000" w:firstRow="0" w:lastRow="0" w:firstColumn="0" w:lastColumn="0" w:oddVBand="0" w:evenVBand="0" w:oddHBand="1"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200g</w:t>
            </w:r>
          </w:p>
        </w:tc>
        <w:tc>
          <w:tcPr>
            <w:tcW w:w="2062" w:type="dxa"/>
            <w:tcBorders>
              <w:left w:val="nil"/>
              <w:bottom w:val="nil"/>
              <w:right w:val="nil"/>
            </w:tcBorders>
          </w:tcPr>
          <w:p w14:paraId="6B36314D" w14:textId="77777777" w:rsidR="00D515A7" w:rsidRPr="000703E6" w:rsidRDefault="00D515A7" w:rsidP="005D471B">
            <w:pPr>
              <w:cnfStyle w:val="000000100000" w:firstRow="0" w:lastRow="0" w:firstColumn="0" w:lastColumn="0" w:oddVBand="0" w:evenVBand="0" w:oddHBand="1"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262</w:t>
            </w:r>
          </w:p>
        </w:tc>
        <w:tc>
          <w:tcPr>
            <w:tcW w:w="1927" w:type="dxa"/>
            <w:tcBorders>
              <w:left w:val="nil"/>
              <w:bottom w:val="nil"/>
            </w:tcBorders>
          </w:tcPr>
          <w:p w14:paraId="190E3D41" w14:textId="77777777" w:rsidR="00D515A7" w:rsidRPr="000703E6" w:rsidRDefault="00D515A7" w:rsidP="005D471B">
            <w:pPr>
              <w:cnfStyle w:val="000000100000" w:firstRow="0" w:lastRow="0" w:firstColumn="0" w:lastColumn="0" w:oddVBand="0" w:evenVBand="0" w:oddHBand="1"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17.4</w:t>
            </w:r>
            <w:r>
              <w:rPr>
                <w:rFonts w:cs="Times New Roman"/>
                <w:color w:val="262626"/>
                <w:sz w:val="18"/>
                <w:szCs w:val="18"/>
              </w:rPr>
              <w:t>g</w:t>
            </w:r>
          </w:p>
        </w:tc>
      </w:tr>
      <w:tr w:rsidR="00D515A7" w:rsidRPr="000703E6" w14:paraId="4812F2DE" w14:textId="77777777" w:rsidTr="005D471B">
        <w:tc>
          <w:tcPr>
            <w:cnfStyle w:val="001000000000" w:firstRow="0" w:lastRow="0" w:firstColumn="1" w:lastColumn="0" w:oddVBand="0" w:evenVBand="0" w:oddHBand="0" w:evenHBand="0" w:firstRowFirstColumn="0" w:firstRowLastColumn="0" w:lastRowFirstColumn="0" w:lastRowLastColumn="0"/>
            <w:tcW w:w="3969" w:type="dxa"/>
            <w:tcBorders>
              <w:top w:val="nil"/>
              <w:bottom w:val="nil"/>
              <w:right w:val="nil"/>
            </w:tcBorders>
          </w:tcPr>
          <w:p w14:paraId="78DDF9E7" w14:textId="77777777" w:rsidR="00D515A7" w:rsidRPr="000703E6" w:rsidRDefault="00D515A7" w:rsidP="005D471B">
            <w:pPr>
              <w:rPr>
                <w:rFonts w:cs="Times New Roman"/>
                <w:color w:val="262626"/>
                <w:sz w:val="18"/>
                <w:szCs w:val="18"/>
              </w:rPr>
            </w:pPr>
            <w:r w:rsidRPr="000703E6">
              <w:rPr>
                <w:rFonts w:cs="Times New Roman"/>
                <w:color w:val="262626"/>
                <w:sz w:val="18"/>
                <w:szCs w:val="18"/>
              </w:rPr>
              <w:t xml:space="preserve">Tesco salted crisps </w:t>
            </w:r>
          </w:p>
        </w:tc>
        <w:tc>
          <w:tcPr>
            <w:tcW w:w="1624" w:type="dxa"/>
            <w:tcBorders>
              <w:top w:val="nil"/>
              <w:left w:val="nil"/>
              <w:bottom w:val="nil"/>
              <w:right w:val="nil"/>
            </w:tcBorders>
          </w:tcPr>
          <w:p w14:paraId="76C91B36" w14:textId="77777777" w:rsidR="00D515A7" w:rsidRPr="000703E6" w:rsidRDefault="00D515A7" w:rsidP="005D471B">
            <w:pPr>
              <w:cnfStyle w:val="000000000000" w:firstRow="0" w:lastRow="0" w:firstColumn="0" w:lastColumn="0" w:oddVBand="0" w:evenVBand="0" w:oddHBand="0"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25g</w:t>
            </w:r>
          </w:p>
        </w:tc>
        <w:tc>
          <w:tcPr>
            <w:tcW w:w="2062" w:type="dxa"/>
            <w:tcBorders>
              <w:top w:val="nil"/>
              <w:left w:val="nil"/>
              <w:bottom w:val="nil"/>
              <w:right w:val="nil"/>
            </w:tcBorders>
          </w:tcPr>
          <w:p w14:paraId="1C25D00B" w14:textId="77777777" w:rsidR="00D515A7" w:rsidRPr="000703E6" w:rsidRDefault="00D515A7" w:rsidP="005D471B">
            <w:pPr>
              <w:cnfStyle w:val="000000000000" w:firstRow="0" w:lastRow="0" w:firstColumn="0" w:lastColumn="0" w:oddVBand="0" w:evenVBand="0" w:oddHBand="0"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544</w:t>
            </w:r>
          </w:p>
        </w:tc>
        <w:tc>
          <w:tcPr>
            <w:tcW w:w="1927" w:type="dxa"/>
            <w:tcBorders>
              <w:top w:val="nil"/>
              <w:left w:val="nil"/>
              <w:bottom w:val="nil"/>
            </w:tcBorders>
          </w:tcPr>
          <w:p w14:paraId="71AAFF59" w14:textId="77777777" w:rsidR="00D515A7" w:rsidRPr="000703E6" w:rsidRDefault="00D515A7" w:rsidP="005D471B">
            <w:pPr>
              <w:cnfStyle w:val="000000000000" w:firstRow="0" w:lastRow="0" w:firstColumn="0" w:lastColumn="0" w:oddVBand="0" w:evenVBand="0" w:oddHBand="0"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33.2</w:t>
            </w:r>
            <w:r>
              <w:rPr>
                <w:rFonts w:cs="Times New Roman"/>
                <w:color w:val="262626"/>
                <w:sz w:val="18"/>
                <w:szCs w:val="18"/>
              </w:rPr>
              <w:t>g</w:t>
            </w:r>
          </w:p>
        </w:tc>
      </w:tr>
      <w:tr w:rsidR="00D515A7" w:rsidRPr="000703E6" w14:paraId="4C02E0C6" w14:textId="77777777" w:rsidTr="005D47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il"/>
              <w:bottom w:val="nil"/>
              <w:right w:val="nil"/>
            </w:tcBorders>
          </w:tcPr>
          <w:p w14:paraId="19FBFA1B" w14:textId="77777777" w:rsidR="00D515A7" w:rsidRPr="000703E6" w:rsidRDefault="00D515A7" w:rsidP="005D471B">
            <w:pPr>
              <w:rPr>
                <w:rFonts w:cs="Times New Roman"/>
                <w:color w:val="262626"/>
                <w:sz w:val="18"/>
                <w:szCs w:val="18"/>
              </w:rPr>
            </w:pPr>
            <w:r w:rsidRPr="000703E6">
              <w:rPr>
                <w:rFonts w:cs="Times New Roman"/>
                <w:color w:val="262626"/>
                <w:sz w:val="18"/>
                <w:szCs w:val="18"/>
              </w:rPr>
              <w:t>Cadburys dairy milk chocolate buttons</w:t>
            </w:r>
          </w:p>
        </w:tc>
        <w:tc>
          <w:tcPr>
            <w:tcW w:w="1624" w:type="dxa"/>
            <w:tcBorders>
              <w:top w:val="nil"/>
              <w:left w:val="nil"/>
              <w:bottom w:val="nil"/>
              <w:right w:val="nil"/>
            </w:tcBorders>
          </w:tcPr>
          <w:p w14:paraId="72B68DE9" w14:textId="77777777" w:rsidR="00D515A7" w:rsidRPr="000703E6" w:rsidRDefault="00D515A7" w:rsidP="005D471B">
            <w:pPr>
              <w:cnfStyle w:val="000000100000" w:firstRow="0" w:lastRow="0" w:firstColumn="0" w:lastColumn="0" w:oddVBand="0" w:evenVBand="0" w:oddHBand="1"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60g</w:t>
            </w:r>
          </w:p>
        </w:tc>
        <w:tc>
          <w:tcPr>
            <w:tcW w:w="2062" w:type="dxa"/>
            <w:tcBorders>
              <w:top w:val="nil"/>
              <w:left w:val="nil"/>
              <w:bottom w:val="nil"/>
              <w:right w:val="nil"/>
            </w:tcBorders>
          </w:tcPr>
          <w:p w14:paraId="606F1502" w14:textId="77777777" w:rsidR="00D515A7" w:rsidRPr="000703E6" w:rsidRDefault="00D515A7" w:rsidP="005D471B">
            <w:pPr>
              <w:cnfStyle w:val="000000100000" w:firstRow="0" w:lastRow="0" w:firstColumn="0" w:lastColumn="0" w:oddVBand="0" w:evenVBand="0" w:oddHBand="1"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535</w:t>
            </w:r>
          </w:p>
        </w:tc>
        <w:tc>
          <w:tcPr>
            <w:tcW w:w="1927" w:type="dxa"/>
            <w:tcBorders>
              <w:top w:val="nil"/>
              <w:left w:val="nil"/>
              <w:bottom w:val="nil"/>
            </w:tcBorders>
          </w:tcPr>
          <w:p w14:paraId="2085E730" w14:textId="77777777" w:rsidR="00D515A7" w:rsidRPr="000703E6" w:rsidRDefault="00D515A7" w:rsidP="005D471B">
            <w:pPr>
              <w:cnfStyle w:val="000000100000" w:firstRow="0" w:lastRow="0" w:firstColumn="0" w:lastColumn="0" w:oddVBand="0" w:evenVBand="0" w:oddHBand="1"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30.0</w:t>
            </w:r>
            <w:r>
              <w:rPr>
                <w:rFonts w:cs="Times New Roman"/>
                <w:color w:val="262626"/>
                <w:sz w:val="18"/>
                <w:szCs w:val="18"/>
              </w:rPr>
              <w:t>g</w:t>
            </w:r>
          </w:p>
        </w:tc>
      </w:tr>
      <w:tr w:rsidR="00D515A7" w:rsidRPr="000703E6" w14:paraId="29931697" w14:textId="77777777" w:rsidTr="005D471B">
        <w:tc>
          <w:tcPr>
            <w:cnfStyle w:val="001000000000" w:firstRow="0" w:lastRow="0" w:firstColumn="1" w:lastColumn="0" w:oddVBand="0" w:evenVBand="0" w:oddHBand="0" w:evenHBand="0" w:firstRowFirstColumn="0" w:firstRowLastColumn="0" w:lastRowFirstColumn="0" w:lastRowLastColumn="0"/>
            <w:tcW w:w="3969" w:type="dxa"/>
            <w:tcBorders>
              <w:top w:val="nil"/>
              <w:bottom w:val="nil"/>
              <w:right w:val="nil"/>
            </w:tcBorders>
          </w:tcPr>
          <w:p w14:paraId="2575D895" w14:textId="77777777" w:rsidR="00D515A7" w:rsidRPr="000703E6" w:rsidRDefault="00D515A7" w:rsidP="005D471B">
            <w:pPr>
              <w:rPr>
                <w:rFonts w:cs="Times New Roman"/>
                <w:color w:val="262626"/>
                <w:sz w:val="18"/>
                <w:szCs w:val="18"/>
              </w:rPr>
            </w:pPr>
            <w:r w:rsidRPr="000703E6">
              <w:rPr>
                <w:rFonts w:cs="Times New Roman"/>
                <w:color w:val="262626"/>
                <w:sz w:val="18"/>
                <w:szCs w:val="18"/>
              </w:rPr>
              <w:t xml:space="preserve">Tesco stuffed crust cheese pizza </w:t>
            </w:r>
          </w:p>
        </w:tc>
        <w:tc>
          <w:tcPr>
            <w:tcW w:w="1624" w:type="dxa"/>
            <w:tcBorders>
              <w:top w:val="nil"/>
              <w:left w:val="nil"/>
              <w:bottom w:val="nil"/>
              <w:right w:val="nil"/>
            </w:tcBorders>
          </w:tcPr>
          <w:p w14:paraId="35029F00" w14:textId="77777777" w:rsidR="00D515A7" w:rsidRPr="000703E6" w:rsidRDefault="00D515A7" w:rsidP="005D471B">
            <w:pPr>
              <w:cnfStyle w:val="000000000000" w:firstRow="0" w:lastRow="0" w:firstColumn="0" w:lastColumn="0" w:oddVBand="0" w:evenVBand="0" w:oddHBand="0"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215g</w:t>
            </w:r>
          </w:p>
        </w:tc>
        <w:tc>
          <w:tcPr>
            <w:tcW w:w="2062" w:type="dxa"/>
            <w:tcBorders>
              <w:top w:val="nil"/>
              <w:left w:val="nil"/>
              <w:bottom w:val="nil"/>
              <w:right w:val="nil"/>
            </w:tcBorders>
          </w:tcPr>
          <w:p w14:paraId="409A98CB" w14:textId="77777777" w:rsidR="00D515A7" w:rsidRPr="000703E6" w:rsidRDefault="00D515A7" w:rsidP="005D471B">
            <w:pPr>
              <w:cnfStyle w:val="000000000000" w:firstRow="0" w:lastRow="0" w:firstColumn="0" w:lastColumn="0" w:oddVBand="0" w:evenVBand="0" w:oddHBand="0"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256</w:t>
            </w:r>
          </w:p>
        </w:tc>
        <w:tc>
          <w:tcPr>
            <w:tcW w:w="1927" w:type="dxa"/>
            <w:tcBorders>
              <w:top w:val="nil"/>
              <w:left w:val="nil"/>
              <w:bottom w:val="nil"/>
            </w:tcBorders>
          </w:tcPr>
          <w:p w14:paraId="05E47CC4" w14:textId="77777777" w:rsidR="00D515A7" w:rsidRPr="000703E6" w:rsidRDefault="00D515A7" w:rsidP="005D471B">
            <w:pPr>
              <w:cnfStyle w:val="000000000000" w:firstRow="0" w:lastRow="0" w:firstColumn="0" w:lastColumn="0" w:oddVBand="0" w:evenVBand="0" w:oddHBand="0"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8.7</w:t>
            </w:r>
            <w:r>
              <w:rPr>
                <w:rFonts w:cs="Times New Roman"/>
                <w:color w:val="262626"/>
                <w:sz w:val="18"/>
                <w:szCs w:val="18"/>
              </w:rPr>
              <w:t>g</w:t>
            </w:r>
          </w:p>
        </w:tc>
      </w:tr>
      <w:tr w:rsidR="00D515A7" w:rsidRPr="000703E6" w14:paraId="6236EA31" w14:textId="77777777" w:rsidTr="005D47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il"/>
              <w:bottom w:val="nil"/>
              <w:right w:val="nil"/>
            </w:tcBorders>
          </w:tcPr>
          <w:p w14:paraId="0AD658DB" w14:textId="77777777" w:rsidR="00D515A7" w:rsidRPr="000703E6" w:rsidRDefault="00D515A7" w:rsidP="005D471B">
            <w:pPr>
              <w:rPr>
                <w:rFonts w:cs="Times New Roman"/>
                <w:color w:val="262626"/>
                <w:sz w:val="18"/>
                <w:szCs w:val="18"/>
              </w:rPr>
            </w:pPr>
            <w:r w:rsidRPr="000703E6">
              <w:rPr>
                <w:rFonts w:cs="Times New Roman"/>
                <w:color w:val="262626"/>
                <w:sz w:val="18"/>
                <w:szCs w:val="18"/>
              </w:rPr>
              <w:t>Brownies</w:t>
            </w:r>
          </w:p>
        </w:tc>
        <w:tc>
          <w:tcPr>
            <w:tcW w:w="1624" w:type="dxa"/>
            <w:tcBorders>
              <w:top w:val="nil"/>
              <w:left w:val="nil"/>
              <w:bottom w:val="nil"/>
              <w:right w:val="nil"/>
            </w:tcBorders>
          </w:tcPr>
          <w:p w14:paraId="5C1B6D4C" w14:textId="77777777" w:rsidR="00D515A7" w:rsidRPr="000703E6" w:rsidRDefault="00D515A7" w:rsidP="005D471B">
            <w:pPr>
              <w:cnfStyle w:val="000000100000" w:firstRow="0" w:lastRow="0" w:firstColumn="0" w:lastColumn="0" w:oddVBand="0" w:evenVBand="0" w:oddHBand="1"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50g</w:t>
            </w:r>
          </w:p>
        </w:tc>
        <w:tc>
          <w:tcPr>
            <w:tcW w:w="2062" w:type="dxa"/>
            <w:tcBorders>
              <w:top w:val="nil"/>
              <w:left w:val="nil"/>
              <w:bottom w:val="nil"/>
              <w:right w:val="nil"/>
            </w:tcBorders>
          </w:tcPr>
          <w:p w14:paraId="233CEF1A" w14:textId="77777777" w:rsidR="00D515A7" w:rsidRPr="000703E6" w:rsidRDefault="00D515A7" w:rsidP="005D471B">
            <w:pPr>
              <w:cnfStyle w:val="000000100000" w:firstRow="0" w:lastRow="0" w:firstColumn="0" w:lastColumn="0" w:oddVBand="0" w:evenVBand="0" w:oddHBand="1"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394</w:t>
            </w:r>
          </w:p>
        </w:tc>
        <w:tc>
          <w:tcPr>
            <w:tcW w:w="1927" w:type="dxa"/>
            <w:tcBorders>
              <w:top w:val="nil"/>
              <w:left w:val="nil"/>
              <w:bottom w:val="nil"/>
            </w:tcBorders>
          </w:tcPr>
          <w:p w14:paraId="73AD80E6" w14:textId="77777777" w:rsidR="00D515A7" w:rsidRPr="000703E6" w:rsidRDefault="00D515A7" w:rsidP="005D471B">
            <w:pPr>
              <w:cnfStyle w:val="000000100000" w:firstRow="0" w:lastRow="0" w:firstColumn="0" w:lastColumn="0" w:oddVBand="0" w:evenVBand="0" w:oddHBand="1"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15.0</w:t>
            </w:r>
            <w:r>
              <w:rPr>
                <w:rFonts w:cs="Times New Roman"/>
                <w:color w:val="262626"/>
                <w:sz w:val="18"/>
                <w:szCs w:val="18"/>
              </w:rPr>
              <w:t>g</w:t>
            </w:r>
          </w:p>
        </w:tc>
      </w:tr>
      <w:tr w:rsidR="00D515A7" w:rsidRPr="000703E6" w14:paraId="098F0010" w14:textId="77777777" w:rsidTr="005D471B">
        <w:tc>
          <w:tcPr>
            <w:cnfStyle w:val="001000000000" w:firstRow="0" w:lastRow="0" w:firstColumn="1" w:lastColumn="0" w:oddVBand="0" w:evenVBand="0" w:oddHBand="0" w:evenHBand="0" w:firstRowFirstColumn="0" w:firstRowLastColumn="0" w:lastRowFirstColumn="0" w:lastRowLastColumn="0"/>
            <w:tcW w:w="3969" w:type="dxa"/>
            <w:tcBorders>
              <w:top w:val="nil"/>
              <w:bottom w:val="single" w:sz="4" w:space="0" w:color="7F7F7F" w:themeColor="text1" w:themeTint="80"/>
              <w:right w:val="nil"/>
            </w:tcBorders>
          </w:tcPr>
          <w:p w14:paraId="6FC356B4" w14:textId="77777777" w:rsidR="00D515A7" w:rsidRPr="000703E6" w:rsidRDefault="00D515A7" w:rsidP="005D471B">
            <w:pPr>
              <w:rPr>
                <w:rFonts w:cs="Times New Roman"/>
                <w:color w:val="262626"/>
                <w:sz w:val="18"/>
                <w:szCs w:val="18"/>
              </w:rPr>
            </w:pPr>
            <w:r w:rsidRPr="000703E6">
              <w:rPr>
                <w:rFonts w:cs="Times New Roman"/>
                <w:color w:val="262626"/>
                <w:sz w:val="18"/>
                <w:szCs w:val="18"/>
              </w:rPr>
              <w:t xml:space="preserve">Flapjacks </w:t>
            </w:r>
          </w:p>
        </w:tc>
        <w:tc>
          <w:tcPr>
            <w:tcW w:w="1624" w:type="dxa"/>
            <w:tcBorders>
              <w:top w:val="nil"/>
              <w:left w:val="nil"/>
              <w:bottom w:val="single" w:sz="4" w:space="0" w:color="7F7F7F" w:themeColor="text1" w:themeTint="80"/>
              <w:right w:val="nil"/>
            </w:tcBorders>
          </w:tcPr>
          <w:p w14:paraId="33E22FBA" w14:textId="77777777" w:rsidR="00D515A7" w:rsidRPr="000703E6" w:rsidRDefault="00D515A7" w:rsidP="005D471B">
            <w:pPr>
              <w:cnfStyle w:val="000000000000" w:firstRow="0" w:lastRow="0" w:firstColumn="0" w:lastColumn="0" w:oddVBand="0" w:evenVBand="0" w:oddHBand="0"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50g</w:t>
            </w:r>
          </w:p>
        </w:tc>
        <w:tc>
          <w:tcPr>
            <w:tcW w:w="2062" w:type="dxa"/>
            <w:tcBorders>
              <w:top w:val="nil"/>
              <w:left w:val="nil"/>
              <w:bottom w:val="single" w:sz="4" w:space="0" w:color="7F7F7F" w:themeColor="text1" w:themeTint="80"/>
              <w:right w:val="nil"/>
            </w:tcBorders>
          </w:tcPr>
          <w:p w14:paraId="074DC1A0" w14:textId="77777777" w:rsidR="00D515A7" w:rsidRPr="000703E6" w:rsidRDefault="00D515A7" w:rsidP="005D471B">
            <w:pPr>
              <w:cnfStyle w:val="000000000000" w:firstRow="0" w:lastRow="0" w:firstColumn="0" w:lastColumn="0" w:oddVBand="0" w:evenVBand="0" w:oddHBand="0"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449</w:t>
            </w:r>
          </w:p>
        </w:tc>
        <w:tc>
          <w:tcPr>
            <w:tcW w:w="1927" w:type="dxa"/>
            <w:tcBorders>
              <w:top w:val="nil"/>
              <w:left w:val="nil"/>
              <w:bottom w:val="single" w:sz="4" w:space="0" w:color="7F7F7F" w:themeColor="text1" w:themeTint="80"/>
            </w:tcBorders>
          </w:tcPr>
          <w:p w14:paraId="4D09BC70" w14:textId="77777777" w:rsidR="00D515A7" w:rsidRPr="000703E6" w:rsidRDefault="00D515A7" w:rsidP="005D471B">
            <w:pPr>
              <w:cnfStyle w:val="000000000000" w:firstRow="0" w:lastRow="0" w:firstColumn="0" w:lastColumn="0" w:oddVBand="0" w:evenVBand="0" w:oddHBand="0" w:evenHBand="0" w:firstRowFirstColumn="0" w:firstRowLastColumn="0" w:lastRowFirstColumn="0" w:lastRowLastColumn="0"/>
              <w:rPr>
                <w:rFonts w:cs="Times New Roman"/>
                <w:color w:val="262626"/>
                <w:sz w:val="18"/>
                <w:szCs w:val="18"/>
              </w:rPr>
            </w:pPr>
            <w:r w:rsidRPr="000703E6">
              <w:rPr>
                <w:rFonts w:cs="Times New Roman"/>
                <w:color w:val="262626"/>
                <w:sz w:val="18"/>
                <w:szCs w:val="18"/>
              </w:rPr>
              <w:t>22.1</w:t>
            </w:r>
            <w:r>
              <w:rPr>
                <w:rFonts w:cs="Times New Roman"/>
                <w:color w:val="262626"/>
                <w:sz w:val="18"/>
                <w:szCs w:val="18"/>
              </w:rPr>
              <w:t>g</w:t>
            </w:r>
          </w:p>
        </w:tc>
      </w:tr>
    </w:tbl>
    <w:p w14:paraId="4E022474" w14:textId="4167F4ED" w:rsidR="00D515A7" w:rsidRDefault="00D515A7" w:rsidP="00D515A7">
      <w:pPr>
        <w:rPr>
          <w:rFonts w:cs="Times New Roman"/>
          <w:color w:val="262626"/>
          <w:szCs w:val="22"/>
        </w:rPr>
      </w:pPr>
    </w:p>
    <w:p w14:paraId="27E91077" w14:textId="77777777" w:rsidR="0065781D" w:rsidRPr="00AB6356" w:rsidRDefault="0065781D" w:rsidP="0065781D">
      <w:pPr>
        <w:pStyle w:val="NormalWeb"/>
        <w:ind w:firstLine="0"/>
        <w:rPr>
          <w:i/>
          <w:iCs/>
          <w:color w:val="000000" w:themeColor="text1"/>
          <w:szCs w:val="22"/>
        </w:rPr>
      </w:pPr>
      <w:r w:rsidRPr="00AB6356">
        <w:rPr>
          <w:i/>
          <w:iCs/>
          <w:color w:val="000000" w:themeColor="text1"/>
          <w:szCs w:val="22"/>
        </w:rPr>
        <w:t>Food diary</w:t>
      </w:r>
    </w:p>
    <w:p w14:paraId="332967C5" w14:textId="08F1273B" w:rsidR="0065781D" w:rsidRDefault="0065781D" w:rsidP="0065781D">
      <w:pPr>
        <w:pStyle w:val="NormalWeb"/>
      </w:pPr>
      <w:r w:rsidRPr="00AB6356">
        <w:rPr>
          <w:color w:val="000000" w:themeColor="text1"/>
          <w:szCs w:val="22"/>
        </w:rPr>
        <w:t xml:space="preserve">Participants recorded everything that they ate and drank for the 4 days following their initial lab session, using MyFood24 </w:t>
      </w:r>
      <w:r w:rsidRPr="00E8153F">
        <w:rPr>
          <w:color w:val="000000" w:themeColor="text1"/>
          <w:szCs w:val="22"/>
        </w:rPr>
        <w:t>software (</w:t>
      </w:r>
      <w:r w:rsidRPr="00E8153F">
        <w:rPr>
          <w:color w:val="000000" w:themeColor="text1"/>
          <w:szCs w:val="22"/>
          <w:shd w:val="clear" w:color="auto" w:fill="FFFFFF"/>
        </w:rPr>
        <w:t>version 1.0, 2016, University of Leeds, Leeds, UK</w:t>
      </w:r>
      <w:r w:rsidRPr="00E8153F">
        <w:rPr>
          <w:color w:val="000000" w:themeColor="text1"/>
          <w:szCs w:val="22"/>
        </w:rPr>
        <w:t xml:space="preserve">). </w:t>
      </w:r>
      <w:r>
        <w:t xml:space="preserve">Due to high alcohol intake within student populations, calories consumed from alcohol were not included in the main </w:t>
      </w:r>
      <w:r w:rsidRPr="00AD5C1E">
        <w:t>analyses</w:t>
      </w:r>
      <w:r>
        <w:t>. However, the data</w:t>
      </w:r>
      <w:r w:rsidR="008E1DD9">
        <w:t xml:space="preserve"> </w:t>
      </w:r>
      <w:r>
        <w:t xml:space="preserve">includes </w:t>
      </w:r>
      <w:r w:rsidR="008E1DD9">
        <w:t>daily</w:t>
      </w:r>
      <w:r>
        <w:t xml:space="preserve"> calorie</w:t>
      </w:r>
      <w:r w:rsidR="008E1DD9">
        <w:t xml:space="preserve"> intake </w:t>
      </w:r>
      <w:r w:rsidR="008E1DD9" w:rsidRPr="008E1DD9">
        <w:rPr>
          <w:i/>
          <w:iCs/>
        </w:rPr>
        <w:t>including</w:t>
      </w:r>
      <w:r w:rsidR="008E1DD9">
        <w:t xml:space="preserve"> and </w:t>
      </w:r>
      <w:r w:rsidR="008E1DD9" w:rsidRPr="008E1DD9">
        <w:rPr>
          <w:i/>
          <w:iCs/>
        </w:rPr>
        <w:t>excluding</w:t>
      </w:r>
      <w:r>
        <w:t xml:space="preserve"> calories from alcohol [</w:t>
      </w:r>
      <w:r w:rsidRPr="008E1DD9">
        <w:rPr>
          <w:b/>
          <w:bCs/>
        </w:rPr>
        <w:t>Day1_Food_diary_kcals_noalc; Day2_Food_diary_kcals_noalc; Day3_Food_diary_kcals_noalc; Day4_food_diary_kcals_noalc; Day1_Food_diary_kcals; Day2_Food_diary_kcals; Day3_Food_diary_kcals; Day4_food_diary_kcals</w:t>
      </w:r>
      <w:r w:rsidR="007D6D34">
        <w:t>].</w:t>
      </w:r>
      <w:r w:rsidR="0067750D">
        <w:t xml:space="preserve"> </w:t>
      </w:r>
      <w:r w:rsidR="00721C3F">
        <w:t>Total food diary calorie intake (excluding alcohol) was calculated [</w:t>
      </w:r>
      <w:proofErr w:type="spellStart"/>
      <w:r w:rsidR="00721C3F" w:rsidRPr="00721C3F">
        <w:rPr>
          <w:b/>
          <w:bCs/>
        </w:rPr>
        <w:t>Totalfooddiaryintake_noalc</w:t>
      </w:r>
      <w:proofErr w:type="spellEnd"/>
      <w:r w:rsidR="00721C3F">
        <w:t xml:space="preserve">]. </w:t>
      </w:r>
    </w:p>
    <w:p w14:paraId="3B8EBC99" w14:textId="2C888329" w:rsidR="005B22D9" w:rsidRPr="005B22D9" w:rsidRDefault="008E1DD9" w:rsidP="005B22D9">
      <w:pPr>
        <w:pStyle w:val="NormalWeb"/>
      </w:pPr>
      <w:r>
        <w:t>The data provides t</w:t>
      </w:r>
      <w:r w:rsidR="007D6D34">
        <w:t>he total calories consumed at day 1 (i.e. calories consumed in the lab and day 1 food diary calories) excluding alcohol [</w:t>
      </w:r>
      <w:r w:rsidR="007D6D34" w:rsidRPr="00265719">
        <w:rPr>
          <w:b/>
          <w:bCs/>
        </w:rPr>
        <w:t>Day1_TOTAL_kcals_noalc</w:t>
      </w:r>
      <w:r w:rsidR="007D6D34">
        <w:t>], and at the end of the four days [</w:t>
      </w:r>
      <w:proofErr w:type="spellStart"/>
      <w:r w:rsidR="007D6D34" w:rsidRPr="00265719">
        <w:rPr>
          <w:b/>
          <w:bCs/>
        </w:rPr>
        <w:t>Total_intake</w:t>
      </w:r>
      <w:r w:rsidR="00456174" w:rsidRPr="00265719">
        <w:rPr>
          <w:b/>
          <w:bCs/>
        </w:rPr>
        <w:t>_noalc</w:t>
      </w:r>
      <w:proofErr w:type="spellEnd"/>
      <w:r w:rsidR="007D6D34">
        <w:t xml:space="preserve">]. </w:t>
      </w:r>
      <w:r w:rsidR="00265719">
        <w:t xml:space="preserve">Total calorie intake </w:t>
      </w:r>
      <w:r w:rsidR="00265719" w:rsidRPr="00265719">
        <w:rPr>
          <w:i/>
          <w:iCs/>
        </w:rPr>
        <w:t>including</w:t>
      </w:r>
      <w:r w:rsidR="00265719">
        <w:t xml:space="preserve"> alcohol are also included for Day 1 only [</w:t>
      </w:r>
      <w:r w:rsidR="00265719" w:rsidRPr="00265719">
        <w:rPr>
          <w:b/>
          <w:bCs/>
        </w:rPr>
        <w:t>Day1_T</w:t>
      </w:r>
      <w:r w:rsidR="00265719">
        <w:rPr>
          <w:b/>
          <w:bCs/>
        </w:rPr>
        <w:t xml:space="preserve">OTAL] </w:t>
      </w:r>
      <w:r w:rsidR="00265719">
        <w:t>and across all four days [</w:t>
      </w:r>
      <w:proofErr w:type="spellStart"/>
      <w:r w:rsidR="00265719" w:rsidRPr="00265719">
        <w:rPr>
          <w:b/>
          <w:bCs/>
        </w:rPr>
        <w:t>Total_intake</w:t>
      </w:r>
      <w:proofErr w:type="spellEnd"/>
      <w:r w:rsidR="00265719">
        <w:t>].</w:t>
      </w:r>
      <w:r w:rsidR="005B22D9">
        <w:t xml:space="preserve"> </w:t>
      </w:r>
      <w:r w:rsidR="005B22D9">
        <w:rPr>
          <w:color w:val="000000" w:themeColor="text1"/>
        </w:rPr>
        <w:t>T</w:t>
      </w:r>
      <w:r w:rsidR="005B22D9" w:rsidRPr="00237E7F">
        <w:rPr>
          <w:color w:val="000000" w:themeColor="text1"/>
        </w:rPr>
        <w:t>wo participants were identified as outliers having consumed over 1837 kcals on day 1 (</w:t>
      </w:r>
      <w:r w:rsidR="005B22D9">
        <w:rPr>
          <w:color w:val="000000" w:themeColor="text1"/>
        </w:rPr>
        <w:t>excluding</w:t>
      </w:r>
      <w:r w:rsidR="005B22D9" w:rsidRPr="00237E7F">
        <w:rPr>
          <w:color w:val="000000" w:themeColor="text1"/>
        </w:rPr>
        <w:t xml:space="preserve"> calories consumed within the lab)</w:t>
      </w:r>
      <w:r w:rsidR="005B22D9">
        <w:rPr>
          <w:color w:val="000000" w:themeColor="text1"/>
        </w:rPr>
        <w:t xml:space="preserve"> </w:t>
      </w:r>
      <w:r w:rsidR="005B22D9">
        <w:rPr>
          <w:b/>
          <w:bCs/>
          <w:color w:val="000000" w:themeColor="text1"/>
        </w:rPr>
        <w:t>[Outliers]</w:t>
      </w:r>
      <w:r w:rsidR="005B22D9" w:rsidRPr="00237E7F">
        <w:rPr>
          <w:color w:val="000000" w:themeColor="text1"/>
        </w:rPr>
        <w:t xml:space="preserve">. </w:t>
      </w:r>
      <w:r w:rsidR="005B22D9">
        <w:rPr>
          <w:color w:val="000000" w:themeColor="text1"/>
        </w:rPr>
        <w:t>These participants</w:t>
      </w:r>
      <w:r w:rsidR="005B22D9" w:rsidRPr="00237E7F">
        <w:rPr>
          <w:color w:val="000000" w:themeColor="text1"/>
        </w:rPr>
        <w:t xml:space="preserve"> </w:t>
      </w:r>
      <w:r w:rsidR="005B22D9">
        <w:rPr>
          <w:color w:val="000000" w:themeColor="text1"/>
        </w:rPr>
        <w:t>were</w:t>
      </w:r>
      <w:r w:rsidR="005B22D9" w:rsidRPr="00237E7F">
        <w:rPr>
          <w:color w:val="000000" w:themeColor="text1"/>
        </w:rPr>
        <w:t xml:space="preserve"> </w:t>
      </w:r>
      <w:r w:rsidR="005B22D9" w:rsidRPr="005B22D9">
        <w:rPr>
          <w:i/>
          <w:iCs/>
          <w:color w:val="000000" w:themeColor="text1"/>
        </w:rPr>
        <w:t>not</w:t>
      </w:r>
      <w:r w:rsidR="005B22D9">
        <w:rPr>
          <w:color w:val="000000" w:themeColor="text1"/>
        </w:rPr>
        <w:t xml:space="preserve"> included</w:t>
      </w:r>
      <w:r w:rsidR="005B22D9" w:rsidRPr="00237E7F">
        <w:rPr>
          <w:color w:val="000000" w:themeColor="text1"/>
        </w:rPr>
        <w:t xml:space="preserve"> </w:t>
      </w:r>
      <w:r w:rsidR="005B22D9">
        <w:rPr>
          <w:color w:val="000000" w:themeColor="text1"/>
        </w:rPr>
        <w:t>in the</w:t>
      </w:r>
      <w:r w:rsidR="005B22D9" w:rsidRPr="00237E7F">
        <w:rPr>
          <w:color w:val="000000" w:themeColor="text1"/>
        </w:rPr>
        <w:t xml:space="preserve"> </w:t>
      </w:r>
      <w:r w:rsidR="005B22D9">
        <w:rPr>
          <w:color w:val="000000" w:themeColor="text1"/>
        </w:rPr>
        <w:t xml:space="preserve">main </w:t>
      </w:r>
      <w:r w:rsidR="005B22D9" w:rsidRPr="00237E7F">
        <w:rPr>
          <w:color w:val="000000" w:themeColor="text1"/>
        </w:rPr>
        <w:t>analyses.</w:t>
      </w:r>
      <w:r w:rsidR="005B22D9">
        <w:rPr>
          <w:color w:val="000000" w:themeColor="text1"/>
        </w:rPr>
        <w:t xml:space="preserve"> </w:t>
      </w:r>
    </w:p>
    <w:p w14:paraId="4963B0CE" w14:textId="5CE32BBF" w:rsidR="0065781D" w:rsidRPr="00721C3F" w:rsidRDefault="0065781D" w:rsidP="00721C3F">
      <w:pPr>
        <w:pStyle w:val="NormalWeb"/>
        <w:rPr>
          <w:color w:val="000000" w:themeColor="text1"/>
          <w:szCs w:val="22"/>
        </w:rPr>
      </w:pPr>
      <w:r w:rsidRPr="00E8153F">
        <w:rPr>
          <w:color w:val="000000" w:themeColor="text1"/>
          <w:szCs w:val="22"/>
        </w:rPr>
        <w:lastRenderedPageBreak/>
        <w:t xml:space="preserve">After participants had submitted their food diary, they were automatically directed to a follow-up questionnaire in which they were asked to record how many people they ate with during each meal or snack. </w:t>
      </w:r>
      <w:r w:rsidR="00532B35">
        <w:rPr>
          <w:color w:val="000000" w:themeColor="text1"/>
          <w:szCs w:val="22"/>
        </w:rPr>
        <w:t xml:space="preserve">The total number of social meals and snacks </w:t>
      </w:r>
      <w:r w:rsidR="008E1DD9">
        <w:rPr>
          <w:color w:val="000000" w:themeColor="text1"/>
          <w:szCs w:val="22"/>
        </w:rPr>
        <w:t xml:space="preserve">consumed across all four days </w:t>
      </w:r>
      <w:r w:rsidR="00532B35">
        <w:rPr>
          <w:color w:val="000000" w:themeColor="text1"/>
          <w:szCs w:val="22"/>
        </w:rPr>
        <w:t>were calculated to examine whether participants differed, between conditions, with regards to the number of meals they ate socially following the lab session [</w:t>
      </w:r>
      <w:proofErr w:type="spellStart"/>
      <w:r w:rsidR="00532B35" w:rsidRPr="00532B35">
        <w:rPr>
          <w:b/>
          <w:bCs/>
          <w:color w:val="000000" w:themeColor="text1"/>
          <w:szCs w:val="22"/>
        </w:rPr>
        <w:t>Total_Social_Meals</w:t>
      </w:r>
      <w:proofErr w:type="spellEnd"/>
      <w:r w:rsidR="00532B35">
        <w:rPr>
          <w:color w:val="000000" w:themeColor="text1"/>
          <w:szCs w:val="22"/>
        </w:rPr>
        <w:t>].</w:t>
      </w:r>
    </w:p>
    <w:p w14:paraId="703B0210" w14:textId="3088EFC7" w:rsidR="00AD7A13" w:rsidRPr="00626232" w:rsidRDefault="00985AED" w:rsidP="00985AED">
      <w:pPr>
        <w:pStyle w:val="Heading1"/>
        <w:rPr>
          <w:rFonts w:ascii="Times New Roman" w:hAnsi="Times New Roman" w:cs="Times New Roman"/>
          <w:lang w:val="en-US"/>
        </w:rPr>
      </w:pPr>
      <w:r w:rsidRPr="00626232">
        <w:rPr>
          <w:rFonts w:ascii="Times New Roman" w:hAnsi="Times New Roman" w:cs="Times New Roman"/>
          <w:lang w:val="en-US"/>
        </w:rPr>
        <w:t xml:space="preserve">4. </w:t>
      </w:r>
      <w:r w:rsidR="00AD7A13" w:rsidRPr="00626232">
        <w:rPr>
          <w:rFonts w:ascii="Times New Roman" w:hAnsi="Times New Roman" w:cs="Times New Roman"/>
          <w:lang w:val="en-US"/>
        </w:rPr>
        <w:t>Procedure</w:t>
      </w:r>
    </w:p>
    <w:p w14:paraId="7BEE24E0" w14:textId="77777777" w:rsidR="005B22D9" w:rsidRDefault="00D515A7" w:rsidP="005B22D9">
      <w:pPr>
        <w:rPr>
          <w:rFonts w:cs="Times New Roman"/>
          <w:color w:val="262626"/>
          <w:szCs w:val="22"/>
        </w:rPr>
      </w:pPr>
      <w:r w:rsidRPr="00651D49">
        <w:rPr>
          <w:rFonts w:cs="Times New Roman"/>
          <w:color w:val="262626"/>
          <w:szCs w:val="22"/>
        </w:rPr>
        <w:t>Participants attended the lab between 12-2pm, to coincide with normal lunch hours, and were instructed to refrain from eating or drinking any calorie-containing drinks for at least three hours before the start of their session. Participants were randomly allocated to either the ‘alone’ or ‘social’ condition; those in the ‘alone’ condition ate the buffet lunch alone, while those in the ‘social’ condition ate with the two friends with whom they had signed up to the study.</w:t>
      </w:r>
    </w:p>
    <w:p w14:paraId="5834E542" w14:textId="66FFBC78" w:rsidR="00721C3F" w:rsidRPr="005B22D9" w:rsidRDefault="00D515A7" w:rsidP="005B22D9">
      <w:pPr>
        <w:ind w:firstLine="720"/>
        <w:rPr>
          <w:rFonts w:cs="Times New Roman"/>
          <w:color w:val="262626"/>
          <w:szCs w:val="22"/>
        </w:rPr>
      </w:pPr>
      <w:r w:rsidRPr="00651D49">
        <w:rPr>
          <w:color w:val="262626"/>
          <w:szCs w:val="22"/>
        </w:rPr>
        <w:t xml:space="preserve">Before the meal, participants completed VAS measures of hunger, fullness, and friendship ‘closeness’, and completed the G-FCQ-S. They were then provided with the buffet lunch and instructed to eat as much as they wished. Meal duration </w:t>
      </w:r>
      <w:r w:rsidR="00265719">
        <w:rPr>
          <w:color w:val="262626"/>
          <w:szCs w:val="22"/>
        </w:rPr>
        <w:t>[</w:t>
      </w:r>
      <w:r w:rsidR="00265719" w:rsidRPr="00265719">
        <w:rPr>
          <w:b/>
          <w:bCs/>
          <w:color w:val="262626"/>
          <w:szCs w:val="22"/>
        </w:rPr>
        <w:t>Meal duration</w:t>
      </w:r>
      <w:r w:rsidR="00265719">
        <w:rPr>
          <w:color w:val="262626"/>
          <w:szCs w:val="22"/>
        </w:rPr>
        <w:t xml:space="preserve">] </w:t>
      </w:r>
      <w:r w:rsidRPr="00651D49">
        <w:rPr>
          <w:color w:val="262626"/>
          <w:szCs w:val="22"/>
        </w:rPr>
        <w:t xml:space="preserve">was covertly recorded by the researcher, and foods were covertly weighed before and after eating to determine food intake.  Following the meal, participants completed VAS measures of appetite, food liking, mood, overall meal enjoyment, and friendship closeness. All participants were seated in separate rooms, away from their friends, to complete the questionnaires. Following this, participants were shown how to record their food intake using the MyFood24 software. They were instructed to record everything that they ate and drank for the remainder of that day (i.e. day 1), and for the following 3 days (i.e. days 2-4). </w:t>
      </w:r>
    </w:p>
    <w:p w14:paraId="085FAF5A" w14:textId="7A09AB0B" w:rsidR="008676DD" w:rsidRPr="005B22D9" w:rsidRDefault="00D515A7" w:rsidP="005B22D9">
      <w:pPr>
        <w:ind w:firstLine="720"/>
        <w:rPr>
          <w:rFonts w:eastAsia="Times New Roman" w:cs="Times New Roman"/>
          <w:color w:val="2E74B5" w:themeColor="accent5" w:themeShade="BF"/>
          <w:lang w:eastAsia="en-GB"/>
        </w:rPr>
      </w:pPr>
      <w:r w:rsidRPr="00651D49">
        <w:rPr>
          <w:rFonts w:cs="Times New Roman"/>
          <w:color w:val="262626"/>
          <w:szCs w:val="22"/>
        </w:rPr>
        <w:t xml:space="preserve">At least four days following the first lab session, participants returned to the lab to complete the following assessments: </w:t>
      </w:r>
      <w:r w:rsidRPr="00651D49">
        <w:rPr>
          <w:rFonts w:eastAsia="Times New Roman" w:cs="Times New Roman"/>
          <w:color w:val="000000" w:themeColor="text1"/>
          <w:lang w:eastAsia="en-GB"/>
        </w:rPr>
        <w:t>1) Demand characteristics. Participants wrote down what they thought the aims of the study were; 2) Dietary restraint, uncontrolled eating, and emotional eating, assessed using the TFEQ-18 (Karlsson et al., 2000); 3) Friendship familiarity. Participants were asked to write down how long they have known each of their friends with whom they had participated (open ended question), and how well they feel they know these friends (1-10 scale); 4) Other demographics: Age, ethnicity</w:t>
      </w:r>
      <w:r w:rsidR="002B3BED">
        <w:rPr>
          <w:rFonts w:eastAsia="Times New Roman" w:cs="Times New Roman"/>
          <w:color w:val="000000" w:themeColor="text1"/>
          <w:lang w:eastAsia="en-GB"/>
        </w:rPr>
        <w:t xml:space="preserve">. </w:t>
      </w:r>
      <w:r w:rsidRPr="00651D49">
        <w:rPr>
          <w:rFonts w:eastAsia="Times New Roman" w:cs="Times New Roman"/>
          <w:color w:val="000000" w:themeColor="text1"/>
          <w:lang w:eastAsia="en-GB"/>
        </w:rPr>
        <w:t>Height, and weight was then taken by the researcher to calculate BMI</w:t>
      </w:r>
      <w:r w:rsidR="002B3BED">
        <w:rPr>
          <w:rFonts w:eastAsia="Times New Roman" w:cs="Times New Roman"/>
          <w:color w:val="000000" w:themeColor="text1"/>
          <w:lang w:eastAsia="en-GB"/>
        </w:rPr>
        <w:t xml:space="preserve">, </w:t>
      </w:r>
      <w:r w:rsidRPr="00651D49">
        <w:rPr>
          <w:rFonts w:eastAsia="Times New Roman" w:cs="Times New Roman"/>
          <w:color w:val="000000" w:themeColor="text1"/>
          <w:lang w:eastAsia="en-GB"/>
        </w:rPr>
        <w:t xml:space="preserve">and </w:t>
      </w:r>
      <w:r w:rsidRPr="00651D49">
        <w:rPr>
          <w:rFonts w:cs="Times New Roman"/>
          <w:color w:val="000000" w:themeColor="text1"/>
          <w:szCs w:val="22"/>
        </w:rPr>
        <w:t>p</w:t>
      </w:r>
      <w:r w:rsidRPr="00651D49">
        <w:rPr>
          <w:rFonts w:cs="Times New Roman"/>
          <w:szCs w:val="22"/>
        </w:rPr>
        <w:t>articipants were fully debriefed as to the true aims of the study.</w:t>
      </w:r>
    </w:p>
    <w:sectPr w:rsidR="008676DD" w:rsidRPr="005B22D9" w:rsidSect="00912D25">
      <w:pgSz w:w="11900" w:h="16840"/>
      <w:pgMar w:top="1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B8EFB" w14:textId="77777777" w:rsidR="00265E1F" w:rsidRDefault="00265E1F" w:rsidP="00E27AF1">
      <w:pPr>
        <w:spacing w:line="240" w:lineRule="auto"/>
      </w:pPr>
      <w:r>
        <w:separator/>
      </w:r>
    </w:p>
  </w:endnote>
  <w:endnote w:type="continuationSeparator" w:id="0">
    <w:p w14:paraId="7E69B54D" w14:textId="77777777" w:rsidR="00265E1F" w:rsidRDefault="00265E1F" w:rsidP="00E27A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BA9E5" w14:textId="77777777" w:rsidR="00265E1F" w:rsidRDefault="00265E1F" w:rsidP="00E27AF1">
      <w:pPr>
        <w:spacing w:line="240" w:lineRule="auto"/>
      </w:pPr>
      <w:r>
        <w:separator/>
      </w:r>
    </w:p>
  </w:footnote>
  <w:footnote w:type="continuationSeparator" w:id="0">
    <w:p w14:paraId="4EDA3CBA" w14:textId="77777777" w:rsidR="00265E1F" w:rsidRDefault="00265E1F" w:rsidP="00E27A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F6459"/>
    <w:multiLevelType w:val="hybridMultilevel"/>
    <w:tmpl w:val="0DFCD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171F2A"/>
    <w:multiLevelType w:val="hybridMultilevel"/>
    <w:tmpl w:val="43CAE962"/>
    <w:lvl w:ilvl="0" w:tplc="B3F8B65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3B0163"/>
    <w:multiLevelType w:val="hybridMultilevel"/>
    <w:tmpl w:val="91FC1B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375D91"/>
    <w:multiLevelType w:val="hybridMultilevel"/>
    <w:tmpl w:val="A1B4026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0D61F9"/>
    <w:multiLevelType w:val="hybridMultilevel"/>
    <w:tmpl w:val="66BCC2D0"/>
    <w:lvl w:ilvl="0" w:tplc="B3F8B65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240F76"/>
    <w:multiLevelType w:val="hybridMultilevel"/>
    <w:tmpl w:val="B9F463DC"/>
    <w:lvl w:ilvl="0" w:tplc="3AB0EA7E">
      <w:start w:val="1"/>
      <w:numFmt w:val="bullet"/>
      <w:lvlText w:val=""/>
      <w:lvlJc w:val="left"/>
      <w:pPr>
        <w:ind w:left="284"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70676D7"/>
    <w:multiLevelType w:val="hybridMultilevel"/>
    <w:tmpl w:val="2E2CBB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DD16608"/>
    <w:multiLevelType w:val="hybridMultilevel"/>
    <w:tmpl w:val="CA48CAD2"/>
    <w:lvl w:ilvl="0" w:tplc="B3F8B65E">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2"/>
  </w:num>
  <w:num w:numId="5">
    <w:abstractNumId w:val="7"/>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AF4"/>
    <w:rsid w:val="000173C0"/>
    <w:rsid w:val="000E6957"/>
    <w:rsid w:val="00165E55"/>
    <w:rsid w:val="00170F96"/>
    <w:rsid w:val="001C5C84"/>
    <w:rsid w:val="001F5420"/>
    <w:rsid w:val="00205974"/>
    <w:rsid w:val="002142BD"/>
    <w:rsid w:val="00241D2E"/>
    <w:rsid w:val="00250E8A"/>
    <w:rsid w:val="00254667"/>
    <w:rsid w:val="00265719"/>
    <w:rsid w:val="00265E1F"/>
    <w:rsid w:val="002923BD"/>
    <w:rsid w:val="002B0722"/>
    <w:rsid w:val="002B0F99"/>
    <w:rsid w:val="002B3BED"/>
    <w:rsid w:val="002E1D85"/>
    <w:rsid w:val="00303B2D"/>
    <w:rsid w:val="003C3FCA"/>
    <w:rsid w:val="003F5606"/>
    <w:rsid w:val="0040347B"/>
    <w:rsid w:val="00442A25"/>
    <w:rsid w:val="00452D2C"/>
    <w:rsid w:val="00454877"/>
    <w:rsid w:val="00456174"/>
    <w:rsid w:val="004A1CAB"/>
    <w:rsid w:val="004B0AF3"/>
    <w:rsid w:val="0050178B"/>
    <w:rsid w:val="005022E0"/>
    <w:rsid w:val="0051048A"/>
    <w:rsid w:val="00532B35"/>
    <w:rsid w:val="00567D02"/>
    <w:rsid w:val="005B22D9"/>
    <w:rsid w:val="005C1032"/>
    <w:rsid w:val="005E1E07"/>
    <w:rsid w:val="005E5455"/>
    <w:rsid w:val="00626232"/>
    <w:rsid w:val="0064330D"/>
    <w:rsid w:val="00651D49"/>
    <w:rsid w:val="0065781D"/>
    <w:rsid w:val="00666AF4"/>
    <w:rsid w:val="0067750D"/>
    <w:rsid w:val="006C388C"/>
    <w:rsid w:val="00713E52"/>
    <w:rsid w:val="00721C3F"/>
    <w:rsid w:val="0075325D"/>
    <w:rsid w:val="00770F44"/>
    <w:rsid w:val="00792E8F"/>
    <w:rsid w:val="007A5157"/>
    <w:rsid w:val="007D0C24"/>
    <w:rsid w:val="007D0C59"/>
    <w:rsid w:val="007D6D34"/>
    <w:rsid w:val="00822400"/>
    <w:rsid w:val="00824610"/>
    <w:rsid w:val="00834ACF"/>
    <w:rsid w:val="008676DD"/>
    <w:rsid w:val="00897FAD"/>
    <w:rsid w:val="008B5B91"/>
    <w:rsid w:val="008D3BC1"/>
    <w:rsid w:val="008E1DD9"/>
    <w:rsid w:val="009069CF"/>
    <w:rsid w:val="00912D25"/>
    <w:rsid w:val="009279A5"/>
    <w:rsid w:val="009378C8"/>
    <w:rsid w:val="009453F7"/>
    <w:rsid w:val="00950E52"/>
    <w:rsid w:val="00985AED"/>
    <w:rsid w:val="009941AB"/>
    <w:rsid w:val="00997C39"/>
    <w:rsid w:val="009B1328"/>
    <w:rsid w:val="00A06C4C"/>
    <w:rsid w:val="00A15A77"/>
    <w:rsid w:val="00A23B10"/>
    <w:rsid w:val="00A37DC3"/>
    <w:rsid w:val="00A75952"/>
    <w:rsid w:val="00AC7CDD"/>
    <w:rsid w:val="00AD7A13"/>
    <w:rsid w:val="00B26E19"/>
    <w:rsid w:val="00B517E7"/>
    <w:rsid w:val="00B5233C"/>
    <w:rsid w:val="00BA327B"/>
    <w:rsid w:val="00C60A61"/>
    <w:rsid w:val="00CA1AD3"/>
    <w:rsid w:val="00CC224D"/>
    <w:rsid w:val="00D17068"/>
    <w:rsid w:val="00D515A7"/>
    <w:rsid w:val="00D70942"/>
    <w:rsid w:val="00DB39D6"/>
    <w:rsid w:val="00DC0B8E"/>
    <w:rsid w:val="00DD56B3"/>
    <w:rsid w:val="00DD6480"/>
    <w:rsid w:val="00E27AF1"/>
    <w:rsid w:val="00E65BF0"/>
    <w:rsid w:val="00EC0C22"/>
    <w:rsid w:val="00ED7B07"/>
    <w:rsid w:val="00F22466"/>
    <w:rsid w:val="00F83B26"/>
    <w:rsid w:val="00FB58BA"/>
    <w:rsid w:val="00FE07F6"/>
    <w:rsid w:val="00FF4F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DCB4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AED"/>
    <w:pPr>
      <w:spacing w:line="360" w:lineRule="auto"/>
    </w:pPr>
    <w:rPr>
      <w:rFonts w:ascii="Times New Roman" w:hAnsi="Times New Roman"/>
    </w:rPr>
  </w:style>
  <w:style w:type="paragraph" w:styleId="Heading1">
    <w:name w:val="heading 1"/>
    <w:basedOn w:val="Normal"/>
    <w:next w:val="Normal"/>
    <w:link w:val="Heading1Char"/>
    <w:uiPriority w:val="9"/>
    <w:qFormat/>
    <w:rsid w:val="00985AED"/>
    <w:pPr>
      <w:keepNext/>
      <w:keepLines/>
      <w:spacing w:before="240"/>
      <w:outlineLvl w:val="0"/>
    </w:pPr>
    <w:rPr>
      <w:rFonts w:asciiTheme="majorHAnsi" w:eastAsiaTheme="majorEastAsia" w:hAnsiTheme="majorHAnsi" w:cstheme="majorBidi"/>
      <w:b/>
      <w:color w:val="000000" w:themeColor="text1"/>
      <w:szCs w:val="32"/>
    </w:rPr>
  </w:style>
  <w:style w:type="paragraph" w:styleId="Heading4">
    <w:name w:val="heading 4"/>
    <w:basedOn w:val="Normal"/>
    <w:next w:val="Normal"/>
    <w:link w:val="Heading4Char"/>
    <w:uiPriority w:val="9"/>
    <w:unhideWhenUsed/>
    <w:qFormat/>
    <w:rsid w:val="005022E0"/>
    <w:pPr>
      <w:keepNext/>
      <w:keepLines/>
      <w:spacing w:before="40" w:line="480" w:lineRule="auto"/>
      <w:ind w:firstLine="720"/>
      <w:outlineLvl w:val="3"/>
    </w:pPr>
    <w:rPr>
      <w:rFonts w:eastAsiaTheme="majorEastAsia" w:cstheme="majorBidi"/>
      <w:b/>
      <w:i/>
      <w:iCs/>
      <w:color w:val="000000" w:themeColor="text1"/>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BC1"/>
    <w:pPr>
      <w:ind w:left="720"/>
      <w:contextualSpacing/>
    </w:pPr>
  </w:style>
  <w:style w:type="paragraph" w:styleId="BalloonText">
    <w:name w:val="Balloon Text"/>
    <w:basedOn w:val="Normal"/>
    <w:link w:val="BalloonTextChar"/>
    <w:uiPriority w:val="99"/>
    <w:semiHidden/>
    <w:unhideWhenUsed/>
    <w:rsid w:val="00F83B26"/>
    <w:rPr>
      <w:rFonts w:cs="Times New Roman"/>
      <w:sz w:val="18"/>
      <w:szCs w:val="18"/>
    </w:rPr>
  </w:style>
  <w:style w:type="character" w:customStyle="1" w:styleId="BalloonTextChar">
    <w:name w:val="Balloon Text Char"/>
    <w:basedOn w:val="DefaultParagraphFont"/>
    <w:link w:val="BalloonText"/>
    <w:uiPriority w:val="99"/>
    <w:semiHidden/>
    <w:rsid w:val="00F83B26"/>
    <w:rPr>
      <w:rFonts w:ascii="Times New Roman" w:hAnsi="Times New Roman" w:cs="Times New Roman"/>
      <w:sz w:val="18"/>
      <w:szCs w:val="18"/>
    </w:rPr>
  </w:style>
  <w:style w:type="character" w:customStyle="1" w:styleId="Heading4Char">
    <w:name w:val="Heading 4 Char"/>
    <w:basedOn w:val="DefaultParagraphFont"/>
    <w:link w:val="Heading4"/>
    <w:uiPriority w:val="9"/>
    <w:rsid w:val="005022E0"/>
    <w:rPr>
      <w:rFonts w:ascii="Times New Roman" w:eastAsiaTheme="majorEastAsia" w:hAnsi="Times New Roman" w:cstheme="majorBidi"/>
      <w:b/>
      <w:i/>
      <w:iCs/>
      <w:color w:val="000000" w:themeColor="text1"/>
      <w:lang w:val="en-AU"/>
    </w:rPr>
  </w:style>
  <w:style w:type="paragraph" w:styleId="NormalWeb">
    <w:name w:val="Normal (Web)"/>
    <w:basedOn w:val="Normal"/>
    <w:uiPriority w:val="99"/>
    <w:unhideWhenUsed/>
    <w:rsid w:val="00AD7A13"/>
    <w:pPr>
      <w:spacing w:before="100" w:beforeAutospacing="1" w:after="100" w:afterAutospacing="1" w:line="480" w:lineRule="auto"/>
      <w:ind w:firstLine="720"/>
    </w:pPr>
    <w:rPr>
      <w:rFonts w:eastAsia="Times New Roman" w:cs="Times New Roman"/>
      <w:lang w:val="en-AU"/>
    </w:rPr>
  </w:style>
  <w:style w:type="character" w:styleId="CommentReference">
    <w:name w:val="annotation reference"/>
    <w:basedOn w:val="DefaultParagraphFont"/>
    <w:uiPriority w:val="99"/>
    <w:semiHidden/>
    <w:unhideWhenUsed/>
    <w:rsid w:val="00AD7A13"/>
    <w:rPr>
      <w:sz w:val="16"/>
      <w:szCs w:val="16"/>
    </w:rPr>
  </w:style>
  <w:style w:type="paragraph" w:styleId="CommentText">
    <w:name w:val="annotation text"/>
    <w:basedOn w:val="Normal"/>
    <w:link w:val="CommentTextChar"/>
    <w:uiPriority w:val="99"/>
    <w:unhideWhenUsed/>
    <w:rsid w:val="00AD7A13"/>
    <w:pPr>
      <w:spacing w:line="480" w:lineRule="auto"/>
      <w:ind w:firstLine="720"/>
    </w:pPr>
    <w:rPr>
      <w:sz w:val="20"/>
      <w:szCs w:val="20"/>
      <w:lang w:val="en-AU"/>
    </w:rPr>
  </w:style>
  <w:style w:type="character" w:customStyle="1" w:styleId="CommentTextChar">
    <w:name w:val="Comment Text Char"/>
    <w:basedOn w:val="DefaultParagraphFont"/>
    <w:link w:val="CommentText"/>
    <w:uiPriority w:val="99"/>
    <w:rsid w:val="00AD7A13"/>
    <w:rPr>
      <w:rFonts w:ascii="Times New Roman" w:hAnsi="Times New Roman"/>
      <w:sz w:val="20"/>
      <w:szCs w:val="20"/>
      <w:lang w:val="en-AU"/>
    </w:rPr>
  </w:style>
  <w:style w:type="paragraph" w:styleId="Title">
    <w:name w:val="Title"/>
    <w:basedOn w:val="Normal"/>
    <w:next w:val="Normal"/>
    <w:link w:val="TitleChar"/>
    <w:uiPriority w:val="10"/>
    <w:qFormat/>
    <w:rsid w:val="00985AED"/>
    <w:pPr>
      <w:contextualSpacing/>
      <w:jc w:val="center"/>
    </w:pPr>
    <w:rPr>
      <w:rFonts w:eastAsiaTheme="majorEastAsia" w:cstheme="majorBidi"/>
      <w:spacing w:val="-10"/>
      <w:kern w:val="28"/>
      <w:sz w:val="28"/>
      <w:szCs w:val="56"/>
    </w:rPr>
  </w:style>
  <w:style w:type="character" w:customStyle="1" w:styleId="TitleChar">
    <w:name w:val="Title Char"/>
    <w:basedOn w:val="DefaultParagraphFont"/>
    <w:link w:val="Title"/>
    <w:uiPriority w:val="10"/>
    <w:rsid w:val="00985AED"/>
    <w:rPr>
      <w:rFonts w:ascii="Times New Roman" w:eastAsiaTheme="majorEastAsia" w:hAnsi="Times New Roman" w:cstheme="majorBidi"/>
      <w:spacing w:val="-10"/>
      <w:kern w:val="28"/>
      <w:sz w:val="28"/>
      <w:szCs w:val="56"/>
    </w:rPr>
  </w:style>
  <w:style w:type="character" w:customStyle="1" w:styleId="Heading1Char">
    <w:name w:val="Heading 1 Char"/>
    <w:basedOn w:val="DefaultParagraphFont"/>
    <w:link w:val="Heading1"/>
    <w:uiPriority w:val="9"/>
    <w:rsid w:val="00985AED"/>
    <w:rPr>
      <w:rFonts w:asciiTheme="majorHAnsi" w:eastAsiaTheme="majorEastAsia" w:hAnsiTheme="majorHAnsi" w:cstheme="majorBidi"/>
      <w:b/>
      <w:color w:val="000000" w:themeColor="text1"/>
      <w:szCs w:val="32"/>
    </w:rPr>
  </w:style>
  <w:style w:type="table" w:styleId="PlainTable2">
    <w:name w:val="Plain Table 2"/>
    <w:basedOn w:val="TableNormal"/>
    <w:uiPriority w:val="42"/>
    <w:rsid w:val="00792E8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basedOn w:val="Normal"/>
    <w:link w:val="FootnoteTextChar"/>
    <w:uiPriority w:val="99"/>
    <w:semiHidden/>
    <w:unhideWhenUsed/>
    <w:rsid w:val="00E27AF1"/>
    <w:pPr>
      <w:spacing w:line="240" w:lineRule="auto"/>
    </w:pPr>
    <w:rPr>
      <w:sz w:val="20"/>
      <w:szCs w:val="20"/>
    </w:rPr>
  </w:style>
  <w:style w:type="character" w:customStyle="1" w:styleId="FootnoteTextChar">
    <w:name w:val="Footnote Text Char"/>
    <w:basedOn w:val="DefaultParagraphFont"/>
    <w:link w:val="FootnoteText"/>
    <w:uiPriority w:val="99"/>
    <w:semiHidden/>
    <w:rsid w:val="00E27AF1"/>
    <w:rPr>
      <w:rFonts w:ascii="Times New Roman" w:hAnsi="Times New Roman"/>
      <w:sz w:val="20"/>
      <w:szCs w:val="20"/>
    </w:rPr>
  </w:style>
  <w:style w:type="character" w:styleId="FootnoteReference">
    <w:name w:val="footnote reference"/>
    <w:basedOn w:val="DefaultParagraphFont"/>
    <w:uiPriority w:val="99"/>
    <w:semiHidden/>
    <w:unhideWhenUsed/>
    <w:rsid w:val="00E27A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5148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7B1F9-83A4-374E-9485-326145B97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1481</Words>
  <Characters>8443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Collins</dc:creator>
  <cp:keywords/>
  <dc:description/>
  <cp:lastModifiedBy>helen ruddock</cp:lastModifiedBy>
  <cp:revision>2</cp:revision>
  <dcterms:created xsi:type="dcterms:W3CDTF">2021-09-30T10:07:00Z</dcterms:created>
  <dcterms:modified xsi:type="dcterms:W3CDTF">2021-09-30T10:07:00Z</dcterms:modified>
</cp:coreProperties>
</file>