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16D" w:rsidRPr="007C27B3" w:rsidRDefault="0071116D">
      <w:pPr>
        <w:rPr>
          <w:rFonts w:ascii="Arial" w:hAnsi="Arial" w:cs="Arial"/>
        </w:rPr>
      </w:pPr>
    </w:p>
    <w:p w:rsidR="0071116D" w:rsidRPr="007C27B3" w:rsidRDefault="0071116D">
      <w:pPr>
        <w:rPr>
          <w:rFonts w:ascii="Arial" w:hAnsi="Arial" w:cs="Arial"/>
        </w:rPr>
      </w:pPr>
    </w:p>
    <w:tbl>
      <w:tblPr>
        <w:tblStyle w:val="TableGrid"/>
        <w:tblW w:w="10132" w:type="dxa"/>
        <w:tblLook w:val="04A0" w:firstRow="1" w:lastRow="0" w:firstColumn="1" w:lastColumn="0" w:noHBand="0" w:noVBand="1"/>
      </w:tblPr>
      <w:tblGrid>
        <w:gridCol w:w="5066"/>
        <w:gridCol w:w="5066"/>
      </w:tblGrid>
      <w:tr w:rsidR="0071116D" w:rsidRPr="007C27B3" w:rsidTr="008A2B8D">
        <w:trPr>
          <w:trHeight w:val="992"/>
        </w:trPr>
        <w:tc>
          <w:tcPr>
            <w:tcW w:w="5066" w:type="dxa"/>
            <w:tcBorders>
              <w:top w:val="nil"/>
              <w:left w:val="nil"/>
              <w:bottom w:val="nil"/>
              <w:right w:val="nil"/>
            </w:tcBorders>
            <w:shd w:val="clear" w:color="auto" w:fill="2F5496" w:themeFill="accent1" w:themeFillShade="BF"/>
          </w:tcPr>
          <w:p w:rsidR="0071116D" w:rsidRPr="007C27B3" w:rsidRDefault="0071116D">
            <w:pPr>
              <w:rPr>
                <w:rFonts w:ascii="Arial" w:hAnsi="Arial" w:cs="Arial"/>
              </w:rPr>
            </w:pPr>
          </w:p>
          <w:p w:rsidR="0071116D" w:rsidRPr="007C27B3" w:rsidRDefault="0071116D">
            <w:pPr>
              <w:rPr>
                <w:rFonts w:ascii="Arial" w:hAnsi="Arial" w:cs="Arial"/>
                <w:color w:val="FFFFFF" w:themeColor="background1"/>
                <w:sz w:val="36"/>
                <w:szCs w:val="36"/>
              </w:rPr>
            </w:pPr>
            <w:r w:rsidRPr="007C27B3">
              <w:rPr>
                <w:rFonts w:ascii="Arial" w:hAnsi="Arial" w:cs="Arial"/>
                <w:color w:val="FFFFFF" w:themeColor="background1"/>
                <w:sz w:val="36"/>
                <w:szCs w:val="36"/>
              </w:rPr>
              <w:t xml:space="preserve">Initial </w:t>
            </w:r>
          </w:p>
          <w:p w:rsidR="0071116D" w:rsidRPr="007C27B3" w:rsidRDefault="0071116D">
            <w:pPr>
              <w:rPr>
                <w:rFonts w:ascii="Arial" w:hAnsi="Arial" w:cs="Arial"/>
              </w:rPr>
            </w:pPr>
            <w:r w:rsidRPr="007C27B3">
              <w:rPr>
                <w:rFonts w:ascii="Arial" w:hAnsi="Arial" w:cs="Arial"/>
                <w:color w:val="FFFFFF" w:themeColor="background1"/>
                <w:sz w:val="36"/>
                <w:szCs w:val="36"/>
              </w:rPr>
              <w:t>Findings</w:t>
            </w:r>
          </w:p>
        </w:tc>
        <w:tc>
          <w:tcPr>
            <w:tcW w:w="5066" w:type="dxa"/>
            <w:tcBorders>
              <w:top w:val="nil"/>
              <w:left w:val="nil"/>
              <w:bottom w:val="nil"/>
              <w:right w:val="nil"/>
            </w:tcBorders>
            <w:shd w:val="clear" w:color="auto" w:fill="806000" w:themeFill="accent4" w:themeFillShade="80"/>
          </w:tcPr>
          <w:p w:rsidR="008A2B8D" w:rsidRDefault="008A2B8D">
            <w:pPr>
              <w:rPr>
                <w:rFonts w:ascii="Arial" w:hAnsi="Arial" w:cs="Arial"/>
                <w:color w:val="FFFFFF" w:themeColor="background1"/>
                <w:sz w:val="16"/>
                <w:szCs w:val="16"/>
              </w:rPr>
            </w:pPr>
          </w:p>
          <w:p w:rsidR="0071116D" w:rsidRDefault="0071116D" w:rsidP="008A2B8D">
            <w:pPr>
              <w:jc w:val="right"/>
              <w:rPr>
                <w:rFonts w:ascii="Arial" w:hAnsi="Arial" w:cs="Arial"/>
                <w:color w:val="FFFFFF" w:themeColor="background1"/>
                <w:sz w:val="36"/>
                <w:szCs w:val="36"/>
              </w:rPr>
            </w:pPr>
            <w:r w:rsidRPr="007C27B3">
              <w:rPr>
                <w:rFonts w:ascii="Arial" w:hAnsi="Arial" w:cs="Arial"/>
                <w:color w:val="FFFFFF" w:themeColor="background1"/>
                <w:sz w:val="36"/>
                <w:szCs w:val="36"/>
              </w:rPr>
              <w:t xml:space="preserve">Council </w:t>
            </w:r>
            <w:r w:rsidR="007C27B3" w:rsidRPr="007C27B3">
              <w:rPr>
                <w:rFonts w:ascii="Arial" w:hAnsi="Arial" w:cs="Arial"/>
                <w:color w:val="FFFFFF" w:themeColor="background1"/>
                <w:sz w:val="36"/>
                <w:szCs w:val="36"/>
              </w:rPr>
              <w:t xml:space="preserve">estate </w:t>
            </w:r>
            <w:r w:rsidR="00FF0841">
              <w:rPr>
                <w:rFonts w:ascii="Arial" w:hAnsi="Arial" w:cs="Arial"/>
                <w:color w:val="FFFFFF" w:themeColor="background1"/>
                <w:sz w:val="36"/>
                <w:szCs w:val="36"/>
              </w:rPr>
              <w:t xml:space="preserve">renewal </w:t>
            </w:r>
            <w:r w:rsidR="007C27B3" w:rsidRPr="007C27B3">
              <w:rPr>
                <w:rFonts w:ascii="Arial" w:hAnsi="Arial" w:cs="Arial"/>
                <w:color w:val="FFFFFF" w:themeColor="background1"/>
                <w:sz w:val="36"/>
                <w:szCs w:val="36"/>
              </w:rPr>
              <w:t xml:space="preserve">in </w:t>
            </w:r>
            <w:r w:rsidR="00FF0841">
              <w:rPr>
                <w:rFonts w:ascii="Arial" w:hAnsi="Arial" w:cs="Arial"/>
                <w:color w:val="FFFFFF" w:themeColor="background1"/>
                <w:sz w:val="36"/>
                <w:szCs w:val="36"/>
              </w:rPr>
              <w:t xml:space="preserve">C21st </w:t>
            </w:r>
            <w:r w:rsidR="007C27B3" w:rsidRPr="007C27B3">
              <w:rPr>
                <w:rFonts w:ascii="Arial" w:hAnsi="Arial" w:cs="Arial"/>
                <w:color w:val="FFFFFF" w:themeColor="background1"/>
                <w:sz w:val="36"/>
                <w:szCs w:val="36"/>
              </w:rPr>
              <w:t>London</w:t>
            </w:r>
          </w:p>
          <w:p w:rsidR="007C27B3" w:rsidRPr="007C27B3" w:rsidRDefault="007C27B3">
            <w:pPr>
              <w:rPr>
                <w:rFonts w:ascii="Arial" w:hAnsi="Arial" w:cs="Arial"/>
                <w:sz w:val="36"/>
                <w:szCs w:val="36"/>
              </w:rPr>
            </w:pPr>
          </w:p>
        </w:tc>
      </w:tr>
    </w:tbl>
    <w:p w:rsidR="0071116D" w:rsidRPr="007C27B3" w:rsidRDefault="0071116D">
      <w:pPr>
        <w:rPr>
          <w:rFonts w:ascii="Arial" w:hAnsi="Arial" w:cs="Arial"/>
        </w:rPr>
      </w:pPr>
    </w:p>
    <w:p w:rsidR="0071116D" w:rsidRPr="007C27B3" w:rsidRDefault="0071116D">
      <w:pPr>
        <w:rPr>
          <w:rFonts w:ascii="Arial" w:hAnsi="Arial" w:cs="Arial"/>
        </w:rPr>
      </w:pPr>
    </w:p>
    <w:p w:rsidR="007C27B3" w:rsidRPr="007C27B3" w:rsidRDefault="007C27B3" w:rsidP="007C27B3">
      <w:pPr>
        <w:pStyle w:val="NormalWeb"/>
        <w:rPr>
          <w:rFonts w:ascii="Arial" w:hAnsi="Arial" w:cs="Arial"/>
          <w:color w:val="16355B"/>
          <w:sz w:val="26"/>
          <w:szCs w:val="26"/>
        </w:rPr>
        <w:sectPr w:rsidR="007C27B3" w:rsidRPr="007C27B3" w:rsidSect="008A2B8D">
          <w:pgSz w:w="11900" w:h="16840"/>
          <w:pgMar w:top="1134" w:right="1134" w:bottom="1134" w:left="1134" w:header="709" w:footer="709" w:gutter="0"/>
          <w:cols w:space="720"/>
          <w:docGrid w:linePitch="360"/>
        </w:sectPr>
      </w:pPr>
    </w:p>
    <w:p w:rsidR="007C27B3" w:rsidRPr="001862A9" w:rsidRDefault="001862A9" w:rsidP="007C27B3">
      <w:pPr>
        <w:pStyle w:val="NormalWeb"/>
        <w:rPr>
          <w:rFonts w:ascii="Arial" w:hAnsi="Arial" w:cs="Arial"/>
          <w:b/>
          <w:bCs/>
          <w:color w:val="806000" w:themeColor="accent4" w:themeShade="80"/>
        </w:rPr>
      </w:pPr>
      <w:r w:rsidRPr="001862A9">
        <w:rPr>
          <w:rFonts w:ascii="Arial" w:hAnsi="Arial" w:cs="Arial"/>
          <w:b/>
          <w:bCs/>
          <w:color w:val="806000" w:themeColor="accent4" w:themeShade="80"/>
        </w:rPr>
        <w:t xml:space="preserve">ESRC grant ES/N015053/1: </w:t>
      </w:r>
      <w:r w:rsidR="007C27B3" w:rsidRPr="001862A9">
        <w:rPr>
          <w:rFonts w:ascii="Arial" w:hAnsi="Arial" w:cs="Arial"/>
          <w:b/>
          <w:bCs/>
          <w:color w:val="806000" w:themeColor="accent4" w:themeShade="80"/>
        </w:rPr>
        <w:t xml:space="preserve">Gentrification, Displacement, and the Impacts of Council Estate Renewal in Twenty First Century London </w:t>
      </w:r>
    </w:p>
    <w:p w:rsidR="0071116D" w:rsidRPr="0002368F" w:rsidRDefault="00DF24E3">
      <w:pPr>
        <w:rPr>
          <w:rFonts w:ascii="Arial" w:hAnsi="Arial" w:cs="Arial"/>
          <w:color w:val="2F5496" w:themeColor="accent1" w:themeShade="BF"/>
          <w:sz w:val="22"/>
          <w:szCs w:val="22"/>
        </w:rPr>
      </w:pPr>
      <w:r w:rsidRPr="0002368F">
        <w:rPr>
          <w:rFonts w:ascii="Arial" w:hAnsi="Arial" w:cs="Arial"/>
          <w:color w:val="2F5496" w:themeColor="accent1" w:themeShade="BF"/>
          <w:sz w:val="22"/>
          <w:szCs w:val="22"/>
        </w:rPr>
        <w:t xml:space="preserve">Amidst talk of </w:t>
      </w:r>
      <w:r w:rsidR="00B40A4B" w:rsidRPr="0002368F">
        <w:rPr>
          <w:rFonts w:ascii="Arial" w:hAnsi="Arial" w:cs="Arial"/>
          <w:color w:val="2F5496" w:themeColor="accent1" w:themeShade="BF"/>
          <w:sz w:val="22"/>
          <w:szCs w:val="22"/>
        </w:rPr>
        <w:t xml:space="preserve">the </w:t>
      </w:r>
      <w:r w:rsidRPr="0002368F">
        <w:rPr>
          <w:rFonts w:ascii="Arial" w:hAnsi="Arial" w:cs="Arial"/>
          <w:color w:val="2F5496" w:themeColor="accent1" w:themeShade="BF"/>
          <w:sz w:val="22"/>
          <w:szCs w:val="22"/>
        </w:rPr>
        <w:t>social cleansing</w:t>
      </w:r>
      <w:r w:rsidR="00B40A4B" w:rsidRPr="0002368F">
        <w:rPr>
          <w:rFonts w:ascii="Arial" w:hAnsi="Arial" w:cs="Arial"/>
          <w:color w:val="2F5496" w:themeColor="accent1" w:themeShade="BF"/>
          <w:sz w:val="22"/>
          <w:szCs w:val="22"/>
        </w:rPr>
        <w:t xml:space="preserve"> </w:t>
      </w:r>
      <w:r w:rsidR="008A2B8D" w:rsidRPr="0002368F">
        <w:rPr>
          <w:rFonts w:ascii="Arial" w:hAnsi="Arial" w:cs="Arial"/>
          <w:color w:val="2F5496" w:themeColor="accent1" w:themeShade="BF"/>
          <w:sz w:val="22"/>
          <w:szCs w:val="22"/>
        </w:rPr>
        <w:t xml:space="preserve">and gentrification </w:t>
      </w:r>
      <w:r w:rsidR="00B40A4B" w:rsidRPr="0002368F">
        <w:rPr>
          <w:rFonts w:ascii="Arial" w:hAnsi="Arial" w:cs="Arial"/>
          <w:color w:val="2F5496" w:themeColor="accent1" w:themeShade="BF"/>
          <w:sz w:val="22"/>
          <w:szCs w:val="22"/>
        </w:rPr>
        <w:t>of London, this 33</w:t>
      </w:r>
      <w:r w:rsidR="00F261BE">
        <w:rPr>
          <w:rFonts w:ascii="Arial" w:hAnsi="Arial" w:cs="Arial"/>
          <w:color w:val="2F5496" w:themeColor="accent1" w:themeShade="BF"/>
          <w:sz w:val="22"/>
          <w:szCs w:val="22"/>
        </w:rPr>
        <w:t>-</w:t>
      </w:r>
      <w:r w:rsidR="00B40A4B" w:rsidRPr="0002368F">
        <w:rPr>
          <w:rFonts w:ascii="Arial" w:hAnsi="Arial" w:cs="Arial"/>
          <w:color w:val="2F5496" w:themeColor="accent1" w:themeShade="BF"/>
          <w:sz w:val="22"/>
          <w:szCs w:val="22"/>
        </w:rPr>
        <w:t>month</w:t>
      </w:r>
      <w:r w:rsidR="00F261BE">
        <w:rPr>
          <w:rFonts w:ascii="Arial" w:hAnsi="Arial" w:cs="Arial"/>
          <w:color w:val="2F5496" w:themeColor="accent1" w:themeShade="BF"/>
          <w:sz w:val="22"/>
          <w:szCs w:val="22"/>
        </w:rPr>
        <w:t xml:space="preserve"> p</w:t>
      </w:r>
      <w:r w:rsidR="00B40A4B" w:rsidRPr="0002368F">
        <w:rPr>
          <w:rFonts w:ascii="Arial" w:hAnsi="Arial" w:cs="Arial"/>
          <w:color w:val="2F5496" w:themeColor="accent1" w:themeShade="BF"/>
          <w:sz w:val="22"/>
          <w:szCs w:val="22"/>
        </w:rPr>
        <w:t>roject explore</w:t>
      </w:r>
      <w:r w:rsidR="00F261BE">
        <w:rPr>
          <w:rFonts w:ascii="Arial" w:hAnsi="Arial" w:cs="Arial"/>
          <w:color w:val="2F5496" w:themeColor="accent1" w:themeShade="BF"/>
          <w:sz w:val="22"/>
          <w:szCs w:val="22"/>
        </w:rPr>
        <w:t>d</w:t>
      </w:r>
      <w:r w:rsidR="00B40A4B" w:rsidRPr="0002368F">
        <w:rPr>
          <w:rFonts w:ascii="Arial" w:hAnsi="Arial" w:cs="Arial"/>
          <w:color w:val="2F5496" w:themeColor="accent1" w:themeShade="BF"/>
          <w:sz w:val="22"/>
          <w:szCs w:val="22"/>
        </w:rPr>
        <w:t xml:space="preserve"> the impact of council estate renewal </w:t>
      </w:r>
      <w:r w:rsidR="00FF0841" w:rsidRPr="0002368F">
        <w:rPr>
          <w:rFonts w:ascii="Arial" w:hAnsi="Arial" w:cs="Arial"/>
          <w:color w:val="2F5496" w:themeColor="accent1" w:themeShade="BF"/>
          <w:sz w:val="22"/>
          <w:szCs w:val="22"/>
        </w:rPr>
        <w:t>on</w:t>
      </w:r>
      <w:r w:rsidR="00B40A4B" w:rsidRPr="0002368F">
        <w:rPr>
          <w:rFonts w:ascii="Arial" w:hAnsi="Arial" w:cs="Arial"/>
          <w:color w:val="2F5496" w:themeColor="accent1" w:themeShade="BF"/>
          <w:sz w:val="22"/>
          <w:szCs w:val="22"/>
        </w:rPr>
        <w:t xml:space="preserve"> those residents </w:t>
      </w:r>
      <w:r w:rsidR="001B3AB3" w:rsidRPr="0002368F">
        <w:rPr>
          <w:rFonts w:ascii="Arial" w:hAnsi="Arial" w:cs="Arial"/>
          <w:color w:val="2F5496" w:themeColor="accent1" w:themeShade="BF"/>
          <w:sz w:val="22"/>
          <w:szCs w:val="22"/>
        </w:rPr>
        <w:t xml:space="preserve">being </w:t>
      </w:r>
      <w:r w:rsidR="00B40A4B" w:rsidRPr="0002368F">
        <w:rPr>
          <w:rFonts w:ascii="Arial" w:hAnsi="Arial" w:cs="Arial"/>
          <w:color w:val="2F5496" w:themeColor="accent1" w:themeShade="BF"/>
          <w:sz w:val="22"/>
          <w:szCs w:val="22"/>
        </w:rPr>
        <w:t>‘decanted’</w:t>
      </w:r>
      <w:r w:rsidR="001B3AB3" w:rsidRPr="0002368F">
        <w:rPr>
          <w:rFonts w:ascii="Arial" w:hAnsi="Arial" w:cs="Arial"/>
          <w:color w:val="2F5496" w:themeColor="accent1" w:themeShade="BF"/>
          <w:sz w:val="22"/>
          <w:szCs w:val="22"/>
        </w:rPr>
        <w:t xml:space="preserve"> </w:t>
      </w:r>
      <w:r w:rsidR="00B40A4B" w:rsidRPr="0002368F">
        <w:rPr>
          <w:rFonts w:ascii="Arial" w:hAnsi="Arial" w:cs="Arial"/>
          <w:color w:val="2F5496" w:themeColor="accent1" w:themeShade="BF"/>
          <w:sz w:val="22"/>
          <w:szCs w:val="22"/>
        </w:rPr>
        <w:t xml:space="preserve">from their homes to allow for demolition and redevelopment. </w:t>
      </w:r>
      <w:r w:rsidR="00292D03" w:rsidRPr="0002368F">
        <w:rPr>
          <w:rFonts w:ascii="Arial" w:hAnsi="Arial" w:cs="Arial"/>
          <w:color w:val="2F5496" w:themeColor="accent1" w:themeShade="BF"/>
          <w:sz w:val="22"/>
          <w:szCs w:val="22"/>
        </w:rPr>
        <w:t>A</w:t>
      </w:r>
      <w:r w:rsidR="00B40A4B" w:rsidRPr="0002368F">
        <w:rPr>
          <w:rFonts w:ascii="Arial" w:hAnsi="Arial" w:cs="Arial"/>
          <w:color w:val="2F5496" w:themeColor="accent1" w:themeShade="BF"/>
          <w:sz w:val="22"/>
          <w:szCs w:val="22"/>
        </w:rPr>
        <w:t xml:space="preserve">s well as compiling quantitative evidence of the scale of the renewal of estates in London, and the amount of </w:t>
      </w:r>
      <w:proofErr w:type="gramStart"/>
      <w:r w:rsidR="00B40A4B" w:rsidRPr="0002368F">
        <w:rPr>
          <w:rFonts w:ascii="Arial" w:hAnsi="Arial" w:cs="Arial"/>
          <w:color w:val="2F5496" w:themeColor="accent1" w:themeShade="BF"/>
          <w:sz w:val="22"/>
          <w:szCs w:val="22"/>
        </w:rPr>
        <w:t>demolition which</w:t>
      </w:r>
      <w:proofErr w:type="gramEnd"/>
      <w:r w:rsidR="00B40A4B" w:rsidRPr="0002368F">
        <w:rPr>
          <w:rFonts w:ascii="Arial" w:hAnsi="Arial" w:cs="Arial"/>
          <w:color w:val="2F5496" w:themeColor="accent1" w:themeShade="BF"/>
          <w:sz w:val="22"/>
          <w:szCs w:val="22"/>
        </w:rPr>
        <w:t xml:space="preserve"> ha</w:t>
      </w:r>
      <w:r w:rsidR="008A2B8D" w:rsidRPr="0002368F">
        <w:rPr>
          <w:rFonts w:ascii="Arial" w:hAnsi="Arial" w:cs="Arial"/>
          <w:color w:val="2F5496" w:themeColor="accent1" w:themeShade="BF"/>
          <w:sz w:val="22"/>
          <w:szCs w:val="22"/>
        </w:rPr>
        <w:t>s</w:t>
      </w:r>
      <w:r w:rsidR="00B40A4B" w:rsidRPr="0002368F">
        <w:rPr>
          <w:rFonts w:ascii="Arial" w:hAnsi="Arial" w:cs="Arial"/>
          <w:color w:val="2F5496" w:themeColor="accent1" w:themeShade="BF"/>
          <w:sz w:val="22"/>
          <w:szCs w:val="22"/>
        </w:rPr>
        <w:t xml:space="preserve"> been undertaken, the project used qualitative methods to explore the impacts of decanting on different resident</w:t>
      </w:r>
      <w:r w:rsidR="008A2B8D" w:rsidRPr="0002368F">
        <w:rPr>
          <w:rFonts w:ascii="Arial" w:hAnsi="Arial" w:cs="Arial"/>
          <w:color w:val="2F5496" w:themeColor="accent1" w:themeShade="BF"/>
          <w:sz w:val="22"/>
          <w:szCs w:val="22"/>
        </w:rPr>
        <w:t xml:space="preserve"> groups</w:t>
      </w:r>
      <w:r w:rsidR="00B40A4B" w:rsidRPr="0002368F">
        <w:rPr>
          <w:rFonts w:ascii="Arial" w:hAnsi="Arial" w:cs="Arial"/>
          <w:color w:val="2F5496" w:themeColor="accent1" w:themeShade="BF"/>
          <w:sz w:val="22"/>
          <w:szCs w:val="22"/>
        </w:rPr>
        <w:t xml:space="preserve">. </w:t>
      </w:r>
      <w:r w:rsidR="0071116D" w:rsidRPr="0002368F">
        <w:rPr>
          <w:rFonts w:ascii="Arial" w:hAnsi="Arial" w:cs="Arial"/>
          <w:color w:val="2F5496" w:themeColor="accent1" w:themeShade="BF"/>
          <w:sz w:val="22"/>
          <w:szCs w:val="22"/>
        </w:rPr>
        <w:t xml:space="preserve">Some of the major findings </w:t>
      </w:r>
      <w:r w:rsidR="00F261BE">
        <w:rPr>
          <w:rFonts w:ascii="Arial" w:hAnsi="Arial" w:cs="Arial"/>
          <w:color w:val="2F5496" w:themeColor="accent1" w:themeShade="BF"/>
          <w:sz w:val="22"/>
          <w:szCs w:val="22"/>
        </w:rPr>
        <w:t>are</w:t>
      </w:r>
      <w:r w:rsidR="00B40A4B" w:rsidRPr="0002368F">
        <w:rPr>
          <w:rFonts w:ascii="Arial" w:hAnsi="Arial" w:cs="Arial"/>
          <w:color w:val="2F5496" w:themeColor="accent1" w:themeShade="BF"/>
          <w:sz w:val="22"/>
          <w:szCs w:val="22"/>
        </w:rPr>
        <w:t xml:space="preserve"> as follows</w:t>
      </w:r>
      <w:r w:rsidR="0071116D" w:rsidRPr="0002368F">
        <w:rPr>
          <w:rFonts w:ascii="Arial" w:hAnsi="Arial" w:cs="Arial"/>
          <w:color w:val="2F5496" w:themeColor="accent1" w:themeShade="BF"/>
          <w:sz w:val="22"/>
          <w:szCs w:val="22"/>
        </w:rPr>
        <w:t xml:space="preserve">: </w:t>
      </w:r>
    </w:p>
    <w:p w:rsidR="00CC6D3A" w:rsidRPr="0002368F" w:rsidRDefault="00CC6D3A">
      <w:pPr>
        <w:rPr>
          <w:rFonts w:ascii="Arial" w:hAnsi="Arial" w:cs="Arial"/>
          <w:color w:val="2F5496" w:themeColor="accent1" w:themeShade="BF"/>
          <w:sz w:val="20"/>
          <w:szCs w:val="20"/>
        </w:rPr>
      </w:pPr>
    </w:p>
    <w:p w:rsidR="00292D03" w:rsidRPr="0002368F" w:rsidRDefault="00B40A4B" w:rsidP="00C61677">
      <w:pPr>
        <w:pStyle w:val="ListParagraph"/>
        <w:numPr>
          <w:ilvl w:val="0"/>
          <w:numId w:val="1"/>
        </w:numPr>
        <w:rPr>
          <w:rFonts w:ascii="Arial" w:hAnsi="Arial" w:cs="Arial"/>
          <w:color w:val="2F5496" w:themeColor="accent1" w:themeShade="BF"/>
          <w:sz w:val="22"/>
          <w:szCs w:val="22"/>
        </w:rPr>
      </w:pPr>
      <w:r w:rsidRPr="0002368F">
        <w:rPr>
          <w:rFonts w:ascii="Arial" w:hAnsi="Arial" w:cs="Arial"/>
          <w:color w:val="2F5496" w:themeColor="accent1" w:themeShade="BF"/>
          <w:sz w:val="22"/>
          <w:szCs w:val="22"/>
        </w:rPr>
        <w:t xml:space="preserve">The scale of decanting </w:t>
      </w:r>
      <w:r w:rsidR="00292D03" w:rsidRPr="0002368F">
        <w:rPr>
          <w:rFonts w:ascii="Arial" w:hAnsi="Arial" w:cs="Arial"/>
          <w:color w:val="2F5496" w:themeColor="accent1" w:themeShade="BF"/>
          <w:sz w:val="22"/>
          <w:szCs w:val="22"/>
        </w:rPr>
        <w:t xml:space="preserve">from council estates </w:t>
      </w:r>
      <w:r w:rsidR="002172FC" w:rsidRPr="0002368F">
        <w:rPr>
          <w:rFonts w:ascii="Arial" w:hAnsi="Arial" w:cs="Arial"/>
          <w:color w:val="2F5496" w:themeColor="accent1" w:themeShade="BF"/>
          <w:sz w:val="22"/>
          <w:szCs w:val="22"/>
        </w:rPr>
        <w:t>has been</w:t>
      </w:r>
      <w:r w:rsidRPr="0002368F">
        <w:rPr>
          <w:rFonts w:ascii="Arial" w:hAnsi="Arial" w:cs="Arial"/>
          <w:color w:val="2F5496" w:themeColor="accent1" w:themeShade="BF"/>
          <w:sz w:val="22"/>
          <w:szCs w:val="22"/>
        </w:rPr>
        <w:t xml:space="preserve"> under-estimated: there have been at least 161 schemes in London since </w:t>
      </w:r>
      <w:proofErr w:type="gramStart"/>
      <w:r w:rsidRPr="0002368F">
        <w:rPr>
          <w:rFonts w:ascii="Arial" w:hAnsi="Arial" w:cs="Arial"/>
          <w:color w:val="2F5496" w:themeColor="accent1" w:themeShade="BF"/>
          <w:sz w:val="22"/>
          <w:szCs w:val="22"/>
        </w:rPr>
        <w:t>1997 which</w:t>
      </w:r>
      <w:proofErr w:type="gramEnd"/>
      <w:r w:rsidRPr="0002368F">
        <w:rPr>
          <w:rFonts w:ascii="Arial" w:hAnsi="Arial" w:cs="Arial"/>
          <w:color w:val="2F5496" w:themeColor="accent1" w:themeShade="BF"/>
          <w:sz w:val="22"/>
          <w:szCs w:val="22"/>
        </w:rPr>
        <w:t xml:space="preserve"> have involved demolition</w:t>
      </w:r>
      <w:r w:rsidR="00292D03" w:rsidRPr="0002368F">
        <w:rPr>
          <w:rFonts w:ascii="Arial" w:hAnsi="Arial" w:cs="Arial"/>
          <w:color w:val="2F5496" w:themeColor="accent1" w:themeShade="BF"/>
          <w:sz w:val="22"/>
          <w:szCs w:val="22"/>
        </w:rPr>
        <w:t xml:space="preserve">, and at least 55,000 households </w:t>
      </w:r>
      <w:r w:rsidR="00F261BE">
        <w:rPr>
          <w:rFonts w:ascii="Arial" w:hAnsi="Arial" w:cs="Arial"/>
          <w:color w:val="2F5496" w:themeColor="accent1" w:themeShade="BF"/>
          <w:sz w:val="22"/>
          <w:szCs w:val="22"/>
        </w:rPr>
        <w:t>(</w:t>
      </w:r>
      <w:r w:rsidR="002172FC" w:rsidRPr="0002368F">
        <w:rPr>
          <w:rFonts w:ascii="Arial" w:hAnsi="Arial" w:cs="Arial"/>
          <w:color w:val="2F5496" w:themeColor="accent1" w:themeShade="BF"/>
          <w:sz w:val="22"/>
          <w:szCs w:val="22"/>
        </w:rPr>
        <w:t xml:space="preserve">approximately 150,000 to 200,000 </w:t>
      </w:r>
      <w:r w:rsidR="001B3AB3" w:rsidRPr="0002368F">
        <w:rPr>
          <w:rFonts w:ascii="Arial" w:hAnsi="Arial" w:cs="Arial"/>
          <w:color w:val="2F5496" w:themeColor="accent1" w:themeShade="BF"/>
          <w:sz w:val="22"/>
          <w:szCs w:val="22"/>
        </w:rPr>
        <w:t>residents</w:t>
      </w:r>
      <w:r w:rsidR="00F261BE">
        <w:rPr>
          <w:rFonts w:ascii="Arial" w:hAnsi="Arial" w:cs="Arial"/>
          <w:color w:val="2F5496" w:themeColor="accent1" w:themeShade="BF"/>
          <w:sz w:val="22"/>
          <w:szCs w:val="22"/>
        </w:rPr>
        <w:t>)</w:t>
      </w:r>
      <w:r w:rsidR="002172FC" w:rsidRPr="0002368F">
        <w:rPr>
          <w:rFonts w:ascii="Arial" w:hAnsi="Arial" w:cs="Arial"/>
          <w:color w:val="2F5496" w:themeColor="accent1" w:themeShade="BF"/>
          <w:sz w:val="22"/>
          <w:szCs w:val="22"/>
        </w:rPr>
        <w:t xml:space="preserve"> have had to move. </w:t>
      </w:r>
    </w:p>
    <w:p w:rsidR="00292D03" w:rsidRPr="0002368F" w:rsidRDefault="00292D03" w:rsidP="00292D03">
      <w:pPr>
        <w:pStyle w:val="ListParagraph"/>
        <w:rPr>
          <w:rFonts w:ascii="Arial" w:hAnsi="Arial" w:cs="Arial"/>
          <w:color w:val="2F5496" w:themeColor="accent1" w:themeShade="BF"/>
          <w:sz w:val="22"/>
          <w:szCs w:val="22"/>
        </w:rPr>
      </w:pPr>
    </w:p>
    <w:p w:rsidR="00CC6D3A" w:rsidRPr="0002368F" w:rsidRDefault="00292D03" w:rsidP="00C61677">
      <w:pPr>
        <w:pStyle w:val="ListParagraph"/>
        <w:numPr>
          <w:ilvl w:val="0"/>
          <w:numId w:val="1"/>
        </w:numPr>
        <w:rPr>
          <w:rFonts w:ascii="Arial" w:hAnsi="Arial" w:cs="Arial"/>
          <w:color w:val="2F5496" w:themeColor="accent1" w:themeShade="BF"/>
          <w:sz w:val="22"/>
          <w:szCs w:val="22"/>
        </w:rPr>
      </w:pPr>
      <w:r w:rsidRPr="0002368F">
        <w:rPr>
          <w:rFonts w:ascii="Arial" w:hAnsi="Arial" w:cs="Arial"/>
          <w:color w:val="2F5496" w:themeColor="accent1" w:themeShade="BF"/>
          <w:sz w:val="22"/>
          <w:szCs w:val="22"/>
        </w:rPr>
        <w:t xml:space="preserve">The majority of properties on redeveloped estates </w:t>
      </w:r>
      <w:proofErr w:type="gramStart"/>
      <w:r w:rsidRPr="0002368F">
        <w:rPr>
          <w:rFonts w:ascii="Arial" w:hAnsi="Arial" w:cs="Arial"/>
          <w:color w:val="2F5496" w:themeColor="accent1" w:themeShade="BF"/>
          <w:sz w:val="22"/>
          <w:szCs w:val="22"/>
        </w:rPr>
        <w:t>are sold</w:t>
      </w:r>
      <w:proofErr w:type="gramEnd"/>
      <w:r w:rsidRPr="0002368F">
        <w:rPr>
          <w:rFonts w:ascii="Arial" w:hAnsi="Arial" w:cs="Arial"/>
          <w:color w:val="2F5496" w:themeColor="accent1" w:themeShade="BF"/>
          <w:sz w:val="22"/>
          <w:szCs w:val="22"/>
        </w:rPr>
        <w:t xml:space="preserve"> at market rate and few meet the definition of ‘affordable’ housing.</w:t>
      </w:r>
      <w:r w:rsidR="00F261BE" w:rsidRPr="00F261BE">
        <w:rPr>
          <w:rFonts w:ascii="Arial" w:hAnsi="Arial" w:cs="Arial"/>
          <w:color w:val="2F5496" w:themeColor="accent1" w:themeShade="BF"/>
          <w:sz w:val="22"/>
          <w:szCs w:val="22"/>
        </w:rPr>
        <w:t xml:space="preserve"> </w:t>
      </w:r>
      <w:r w:rsidR="00F261BE" w:rsidRPr="0002368F">
        <w:rPr>
          <w:rFonts w:ascii="Arial" w:hAnsi="Arial" w:cs="Arial"/>
          <w:color w:val="2F5496" w:themeColor="accent1" w:themeShade="BF"/>
          <w:sz w:val="22"/>
          <w:szCs w:val="22"/>
        </w:rPr>
        <w:t xml:space="preserve">Housing association rents are usually higher than council rents, </w:t>
      </w:r>
      <w:r w:rsidR="00F261BE">
        <w:rPr>
          <w:rFonts w:ascii="Arial" w:hAnsi="Arial" w:cs="Arial"/>
          <w:color w:val="2F5496" w:themeColor="accent1" w:themeShade="BF"/>
          <w:sz w:val="22"/>
          <w:szCs w:val="22"/>
        </w:rPr>
        <w:t xml:space="preserve">properties are generally smaller, </w:t>
      </w:r>
      <w:r w:rsidR="00F261BE" w:rsidRPr="0002368F">
        <w:rPr>
          <w:rFonts w:ascii="Arial" w:hAnsi="Arial" w:cs="Arial"/>
          <w:color w:val="2F5496" w:themeColor="accent1" w:themeShade="BF"/>
          <w:sz w:val="22"/>
          <w:szCs w:val="22"/>
        </w:rPr>
        <w:t xml:space="preserve">and in </w:t>
      </w:r>
      <w:proofErr w:type="gramStart"/>
      <w:r w:rsidR="00F261BE" w:rsidRPr="0002368F">
        <w:rPr>
          <w:rFonts w:ascii="Arial" w:hAnsi="Arial" w:cs="Arial"/>
          <w:color w:val="2F5496" w:themeColor="accent1" w:themeShade="BF"/>
          <w:sz w:val="22"/>
          <w:szCs w:val="22"/>
        </w:rPr>
        <w:t>being moved</w:t>
      </w:r>
      <w:proofErr w:type="gramEnd"/>
      <w:r w:rsidR="00F261BE" w:rsidRPr="0002368F">
        <w:rPr>
          <w:rFonts w:ascii="Arial" w:hAnsi="Arial" w:cs="Arial"/>
          <w:color w:val="2F5496" w:themeColor="accent1" w:themeShade="BF"/>
          <w:sz w:val="22"/>
          <w:szCs w:val="22"/>
        </w:rPr>
        <w:t xml:space="preserve"> into housing association properties council tenants lose the extra protections built into council housing tenure.</w:t>
      </w:r>
    </w:p>
    <w:p w:rsidR="00CC6D3A" w:rsidRPr="0002368F" w:rsidRDefault="00CC6D3A">
      <w:pPr>
        <w:rPr>
          <w:rFonts w:ascii="Arial" w:hAnsi="Arial" w:cs="Arial"/>
          <w:color w:val="2F5496" w:themeColor="accent1" w:themeShade="BF"/>
          <w:sz w:val="22"/>
          <w:szCs w:val="22"/>
        </w:rPr>
      </w:pPr>
    </w:p>
    <w:p w:rsidR="00292D03" w:rsidRDefault="00292D03" w:rsidP="00C61677">
      <w:pPr>
        <w:pStyle w:val="ListParagraph"/>
        <w:numPr>
          <w:ilvl w:val="0"/>
          <w:numId w:val="1"/>
        </w:numPr>
        <w:rPr>
          <w:rFonts w:ascii="Arial" w:hAnsi="Arial" w:cs="Arial"/>
          <w:color w:val="2F5496" w:themeColor="accent1" w:themeShade="BF"/>
          <w:sz w:val="22"/>
          <w:szCs w:val="22"/>
        </w:rPr>
      </w:pPr>
      <w:r w:rsidRPr="0002368F">
        <w:rPr>
          <w:rFonts w:ascii="Arial" w:hAnsi="Arial" w:cs="Arial"/>
          <w:color w:val="2F5496" w:themeColor="accent1" w:themeShade="BF"/>
          <w:sz w:val="22"/>
          <w:szCs w:val="22"/>
        </w:rPr>
        <w:t xml:space="preserve">The impact of decanting on residents varies according to tenure. For many leaseholders, compensation payments for their properties do not allow them </w:t>
      </w:r>
      <w:r w:rsidRPr="0002368F">
        <w:rPr>
          <w:rFonts w:ascii="Arial" w:hAnsi="Arial" w:cs="Arial"/>
          <w:color w:val="2F5496" w:themeColor="accent1" w:themeShade="BF"/>
          <w:sz w:val="22"/>
          <w:szCs w:val="22"/>
        </w:rPr>
        <w:lastRenderedPageBreak/>
        <w:t xml:space="preserve">to buy a similar property near to their previous residence; council tenants </w:t>
      </w:r>
      <w:proofErr w:type="gramStart"/>
      <w:r w:rsidRPr="0002368F">
        <w:rPr>
          <w:rFonts w:ascii="Arial" w:hAnsi="Arial" w:cs="Arial"/>
          <w:color w:val="2F5496" w:themeColor="accent1" w:themeShade="BF"/>
          <w:sz w:val="22"/>
          <w:szCs w:val="22"/>
        </w:rPr>
        <w:t>are often rehoused</w:t>
      </w:r>
      <w:proofErr w:type="gramEnd"/>
      <w:r w:rsidRPr="0002368F">
        <w:rPr>
          <w:rFonts w:ascii="Arial" w:hAnsi="Arial" w:cs="Arial"/>
          <w:color w:val="2F5496" w:themeColor="accent1" w:themeShade="BF"/>
          <w:sz w:val="22"/>
          <w:szCs w:val="22"/>
        </w:rPr>
        <w:t xml:space="preserve"> nearer the original estate but sometimes out of borough</w:t>
      </w:r>
      <w:r w:rsidR="00F261BE">
        <w:rPr>
          <w:rFonts w:ascii="Arial" w:hAnsi="Arial" w:cs="Arial"/>
          <w:color w:val="2F5496" w:themeColor="accent1" w:themeShade="BF"/>
          <w:sz w:val="22"/>
          <w:szCs w:val="22"/>
        </w:rPr>
        <w:t>.</w:t>
      </w:r>
    </w:p>
    <w:p w:rsidR="00F261BE" w:rsidRPr="00F261BE" w:rsidRDefault="00F261BE" w:rsidP="00F261BE">
      <w:pPr>
        <w:rPr>
          <w:rFonts w:ascii="Arial" w:hAnsi="Arial" w:cs="Arial"/>
          <w:color w:val="2F5496" w:themeColor="accent1" w:themeShade="BF"/>
          <w:sz w:val="22"/>
          <w:szCs w:val="22"/>
        </w:rPr>
      </w:pPr>
    </w:p>
    <w:p w:rsidR="00F261BE" w:rsidRPr="0002368F" w:rsidRDefault="00F261BE" w:rsidP="00F261BE">
      <w:pPr>
        <w:pStyle w:val="ListParagraph"/>
        <w:numPr>
          <w:ilvl w:val="0"/>
          <w:numId w:val="1"/>
        </w:numPr>
        <w:rPr>
          <w:rFonts w:ascii="Arial" w:hAnsi="Arial" w:cs="Arial"/>
          <w:color w:val="2F5496" w:themeColor="accent1" w:themeShade="BF"/>
          <w:sz w:val="22"/>
          <w:szCs w:val="22"/>
        </w:rPr>
      </w:pPr>
      <w:r w:rsidRPr="0002368F">
        <w:rPr>
          <w:rFonts w:ascii="Arial" w:hAnsi="Arial" w:cs="Arial"/>
          <w:color w:val="2F5496" w:themeColor="accent1" w:themeShade="BF"/>
          <w:sz w:val="22"/>
          <w:szCs w:val="22"/>
        </w:rPr>
        <w:t xml:space="preserve">Temporary tenants </w:t>
      </w:r>
      <w:proofErr w:type="gramStart"/>
      <w:r w:rsidRPr="0002368F">
        <w:rPr>
          <w:rFonts w:ascii="Arial" w:hAnsi="Arial" w:cs="Arial"/>
          <w:color w:val="2F5496" w:themeColor="accent1" w:themeShade="BF"/>
          <w:sz w:val="22"/>
          <w:szCs w:val="22"/>
        </w:rPr>
        <w:t>are often moved</w:t>
      </w:r>
      <w:proofErr w:type="gramEnd"/>
      <w:r w:rsidRPr="0002368F">
        <w:rPr>
          <w:rFonts w:ascii="Arial" w:hAnsi="Arial" w:cs="Arial"/>
          <w:color w:val="2F5496" w:themeColor="accent1" w:themeShade="BF"/>
          <w:sz w:val="22"/>
          <w:szCs w:val="22"/>
        </w:rPr>
        <w:t xml:space="preserve"> onto estates </w:t>
      </w:r>
      <w:r>
        <w:rPr>
          <w:rFonts w:ascii="Arial" w:hAnsi="Arial" w:cs="Arial"/>
          <w:color w:val="2F5496" w:themeColor="accent1" w:themeShade="BF"/>
          <w:sz w:val="22"/>
          <w:szCs w:val="22"/>
        </w:rPr>
        <w:t xml:space="preserve">in the process of </w:t>
      </w:r>
      <w:r w:rsidRPr="0002368F">
        <w:rPr>
          <w:rFonts w:ascii="Arial" w:hAnsi="Arial" w:cs="Arial"/>
          <w:color w:val="2F5496" w:themeColor="accent1" w:themeShade="BF"/>
          <w:sz w:val="22"/>
          <w:szCs w:val="22"/>
        </w:rPr>
        <w:t xml:space="preserve">being decanted. Many temporary tenants have ended up living on decanting estates for many years, yet they have no rights in terms of </w:t>
      </w:r>
      <w:proofErr w:type="gramStart"/>
      <w:r w:rsidRPr="0002368F">
        <w:rPr>
          <w:rFonts w:ascii="Arial" w:hAnsi="Arial" w:cs="Arial"/>
          <w:color w:val="2F5496" w:themeColor="accent1" w:themeShade="BF"/>
          <w:sz w:val="22"/>
          <w:szCs w:val="22"/>
        </w:rPr>
        <w:t>being rehoused</w:t>
      </w:r>
      <w:proofErr w:type="gramEnd"/>
      <w:r w:rsidRPr="0002368F">
        <w:rPr>
          <w:rFonts w:ascii="Arial" w:hAnsi="Arial" w:cs="Arial"/>
          <w:color w:val="2F5496" w:themeColor="accent1" w:themeShade="BF"/>
          <w:sz w:val="22"/>
          <w:szCs w:val="22"/>
        </w:rPr>
        <w:t xml:space="preserve"> on the footprint of the estate</w:t>
      </w:r>
      <w:r>
        <w:rPr>
          <w:rFonts w:ascii="Arial" w:hAnsi="Arial" w:cs="Arial"/>
          <w:color w:val="2F5496" w:themeColor="accent1" w:themeShade="BF"/>
          <w:sz w:val="22"/>
          <w:szCs w:val="22"/>
        </w:rPr>
        <w:t>,</w:t>
      </w:r>
      <w:r w:rsidRPr="0002368F">
        <w:rPr>
          <w:rFonts w:ascii="Arial" w:hAnsi="Arial" w:cs="Arial"/>
          <w:color w:val="2F5496" w:themeColor="accent1" w:themeShade="BF"/>
          <w:sz w:val="22"/>
          <w:szCs w:val="22"/>
        </w:rPr>
        <w:t xml:space="preserve"> in the new development or nearby.</w:t>
      </w:r>
    </w:p>
    <w:p w:rsidR="00292D03" w:rsidRPr="0002368F" w:rsidRDefault="00292D03" w:rsidP="00292D03">
      <w:pPr>
        <w:pStyle w:val="ListParagraph"/>
        <w:rPr>
          <w:rFonts w:ascii="Arial" w:hAnsi="Arial" w:cs="Arial"/>
          <w:color w:val="2F5496" w:themeColor="accent1" w:themeShade="BF"/>
          <w:sz w:val="22"/>
          <w:szCs w:val="22"/>
        </w:rPr>
      </w:pPr>
    </w:p>
    <w:p w:rsidR="00CC6D3A" w:rsidRDefault="00292D03" w:rsidP="00541BE6">
      <w:pPr>
        <w:pStyle w:val="ListParagraph"/>
        <w:numPr>
          <w:ilvl w:val="0"/>
          <w:numId w:val="1"/>
        </w:numPr>
        <w:rPr>
          <w:rFonts w:ascii="Arial" w:hAnsi="Arial" w:cs="Arial"/>
          <w:color w:val="2F5496" w:themeColor="accent1" w:themeShade="BF"/>
          <w:sz w:val="22"/>
          <w:szCs w:val="22"/>
        </w:rPr>
      </w:pPr>
      <w:r w:rsidRPr="00F261BE">
        <w:rPr>
          <w:rFonts w:ascii="Arial" w:hAnsi="Arial" w:cs="Arial"/>
          <w:color w:val="2F5496" w:themeColor="accent1" w:themeShade="BF"/>
          <w:sz w:val="22"/>
          <w:szCs w:val="22"/>
        </w:rPr>
        <w:t xml:space="preserve">Return to the original </w:t>
      </w:r>
      <w:r w:rsidR="006A1C27" w:rsidRPr="00F261BE">
        <w:rPr>
          <w:rFonts w:ascii="Arial" w:hAnsi="Arial" w:cs="Arial"/>
          <w:color w:val="2F5496" w:themeColor="accent1" w:themeShade="BF"/>
          <w:sz w:val="22"/>
          <w:szCs w:val="22"/>
        </w:rPr>
        <w:t xml:space="preserve">footprint of the </w:t>
      </w:r>
      <w:r w:rsidRPr="00F261BE">
        <w:rPr>
          <w:rFonts w:ascii="Arial" w:hAnsi="Arial" w:cs="Arial"/>
          <w:color w:val="2F5496" w:themeColor="accent1" w:themeShade="BF"/>
          <w:sz w:val="22"/>
          <w:szCs w:val="22"/>
        </w:rPr>
        <w:t xml:space="preserve">estate is often impossible </w:t>
      </w:r>
      <w:r w:rsidR="001B3AB3" w:rsidRPr="00F261BE">
        <w:rPr>
          <w:rFonts w:ascii="Arial" w:hAnsi="Arial" w:cs="Arial"/>
          <w:color w:val="2F5496" w:themeColor="accent1" w:themeShade="BF"/>
          <w:sz w:val="22"/>
          <w:szCs w:val="22"/>
        </w:rPr>
        <w:t xml:space="preserve">for leaseholders </w:t>
      </w:r>
      <w:r w:rsidRPr="00F261BE">
        <w:rPr>
          <w:rFonts w:ascii="Arial" w:hAnsi="Arial" w:cs="Arial"/>
          <w:color w:val="2F5496" w:themeColor="accent1" w:themeShade="BF"/>
          <w:sz w:val="22"/>
          <w:szCs w:val="22"/>
        </w:rPr>
        <w:t xml:space="preserve">given similar-sized properties </w:t>
      </w:r>
      <w:r w:rsidR="006A1C27" w:rsidRPr="00F261BE">
        <w:rPr>
          <w:rFonts w:ascii="Arial" w:hAnsi="Arial" w:cs="Arial"/>
          <w:color w:val="2F5496" w:themeColor="accent1" w:themeShade="BF"/>
          <w:sz w:val="22"/>
          <w:szCs w:val="22"/>
        </w:rPr>
        <w:t>in the new developments</w:t>
      </w:r>
      <w:r w:rsidRPr="00F261BE">
        <w:rPr>
          <w:rFonts w:ascii="Arial" w:hAnsi="Arial" w:cs="Arial"/>
          <w:color w:val="2F5496" w:themeColor="accent1" w:themeShade="BF"/>
          <w:sz w:val="22"/>
          <w:szCs w:val="22"/>
        </w:rPr>
        <w:t xml:space="preserve"> tend to become much less affordable after redevelopment</w:t>
      </w:r>
      <w:r w:rsidR="00F261BE" w:rsidRPr="00F261BE">
        <w:rPr>
          <w:rFonts w:ascii="Arial" w:hAnsi="Arial" w:cs="Arial"/>
          <w:color w:val="2F5496" w:themeColor="accent1" w:themeShade="BF"/>
          <w:sz w:val="22"/>
          <w:szCs w:val="22"/>
        </w:rPr>
        <w:t>: s</w:t>
      </w:r>
      <w:r w:rsidRPr="00F261BE">
        <w:rPr>
          <w:rFonts w:ascii="Arial" w:hAnsi="Arial" w:cs="Arial"/>
          <w:color w:val="2F5496" w:themeColor="accent1" w:themeShade="BF"/>
          <w:sz w:val="22"/>
          <w:szCs w:val="22"/>
        </w:rPr>
        <w:t xml:space="preserve">hared ownership properties are rarely attractive for those who </w:t>
      </w:r>
      <w:r w:rsidR="008A2B8D" w:rsidRPr="00F261BE">
        <w:rPr>
          <w:rFonts w:ascii="Arial" w:hAnsi="Arial" w:cs="Arial"/>
          <w:color w:val="2F5496" w:themeColor="accent1" w:themeShade="BF"/>
          <w:sz w:val="22"/>
          <w:szCs w:val="22"/>
        </w:rPr>
        <w:t xml:space="preserve">previously </w:t>
      </w:r>
      <w:r w:rsidRPr="00F261BE">
        <w:rPr>
          <w:rFonts w:ascii="Arial" w:hAnsi="Arial" w:cs="Arial"/>
          <w:color w:val="2F5496" w:themeColor="accent1" w:themeShade="BF"/>
          <w:sz w:val="22"/>
          <w:szCs w:val="22"/>
        </w:rPr>
        <w:t>bought their property under ‘right to buy’</w:t>
      </w:r>
      <w:r w:rsidR="00F261BE">
        <w:rPr>
          <w:rFonts w:ascii="Arial" w:hAnsi="Arial" w:cs="Arial"/>
          <w:color w:val="2F5496" w:themeColor="accent1" w:themeShade="BF"/>
          <w:sz w:val="22"/>
          <w:szCs w:val="22"/>
        </w:rPr>
        <w:t>.</w:t>
      </w:r>
    </w:p>
    <w:p w:rsidR="00F261BE" w:rsidRPr="00F261BE" w:rsidRDefault="00F261BE" w:rsidP="00F261BE">
      <w:pPr>
        <w:rPr>
          <w:rFonts w:ascii="Arial" w:hAnsi="Arial" w:cs="Arial"/>
          <w:color w:val="2F5496" w:themeColor="accent1" w:themeShade="BF"/>
          <w:sz w:val="22"/>
          <w:szCs w:val="22"/>
        </w:rPr>
      </w:pPr>
    </w:p>
    <w:p w:rsidR="00CC6D3A" w:rsidRPr="0002368F" w:rsidRDefault="00292D03" w:rsidP="00C61677">
      <w:pPr>
        <w:pStyle w:val="ListParagraph"/>
        <w:numPr>
          <w:ilvl w:val="0"/>
          <w:numId w:val="1"/>
        </w:numPr>
        <w:rPr>
          <w:rFonts w:ascii="Arial" w:hAnsi="Arial" w:cs="Arial"/>
          <w:color w:val="2F5496" w:themeColor="accent1" w:themeShade="BF"/>
          <w:sz w:val="22"/>
          <w:szCs w:val="22"/>
        </w:rPr>
      </w:pPr>
      <w:r w:rsidRPr="0002368F">
        <w:rPr>
          <w:rFonts w:ascii="Arial" w:hAnsi="Arial" w:cs="Arial"/>
          <w:color w:val="2F5496" w:themeColor="accent1" w:themeShade="BF"/>
          <w:sz w:val="22"/>
          <w:szCs w:val="22"/>
        </w:rPr>
        <w:t>The process of decanting</w:t>
      </w:r>
      <w:r w:rsidR="008A2B8D" w:rsidRPr="0002368F">
        <w:rPr>
          <w:rFonts w:ascii="Arial" w:hAnsi="Arial" w:cs="Arial"/>
          <w:color w:val="2F5496" w:themeColor="accent1" w:themeShade="BF"/>
          <w:sz w:val="22"/>
          <w:szCs w:val="22"/>
        </w:rPr>
        <w:t xml:space="preserve"> </w:t>
      </w:r>
      <w:proofErr w:type="gramStart"/>
      <w:r w:rsidR="008A2B8D" w:rsidRPr="0002368F">
        <w:rPr>
          <w:rFonts w:ascii="Arial" w:hAnsi="Arial" w:cs="Arial"/>
          <w:color w:val="2F5496" w:themeColor="accent1" w:themeShade="BF"/>
          <w:sz w:val="22"/>
          <w:szCs w:val="22"/>
        </w:rPr>
        <w:t xml:space="preserve">is often </w:t>
      </w:r>
      <w:r w:rsidR="00F02C73" w:rsidRPr="0002368F">
        <w:rPr>
          <w:rFonts w:ascii="Arial" w:hAnsi="Arial" w:cs="Arial"/>
          <w:color w:val="2F5496" w:themeColor="accent1" w:themeShade="BF"/>
          <w:sz w:val="22"/>
          <w:szCs w:val="22"/>
        </w:rPr>
        <w:t xml:space="preserve">very </w:t>
      </w:r>
      <w:r w:rsidR="00B962E2" w:rsidRPr="0002368F">
        <w:rPr>
          <w:rFonts w:ascii="Arial" w:hAnsi="Arial" w:cs="Arial"/>
          <w:color w:val="2F5496" w:themeColor="accent1" w:themeShade="BF"/>
          <w:sz w:val="22"/>
          <w:szCs w:val="22"/>
        </w:rPr>
        <w:t xml:space="preserve">slow, </w:t>
      </w:r>
      <w:r w:rsidR="008A2B8D" w:rsidRPr="0002368F">
        <w:rPr>
          <w:rFonts w:ascii="Arial" w:hAnsi="Arial" w:cs="Arial"/>
          <w:color w:val="2F5496" w:themeColor="accent1" w:themeShade="BF"/>
          <w:sz w:val="22"/>
          <w:szCs w:val="22"/>
        </w:rPr>
        <w:t xml:space="preserve">poorly managed, </w:t>
      </w:r>
      <w:r w:rsidR="00B962E2" w:rsidRPr="0002368F">
        <w:rPr>
          <w:rFonts w:ascii="Arial" w:hAnsi="Arial" w:cs="Arial"/>
          <w:color w:val="2F5496" w:themeColor="accent1" w:themeShade="BF"/>
          <w:sz w:val="22"/>
          <w:szCs w:val="22"/>
        </w:rPr>
        <w:t>and badly communicated,</w:t>
      </w:r>
      <w:proofErr w:type="gramEnd"/>
      <w:r w:rsidR="00B962E2" w:rsidRPr="0002368F">
        <w:rPr>
          <w:rFonts w:ascii="Arial" w:hAnsi="Arial" w:cs="Arial"/>
          <w:color w:val="2F5496" w:themeColor="accent1" w:themeShade="BF"/>
          <w:sz w:val="22"/>
          <w:szCs w:val="22"/>
        </w:rPr>
        <w:t xml:space="preserve"> </w:t>
      </w:r>
      <w:r w:rsidR="008A2B8D" w:rsidRPr="0002368F">
        <w:rPr>
          <w:rFonts w:ascii="Arial" w:hAnsi="Arial" w:cs="Arial"/>
          <w:color w:val="2F5496" w:themeColor="accent1" w:themeShade="BF"/>
          <w:sz w:val="22"/>
          <w:szCs w:val="22"/>
        </w:rPr>
        <w:t>and this</w:t>
      </w:r>
      <w:r w:rsidRPr="0002368F">
        <w:rPr>
          <w:rFonts w:ascii="Arial" w:hAnsi="Arial" w:cs="Arial"/>
          <w:color w:val="2F5496" w:themeColor="accent1" w:themeShade="BF"/>
          <w:sz w:val="22"/>
          <w:szCs w:val="22"/>
        </w:rPr>
        <w:t xml:space="preserve"> provokes considerable </w:t>
      </w:r>
      <w:r w:rsidR="00F02C73" w:rsidRPr="0002368F">
        <w:rPr>
          <w:rFonts w:ascii="Arial" w:hAnsi="Arial" w:cs="Arial"/>
          <w:color w:val="2F5496" w:themeColor="accent1" w:themeShade="BF"/>
          <w:sz w:val="22"/>
          <w:szCs w:val="22"/>
        </w:rPr>
        <w:t xml:space="preserve">stress and </w:t>
      </w:r>
      <w:r w:rsidRPr="0002368F">
        <w:rPr>
          <w:rFonts w:ascii="Arial" w:hAnsi="Arial" w:cs="Arial"/>
          <w:color w:val="2F5496" w:themeColor="accent1" w:themeShade="BF"/>
          <w:sz w:val="22"/>
          <w:szCs w:val="22"/>
        </w:rPr>
        <w:t xml:space="preserve">anxiety for </w:t>
      </w:r>
      <w:r w:rsidR="008A2B8D" w:rsidRPr="0002368F">
        <w:rPr>
          <w:rFonts w:ascii="Arial" w:hAnsi="Arial" w:cs="Arial"/>
          <w:color w:val="2F5496" w:themeColor="accent1" w:themeShade="BF"/>
          <w:sz w:val="22"/>
          <w:szCs w:val="22"/>
        </w:rPr>
        <w:t xml:space="preserve">residents. This can have major impacts </w:t>
      </w:r>
      <w:r w:rsidR="00F02C73" w:rsidRPr="0002368F">
        <w:rPr>
          <w:rFonts w:ascii="Arial" w:hAnsi="Arial" w:cs="Arial"/>
          <w:color w:val="2F5496" w:themeColor="accent1" w:themeShade="BF"/>
          <w:sz w:val="22"/>
          <w:szCs w:val="22"/>
        </w:rPr>
        <w:t>on</w:t>
      </w:r>
      <w:r w:rsidR="008A2B8D" w:rsidRPr="0002368F">
        <w:rPr>
          <w:rFonts w:ascii="Arial" w:hAnsi="Arial" w:cs="Arial"/>
          <w:color w:val="2F5496" w:themeColor="accent1" w:themeShade="BF"/>
          <w:sz w:val="22"/>
          <w:szCs w:val="22"/>
        </w:rPr>
        <w:t xml:space="preserve"> their health and well-being. </w:t>
      </w:r>
    </w:p>
    <w:p w:rsidR="00CC6D3A" w:rsidRPr="0002368F" w:rsidRDefault="00CC6D3A">
      <w:pPr>
        <w:rPr>
          <w:rFonts w:ascii="Arial" w:hAnsi="Arial" w:cs="Arial"/>
          <w:color w:val="2F5496" w:themeColor="accent1" w:themeShade="BF"/>
          <w:sz w:val="22"/>
          <w:szCs w:val="22"/>
        </w:rPr>
      </w:pPr>
    </w:p>
    <w:p w:rsidR="00CC6D3A" w:rsidRPr="0002368F" w:rsidRDefault="008A2B8D" w:rsidP="00C61677">
      <w:pPr>
        <w:pStyle w:val="ListParagraph"/>
        <w:numPr>
          <w:ilvl w:val="0"/>
          <w:numId w:val="1"/>
        </w:numPr>
        <w:rPr>
          <w:rFonts w:ascii="Arial" w:hAnsi="Arial" w:cs="Arial"/>
          <w:color w:val="2F5496" w:themeColor="accent1" w:themeShade="BF"/>
          <w:sz w:val="22"/>
          <w:szCs w:val="22"/>
        </w:rPr>
      </w:pPr>
      <w:r w:rsidRPr="0002368F">
        <w:rPr>
          <w:rFonts w:ascii="Arial" w:hAnsi="Arial" w:cs="Arial"/>
          <w:color w:val="2F5496" w:themeColor="accent1" w:themeShade="BF"/>
          <w:sz w:val="22"/>
          <w:szCs w:val="22"/>
        </w:rPr>
        <w:t xml:space="preserve">Those most adversely affected by decanting tend to display protected characteristics, suggesting local authorities have a duty </w:t>
      </w:r>
      <w:proofErr w:type="gramStart"/>
      <w:r w:rsidRPr="0002368F">
        <w:rPr>
          <w:rFonts w:ascii="Arial" w:hAnsi="Arial" w:cs="Arial"/>
          <w:color w:val="2F5496" w:themeColor="accent1" w:themeShade="BF"/>
          <w:sz w:val="22"/>
          <w:szCs w:val="22"/>
        </w:rPr>
        <w:t xml:space="preserve">to </w:t>
      </w:r>
      <w:r w:rsidR="006D1AF9" w:rsidRPr="0002368F">
        <w:rPr>
          <w:rFonts w:ascii="Arial" w:hAnsi="Arial" w:cs="Arial"/>
          <w:color w:val="2F5496" w:themeColor="accent1" w:themeShade="BF"/>
          <w:sz w:val="22"/>
          <w:szCs w:val="22"/>
        </w:rPr>
        <w:t xml:space="preserve">properly </w:t>
      </w:r>
      <w:r w:rsidRPr="0002368F">
        <w:rPr>
          <w:rFonts w:ascii="Arial" w:hAnsi="Arial" w:cs="Arial"/>
          <w:color w:val="2F5496" w:themeColor="accent1" w:themeShade="BF"/>
          <w:sz w:val="22"/>
          <w:szCs w:val="22"/>
        </w:rPr>
        <w:t>consider</w:t>
      </w:r>
      <w:proofErr w:type="gramEnd"/>
      <w:r w:rsidRPr="0002368F">
        <w:rPr>
          <w:rFonts w:ascii="Arial" w:hAnsi="Arial" w:cs="Arial"/>
          <w:color w:val="2F5496" w:themeColor="accent1" w:themeShade="BF"/>
          <w:sz w:val="22"/>
          <w:szCs w:val="22"/>
        </w:rPr>
        <w:t xml:space="preserve"> their </w:t>
      </w:r>
      <w:r w:rsidR="006D1AF9" w:rsidRPr="0002368F">
        <w:rPr>
          <w:rFonts w:ascii="Arial" w:hAnsi="Arial" w:cs="Arial"/>
          <w:color w:val="2F5496" w:themeColor="accent1" w:themeShade="BF"/>
          <w:sz w:val="22"/>
          <w:szCs w:val="22"/>
        </w:rPr>
        <w:t xml:space="preserve">public sector </w:t>
      </w:r>
      <w:r w:rsidRPr="0002368F">
        <w:rPr>
          <w:rFonts w:ascii="Arial" w:hAnsi="Arial" w:cs="Arial"/>
          <w:color w:val="2F5496" w:themeColor="accent1" w:themeShade="BF"/>
          <w:sz w:val="22"/>
          <w:szCs w:val="22"/>
        </w:rPr>
        <w:t>equalities duties when overseeing and managing the renewal process.</w:t>
      </w:r>
    </w:p>
    <w:p w:rsidR="00F02C73" w:rsidRPr="0002368F" w:rsidRDefault="00F02C73" w:rsidP="00F02C73">
      <w:pPr>
        <w:pStyle w:val="ListParagraph"/>
        <w:rPr>
          <w:rFonts w:ascii="Arial" w:hAnsi="Arial" w:cs="Arial"/>
          <w:color w:val="2F5496" w:themeColor="accent1" w:themeShade="BF"/>
          <w:sz w:val="22"/>
          <w:szCs w:val="22"/>
        </w:rPr>
      </w:pPr>
    </w:p>
    <w:p w:rsidR="0071116D" w:rsidRPr="0002368F" w:rsidRDefault="0071116D" w:rsidP="00B266A9">
      <w:pPr>
        <w:rPr>
          <w:rFonts w:ascii="Arial" w:hAnsi="Arial" w:cs="Arial"/>
          <w:sz w:val="22"/>
          <w:szCs w:val="22"/>
        </w:rPr>
      </w:pPr>
    </w:p>
    <w:p w:rsidR="00F261BE" w:rsidRDefault="00F261BE" w:rsidP="007C27B3">
      <w:pPr>
        <w:pStyle w:val="NormalWeb"/>
        <w:rPr>
          <w:rFonts w:ascii="Arial" w:hAnsi="Arial" w:cs="Arial"/>
          <w:sz w:val="22"/>
          <w:szCs w:val="22"/>
        </w:rPr>
        <w:sectPr w:rsidR="00F261BE" w:rsidSect="007C27B3">
          <w:type w:val="continuous"/>
          <w:pgSz w:w="11900" w:h="16840"/>
          <w:pgMar w:top="1440" w:right="1440" w:bottom="1440" w:left="1440" w:header="708" w:footer="708" w:gutter="0"/>
          <w:cols w:space="720"/>
          <w:docGrid w:linePitch="360"/>
        </w:sectPr>
      </w:pPr>
    </w:p>
    <w:p w:rsidR="00F261BE" w:rsidRDefault="00F261BE">
      <w:pPr>
        <w:rPr>
          <w:rFonts w:ascii="Arial" w:eastAsia="Times New Roman" w:hAnsi="Arial" w:cs="Arial"/>
          <w:b/>
          <w:bCs/>
          <w:color w:val="806000" w:themeColor="accent4" w:themeShade="80"/>
          <w:sz w:val="20"/>
          <w:szCs w:val="20"/>
          <w:lang w:eastAsia="en-GB"/>
        </w:rPr>
      </w:pPr>
      <w:r>
        <w:rPr>
          <w:rFonts w:ascii="Arial" w:hAnsi="Arial" w:cs="Arial"/>
          <w:b/>
          <w:bCs/>
          <w:color w:val="806000" w:themeColor="accent4" w:themeShade="80"/>
          <w:sz w:val="20"/>
          <w:szCs w:val="20"/>
        </w:rPr>
        <w:br w:type="page"/>
      </w:r>
    </w:p>
    <w:p w:rsidR="002A3610" w:rsidRDefault="002A3610" w:rsidP="007C27B3">
      <w:pPr>
        <w:pStyle w:val="NormalWeb"/>
        <w:rPr>
          <w:rFonts w:ascii="Arial" w:hAnsi="Arial" w:cs="Arial"/>
          <w:b/>
          <w:bCs/>
          <w:color w:val="806000" w:themeColor="accent4" w:themeShade="80"/>
        </w:rPr>
        <w:sectPr w:rsidR="002A3610" w:rsidSect="00DE7FDA">
          <w:type w:val="continuous"/>
          <w:pgSz w:w="11900" w:h="16840"/>
          <w:pgMar w:top="1134" w:right="1134" w:bottom="1134" w:left="1134" w:header="709" w:footer="709" w:gutter="0"/>
          <w:cols w:space="720"/>
          <w:docGrid w:linePitch="360"/>
        </w:sectPr>
      </w:pPr>
    </w:p>
    <w:p w:rsidR="001A24C9" w:rsidRPr="00DE7FDA" w:rsidRDefault="001A24C9" w:rsidP="007C27B3">
      <w:pPr>
        <w:pStyle w:val="NormalWeb"/>
        <w:rPr>
          <w:rFonts w:ascii="Arial" w:hAnsi="Arial" w:cs="Arial"/>
          <w:b/>
          <w:bCs/>
          <w:color w:val="806000" w:themeColor="accent4" w:themeShade="80"/>
        </w:rPr>
      </w:pPr>
      <w:r w:rsidRPr="00DE7FDA">
        <w:rPr>
          <w:rFonts w:ascii="Arial" w:hAnsi="Arial" w:cs="Arial"/>
          <w:b/>
          <w:bCs/>
          <w:color w:val="806000" w:themeColor="accent4" w:themeShade="80"/>
        </w:rPr>
        <w:lastRenderedPageBreak/>
        <w:t>Background</w:t>
      </w:r>
    </w:p>
    <w:p w:rsidR="00860CAA" w:rsidRPr="0002368F" w:rsidRDefault="007C27B3" w:rsidP="008A2B8D">
      <w:pPr>
        <w:pStyle w:val="NormalWeb"/>
        <w:jc w:val="both"/>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England’s council estates are facing a ‘new’ urban renewal that threatens to repeat many of the mis</w:t>
      </w:r>
      <w:r w:rsidR="001C77A5">
        <w:rPr>
          <w:rFonts w:ascii="Arial" w:hAnsi="Arial" w:cs="Arial"/>
          <w:color w:val="2F5496" w:themeColor="accent1" w:themeShade="BF"/>
          <w:sz w:val="20"/>
          <w:szCs w:val="20"/>
        </w:rPr>
        <w:t xml:space="preserve">takes of post-war urban </w:t>
      </w:r>
      <w:proofErr w:type="gramStart"/>
      <w:r w:rsidR="001C77A5">
        <w:rPr>
          <w:rFonts w:ascii="Arial" w:hAnsi="Arial" w:cs="Arial"/>
          <w:color w:val="2F5496" w:themeColor="accent1" w:themeShade="BF"/>
          <w:sz w:val="20"/>
          <w:szCs w:val="20"/>
        </w:rPr>
        <w:t xml:space="preserve">renewal </w:t>
      </w:r>
      <w:r w:rsidRPr="0002368F">
        <w:rPr>
          <w:rFonts w:ascii="Arial" w:hAnsi="Arial" w:cs="Arial"/>
          <w:color w:val="2F5496" w:themeColor="accent1" w:themeShade="BF"/>
          <w:sz w:val="20"/>
          <w:szCs w:val="20"/>
        </w:rPr>
        <w:t>which</w:t>
      </w:r>
      <w:proofErr w:type="gramEnd"/>
      <w:r w:rsidRPr="0002368F">
        <w:rPr>
          <w:rFonts w:ascii="Arial" w:hAnsi="Arial" w:cs="Arial"/>
          <w:color w:val="2F5496" w:themeColor="accent1" w:themeShade="BF"/>
          <w:sz w:val="20"/>
          <w:szCs w:val="20"/>
        </w:rPr>
        <w:t xml:space="preserve"> disrupted local communities and exacerbated the social problems slum clearance was meant to solve. Now it is </w:t>
      </w:r>
      <w:r w:rsidR="00331A6A" w:rsidRPr="0002368F">
        <w:rPr>
          <w:rFonts w:ascii="Arial" w:hAnsi="Arial" w:cs="Arial"/>
          <w:color w:val="2F5496" w:themeColor="accent1" w:themeShade="BF"/>
          <w:sz w:val="20"/>
          <w:szCs w:val="20"/>
        </w:rPr>
        <w:t xml:space="preserve">the </w:t>
      </w:r>
      <w:r w:rsidRPr="0002368F">
        <w:rPr>
          <w:rFonts w:ascii="Arial" w:hAnsi="Arial" w:cs="Arial"/>
          <w:color w:val="2F5496" w:themeColor="accent1" w:themeShade="BF"/>
          <w:sz w:val="20"/>
          <w:szCs w:val="20"/>
        </w:rPr>
        <w:t>large inner</w:t>
      </w:r>
      <w:r w:rsidR="00331A6A" w:rsidRPr="0002368F">
        <w:rPr>
          <w:rFonts w:ascii="Arial" w:hAnsi="Arial" w:cs="Arial"/>
          <w:color w:val="2F5496" w:themeColor="accent1" w:themeShade="BF"/>
          <w:sz w:val="20"/>
          <w:szCs w:val="20"/>
        </w:rPr>
        <w:t>-</w:t>
      </w:r>
      <w:r w:rsidRPr="0002368F">
        <w:rPr>
          <w:rFonts w:ascii="Arial" w:hAnsi="Arial" w:cs="Arial"/>
          <w:color w:val="2F5496" w:themeColor="accent1" w:themeShade="BF"/>
          <w:sz w:val="20"/>
          <w:szCs w:val="20"/>
        </w:rPr>
        <w:t>city</w:t>
      </w:r>
      <w:r w:rsidR="00331A6A" w:rsidRPr="0002368F">
        <w:rPr>
          <w:rFonts w:ascii="Arial" w:hAnsi="Arial" w:cs="Arial"/>
          <w:color w:val="2F5496" w:themeColor="accent1" w:themeShade="BF"/>
          <w:sz w:val="20"/>
          <w:szCs w:val="20"/>
        </w:rPr>
        <w:t xml:space="preserve"> estates of the 1960</w:t>
      </w:r>
      <w:r w:rsidR="00F261BE">
        <w:rPr>
          <w:rFonts w:ascii="Arial" w:hAnsi="Arial" w:cs="Arial"/>
          <w:color w:val="2F5496" w:themeColor="accent1" w:themeShade="BF"/>
          <w:sz w:val="20"/>
          <w:szCs w:val="20"/>
        </w:rPr>
        <w:t>/</w:t>
      </w:r>
      <w:r w:rsidR="00331A6A" w:rsidRPr="0002368F">
        <w:rPr>
          <w:rFonts w:ascii="Arial" w:hAnsi="Arial" w:cs="Arial"/>
          <w:color w:val="2F5496" w:themeColor="accent1" w:themeShade="BF"/>
          <w:sz w:val="20"/>
          <w:szCs w:val="20"/>
        </w:rPr>
        <w:t>70s</w:t>
      </w:r>
      <w:r w:rsidRPr="0002368F">
        <w:rPr>
          <w:rFonts w:ascii="Arial" w:hAnsi="Arial" w:cs="Arial"/>
          <w:color w:val="2F5496" w:themeColor="accent1" w:themeShade="BF"/>
          <w:sz w:val="20"/>
          <w:szCs w:val="20"/>
        </w:rPr>
        <w:t xml:space="preserve"> that </w:t>
      </w:r>
      <w:proofErr w:type="gramStart"/>
      <w:r w:rsidR="00055F25">
        <w:rPr>
          <w:rFonts w:ascii="Arial" w:hAnsi="Arial" w:cs="Arial"/>
          <w:color w:val="2F5496" w:themeColor="accent1" w:themeShade="BF"/>
          <w:sz w:val="20"/>
          <w:szCs w:val="20"/>
        </w:rPr>
        <w:t xml:space="preserve">are </w:t>
      </w:r>
      <w:r w:rsidRPr="0002368F">
        <w:rPr>
          <w:rFonts w:ascii="Arial" w:hAnsi="Arial" w:cs="Arial"/>
          <w:color w:val="2F5496" w:themeColor="accent1" w:themeShade="BF"/>
          <w:sz w:val="20"/>
          <w:szCs w:val="20"/>
        </w:rPr>
        <w:t>slated</w:t>
      </w:r>
      <w:proofErr w:type="gramEnd"/>
      <w:r w:rsidRPr="0002368F">
        <w:rPr>
          <w:rFonts w:ascii="Arial" w:hAnsi="Arial" w:cs="Arial"/>
          <w:color w:val="2F5496" w:themeColor="accent1" w:themeShade="BF"/>
          <w:sz w:val="20"/>
          <w:szCs w:val="20"/>
        </w:rPr>
        <w:t xml:space="preserve"> for demolition</w:t>
      </w:r>
      <w:r w:rsidR="00860CAA" w:rsidRPr="0002368F">
        <w:rPr>
          <w:rFonts w:ascii="Arial" w:hAnsi="Arial" w:cs="Arial"/>
          <w:color w:val="2F5496" w:themeColor="accent1" w:themeShade="BF"/>
          <w:sz w:val="20"/>
          <w:szCs w:val="20"/>
        </w:rPr>
        <w:t>:</w:t>
      </w:r>
      <w:r w:rsidRPr="0002368F">
        <w:rPr>
          <w:rFonts w:ascii="Arial" w:hAnsi="Arial" w:cs="Arial"/>
          <w:color w:val="2F5496" w:themeColor="accent1" w:themeShade="BF"/>
          <w:sz w:val="20"/>
          <w:szCs w:val="20"/>
        </w:rPr>
        <w:t xml:space="preserve"> </w:t>
      </w:r>
      <w:r w:rsidR="00860CAA" w:rsidRPr="0002368F">
        <w:rPr>
          <w:rFonts w:ascii="Arial" w:hAnsi="Arial" w:cs="Arial"/>
          <w:color w:val="2F5496" w:themeColor="accent1" w:themeShade="BF"/>
          <w:sz w:val="20"/>
          <w:szCs w:val="20"/>
        </w:rPr>
        <w:t>c</w:t>
      </w:r>
      <w:r w:rsidRPr="0002368F">
        <w:rPr>
          <w:rFonts w:ascii="Arial" w:hAnsi="Arial" w:cs="Arial"/>
          <w:color w:val="2F5496" w:themeColor="accent1" w:themeShade="BF"/>
          <w:sz w:val="20"/>
          <w:szCs w:val="20"/>
        </w:rPr>
        <w:t xml:space="preserve">ouncil estates are stigmatized as sites of concentrated social dysfunction </w:t>
      </w:r>
      <w:r w:rsidR="00064ABC">
        <w:rPr>
          <w:rFonts w:ascii="Arial" w:hAnsi="Arial" w:cs="Arial"/>
          <w:color w:val="2F5496" w:themeColor="accent1" w:themeShade="BF"/>
          <w:sz w:val="20"/>
          <w:szCs w:val="20"/>
        </w:rPr>
        <w:t>but local</w:t>
      </w:r>
      <w:r w:rsidRPr="0002368F">
        <w:rPr>
          <w:rFonts w:ascii="Arial" w:hAnsi="Arial" w:cs="Arial"/>
          <w:color w:val="2F5496" w:themeColor="accent1" w:themeShade="BF"/>
          <w:sz w:val="20"/>
          <w:szCs w:val="20"/>
        </w:rPr>
        <w:t xml:space="preserve"> authorities are being encouraged to cash in on their underlying land value to finance more housing. </w:t>
      </w:r>
    </w:p>
    <w:p w:rsidR="00CC6D3A" w:rsidRPr="0002368F" w:rsidRDefault="007C27B3" w:rsidP="008A2B8D">
      <w:pPr>
        <w:pStyle w:val="NormalWeb"/>
        <w:jc w:val="both"/>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The London Assembly (2015</w:t>
      </w:r>
      <w:r w:rsidR="001A24C9" w:rsidRPr="0002368F">
        <w:rPr>
          <w:rFonts w:ascii="Arial" w:hAnsi="Arial" w:cs="Arial"/>
          <w:color w:val="2F5496" w:themeColor="accent1" w:themeShade="BF"/>
          <w:sz w:val="20"/>
          <w:szCs w:val="20"/>
        </w:rPr>
        <w:t>)</w:t>
      </w:r>
      <w:r w:rsidRPr="0002368F">
        <w:rPr>
          <w:rFonts w:ascii="Arial" w:hAnsi="Arial" w:cs="Arial"/>
          <w:color w:val="2F5496" w:themeColor="accent1" w:themeShade="BF"/>
          <w:sz w:val="20"/>
          <w:szCs w:val="20"/>
        </w:rPr>
        <w:t xml:space="preserve"> estimate</w:t>
      </w:r>
      <w:r w:rsidR="001A24C9" w:rsidRPr="0002368F">
        <w:rPr>
          <w:rFonts w:ascii="Arial" w:hAnsi="Arial" w:cs="Arial"/>
          <w:color w:val="2F5496" w:themeColor="accent1" w:themeShade="BF"/>
          <w:sz w:val="20"/>
          <w:szCs w:val="20"/>
        </w:rPr>
        <w:t>d</w:t>
      </w:r>
      <w:r w:rsidRPr="0002368F">
        <w:rPr>
          <w:rFonts w:ascii="Arial" w:hAnsi="Arial" w:cs="Arial"/>
          <w:color w:val="2F5496" w:themeColor="accent1" w:themeShade="BF"/>
          <w:sz w:val="20"/>
          <w:szCs w:val="20"/>
        </w:rPr>
        <w:t xml:space="preserve"> that over the last decade 50 former council estates across London have received planning permission for partial or complete demolition and redevelopment at higher densities</w:t>
      </w:r>
      <w:r w:rsidR="00121F72">
        <w:rPr>
          <w:rFonts w:ascii="Arial" w:hAnsi="Arial" w:cs="Arial"/>
          <w:color w:val="2F5496" w:themeColor="accent1" w:themeShade="BF"/>
          <w:sz w:val="20"/>
          <w:szCs w:val="20"/>
        </w:rPr>
        <w:t xml:space="preserve">, but </w:t>
      </w:r>
      <w:r w:rsidR="001A24C9" w:rsidRPr="0002368F">
        <w:rPr>
          <w:rFonts w:ascii="Arial" w:hAnsi="Arial" w:cs="Arial"/>
          <w:color w:val="2F5496" w:themeColor="accent1" w:themeShade="BF"/>
          <w:sz w:val="20"/>
          <w:szCs w:val="20"/>
        </w:rPr>
        <w:t>this appears a gross under-estimate of the extent of the demolitions having been undertaken</w:t>
      </w:r>
      <w:r w:rsidR="00D019FB" w:rsidRPr="0002368F">
        <w:rPr>
          <w:rFonts w:ascii="Arial" w:hAnsi="Arial" w:cs="Arial"/>
          <w:color w:val="2F5496" w:themeColor="accent1" w:themeShade="BF"/>
          <w:sz w:val="20"/>
          <w:szCs w:val="20"/>
        </w:rPr>
        <w:t>. I</w:t>
      </w:r>
      <w:r w:rsidR="001A24C9" w:rsidRPr="0002368F">
        <w:rPr>
          <w:rFonts w:ascii="Arial" w:hAnsi="Arial" w:cs="Arial"/>
          <w:color w:val="2F5496" w:themeColor="accent1" w:themeShade="BF"/>
          <w:sz w:val="20"/>
          <w:szCs w:val="20"/>
        </w:rPr>
        <w:t>rrespective, the number of households ‘decanted’ from these estates is clearly considerable and the cumulative impacts on residents, both tenants and leaseholders, who have already been displaced or are still awaiting dec</w:t>
      </w:r>
      <w:r w:rsidR="00D019FB" w:rsidRPr="0002368F">
        <w:rPr>
          <w:rFonts w:ascii="Arial" w:hAnsi="Arial" w:cs="Arial"/>
          <w:color w:val="2F5496" w:themeColor="accent1" w:themeShade="BF"/>
          <w:sz w:val="20"/>
          <w:szCs w:val="20"/>
        </w:rPr>
        <w:t>ant</w:t>
      </w:r>
      <w:r w:rsidR="001A24C9" w:rsidRPr="0002368F">
        <w:rPr>
          <w:rFonts w:ascii="Arial" w:hAnsi="Arial" w:cs="Arial"/>
          <w:color w:val="2F5496" w:themeColor="accent1" w:themeShade="BF"/>
          <w:sz w:val="20"/>
          <w:szCs w:val="20"/>
        </w:rPr>
        <w:t xml:space="preserve"> is potentially life-changing.</w:t>
      </w:r>
    </w:p>
    <w:p w:rsidR="00064ABC" w:rsidRPr="0002368F" w:rsidRDefault="00064ABC" w:rsidP="00AA14D0">
      <w:pPr>
        <w:jc w:val="both"/>
        <w:rPr>
          <w:rFonts w:ascii="Arial" w:hAnsi="Arial" w:cs="Arial"/>
          <w:color w:val="2F5496" w:themeColor="accent1" w:themeShade="BF"/>
          <w:sz w:val="20"/>
          <w:szCs w:val="20"/>
        </w:rPr>
      </w:pPr>
    </w:p>
    <w:p w:rsidR="00DA3E38" w:rsidRPr="00DE7FDA" w:rsidRDefault="00B266A9" w:rsidP="00DA3E38">
      <w:pPr>
        <w:jc w:val="both"/>
        <w:rPr>
          <w:rFonts w:ascii="Arial" w:eastAsia="Times New Roman" w:hAnsi="Arial" w:cs="Arial"/>
          <w:b/>
          <w:bCs/>
          <w:color w:val="806000" w:themeColor="accent4" w:themeShade="80"/>
          <w:lang w:eastAsia="en-GB"/>
        </w:rPr>
      </w:pPr>
      <w:r w:rsidRPr="00DE7FDA">
        <w:rPr>
          <w:rFonts w:ascii="Arial" w:eastAsia="Times New Roman" w:hAnsi="Arial" w:cs="Arial"/>
          <w:b/>
          <w:bCs/>
          <w:color w:val="806000" w:themeColor="accent4" w:themeShade="80"/>
          <w:lang w:eastAsia="en-GB"/>
        </w:rPr>
        <w:t>Project</w:t>
      </w:r>
      <w:r w:rsidR="00DE7FDA" w:rsidRPr="00DE7FDA">
        <w:rPr>
          <w:rFonts w:ascii="Arial" w:eastAsia="Times New Roman" w:hAnsi="Arial" w:cs="Arial"/>
          <w:b/>
          <w:bCs/>
          <w:color w:val="806000" w:themeColor="accent4" w:themeShade="80"/>
          <w:lang w:eastAsia="en-GB"/>
        </w:rPr>
        <w:t xml:space="preserve"> aims </w:t>
      </w:r>
      <w:r w:rsidR="00DE7FDA">
        <w:rPr>
          <w:rFonts w:ascii="Arial" w:eastAsia="Times New Roman" w:hAnsi="Arial" w:cs="Arial"/>
          <w:b/>
          <w:bCs/>
          <w:color w:val="806000" w:themeColor="accent4" w:themeShade="80"/>
          <w:lang w:eastAsia="en-GB"/>
        </w:rPr>
        <w:t>and methods</w:t>
      </w:r>
    </w:p>
    <w:p w:rsidR="00B266A9" w:rsidRPr="0002368F" w:rsidRDefault="00B266A9" w:rsidP="00DA3E38">
      <w:pPr>
        <w:jc w:val="both"/>
        <w:rPr>
          <w:rFonts w:ascii="Arial" w:hAnsi="Arial" w:cs="Arial"/>
          <w:color w:val="2F5496" w:themeColor="accent1" w:themeShade="BF"/>
          <w:sz w:val="20"/>
          <w:szCs w:val="20"/>
        </w:rPr>
      </w:pPr>
    </w:p>
    <w:p w:rsidR="00121F72" w:rsidRDefault="00874EFB" w:rsidP="00DA3E38">
      <w:pPr>
        <w:jc w:val="both"/>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Our overall aim was to contribute to wider understandings of the social change, gentrification, and displacement associated with council estate renewal in London.</w:t>
      </w:r>
      <w:r w:rsidR="00B266A9" w:rsidRPr="0002368F">
        <w:rPr>
          <w:rFonts w:ascii="Arial" w:hAnsi="Arial" w:cs="Arial"/>
          <w:color w:val="2F5496" w:themeColor="accent1" w:themeShade="BF"/>
          <w:sz w:val="20"/>
          <w:szCs w:val="20"/>
        </w:rPr>
        <w:t xml:space="preserve"> </w:t>
      </w:r>
      <w:r w:rsidR="00DA3E38" w:rsidRPr="0002368F">
        <w:rPr>
          <w:rFonts w:ascii="Arial" w:hAnsi="Arial" w:cs="Arial"/>
          <w:color w:val="2F5496" w:themeColor="accent1" w:themeShade="BF"/>
          <w:sz w:val="20"/>
          <w:szCs w:val="20"/>
        </w:rPr>
        <w:t>The project involved an initial ‘extensive’ phase of secondary data analysis to identify and quantitatively map broad patterns of demographic displacement, gentrification, and estate redevelopment across London</w:t>
      </w:r>
      <w:r w:rsidR="00121F72">
        <w:rPr>
          <w:rFonts w:ascii="Arial" w:hAnsi="Arial" w:cs="Arial"/>
          <w:color w:val="2F5496" w:themeColor="accent1" w:themeShade="BF"/>
          <w:sz w:val="20"/>
          <w:szCs w:val="20"/>
        </w:rPr>
        <w:t>.</w:t>
      </w:r>
    </w:p>
    <w:p w:rsidR="00DE7FDA" w:rsidRPr="0002368F" w:rsidRDefault="00B266A9" w:rsidP="00DA3E38">
      <w:pPr>
        <w:jc w:val="both"/>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 xml:space="preserve"> </w:t>
      </w:r>
    </w:p>
    <w:p w:rsidR="00CC6D3A" w:rsidRPr="0002368F" w:rsidRDefault="00CC6D3A" w:rsidP="008A2B8D">
      <w:pPr>
        <w:jc w:val="both"/>
        <w:rPr>
          <w:rFonts w:ascii="Arial" w:eastAsia="Times New Roman" w:hAnsi="Arial" w:cs="Arial"/>
          <w:color w:val="2F5496" w:themeColor="accent1" w:themeShade="BF"/>
          <w:sz w:val="20"/>
          <w:szCs w:val="20"/>
          <w:lang w:eastAsia="en-GB"/>
        </w:rPr>
      </w:pPr>
      <w:r w:rsidRPr="0002368F">
        <w:rPr>
          <w:rFonts w:ascii="Arial" w:eastAsia="Times New Roman" w:hAnsi="Arial" w:cs="Arial"/>
          <w:color w:val="2F5496" w:themeColor="accent1" w:themeShade="BF"/>
          <w:sz w:val="20"/>
          <w:szCs w:val="20"/>
          <w:lang w:eastAsia="en-GB"/>
        </w:rPr>
        <w:t>Freedom of information requests, analysis of planning databases and trawls of websites led us to identify</w:t>
      </w:r>
      <w:r w:rsidR="0026773A" w:rsidRPr="0002368F">
        <w:rPr>
          <w:rFonts w:ascii="Arial" w:eastAsia="Times New Roman" w:hAnsi="Arial" w:cs="Arial"/>
          <w:color w:val="2F5496" w:themeColor="accent1" w:themeShade="BF"/>
          <w:sz w:val="20"/>
          <w:szCs w:val="20"/>
          <w:lang w:eastAsia="en-GB"/>
        </w:rPr>
        <w:t xml:space="preserve"> </w:t>
      </w:r>
      <w:r w:rsidRPr="0002368F">
        <w:rPr>
          <w:rFonts w:ascii="Arial" w:eastAsia="Times New Roman" w:hAnsi="Arial" w:cs="Arial"/>
          <w:color w:val="2F5496" w:themeColor="accent1" w:themeShade="BF"/>
          <w:sz w:val="20"/>
          <w:szCs w:val="20"/>
          <w:lang w:eastAsia="en-GB"/>
        </w:rPr>
        <w:t xml:space="preserve">161 estates in London of more than 100 households where there has been a scheme to demolish and redevelop housing since 1997. </w:t>
      </w:r>
      <w:r w:rsidR="00121F72">
        <w:rPr>
          <w:rFonts w:ascii="Arial" w:eastAsia="Times New Roman" w:hAnsi="Arial" w:cs="Arial"/>
          <w:color w:val="2F5496" w:themeColor="accent1" w:themeShade="BF"/>
          <w:sz w:val="20"/>
          <w:szCs w:val="20"/>
          <w:lang w:eastAsia="en-GB"/>
        </w:rPr>
        <w:t>W</w:t>
      </w:r>
      <w:r w:rsidRPr="0002368F">
        <w:rPr>
          <w:rFonts w:ascii="Arial" w:eastAsia="Times New Roman" w:hAnsi="Arial" w:cs="Arial"/>
          <w:color w:val="2F5496" w:themeColor="accent1" w:themeShade="BF"/>
          <w:sz w:val="20"/>
          <w:szCs w:val="20"/>
          <w:lang w:eastAsia="en-GB"/>
        </w:rPr>
        <w:t xml:space="preserve">e estimated that 190 schemes on these 161 sites entailed the demolition of at least 55,000 homes, with the ‘average’ scheme involving the decanting of 274 households prior to demolition and rebuild. Some schemes were relatively modest in scale: for example, the Triangle estate in Islington involved the demolition of just six maisonette dwellings. On the other hand, some schemes have involved mass demolitions: the </w:t>
      </w:r>
      <w:proofErr w:type="spellStart"/>
      <w:r w:rsidRPr="0002368F">
        <w:rPr>
          <w:rFonts w:ascii="Arial" w:eastAsia="Times New Roman" w:hAnsi="Arial" w:cs="Arial"/>
          <w:color w:val="2F5496" w:themeColor="accent1" w:themeShade="BF"/>
          <w:sz w:val="20"/>
          <w:szCs w:val="20"/>
          <w:lang w:eastAsia="en-GB"/>
        </w:rPr>
        <w:t>Heygate</w:t>
      </w:r>
      <w:proofErr w:type="spellEnd"/>
      <w:r w:rsidRPr="0002368F">
        <w:rPr>
          <w:rFonts w:ascii="Arial" w:eastAsia="Times New Roman" w:hAnsi="Arial" w:cs="Arial"/>
          <w:color w:val="2F5496" w:themeColor="accent1" w:themeShade="BF"/>
          <w:sz w:val="20"/>
          <w:szCs w:val="20"/>
          <w:lang w:eastAsia="en-GB"/>
        </w:rPr>
        <w:t xml:space="preserve"> estate in Southwark involved the demolition of 1200 units, the South Acton estate in </w:t>
      </w:r>
      <w:r w:rsidRPr="0002368F">
        <w:rPr>
          <w:rFonts w:ascii="Arial" w:eastAsia="Times New Roman" w:hAnsi="Arial" w:cs="Arial"/>
          <w:color w:val="2F5496" w:themeColor="accent1" w:themeShade="BF"/>
          <w:sz w:val="20"/>
          <w:szCs w:val="20"/>
          <w:lang w:eastAsia="en-GB"/>
        </w:rPr>
        <w:lastRenderedPageBreak/>
        <w:t xml:space="preserve">Ealing 1998 units, and the Woodberry Down estate in Hackney 1980 units. In all, 12 schemes had more than 1000 units demolished, suggesting that in some cases </w:t>
      </w:r>
      <w:proofErr w:type="gramStart"/>
      <w:r w:rsidRPr="0002368F">
        <w:rPr>
          <w:rFonts w:ascii="Arial" w:eastAsia="Times New Roman" w:hAnsi="Arial" w:cs="Arial"/>
          <w:color w:val="2F5496" w:themeColor="accent1" w:themeShade="BF"/>
          <w:sz w:val="20"/>
          <w:szCs w:val="20"/>
          <w:lang w:eastAsia="en-GB"/>
        </w:rPr>
        <w:t>very large and established communities were being broken up by processes of displacement</w:t>
      </w:r>
      <w:proofErr w:type="gramEnd"/>
      <w:r w:rsidRPr="0002368F">
        <w:rPr>
          <w:rFonts w:ascii="Arial" w:eastAsia="Times New Roman" w:hAnsi="Arial" w:cs="Arial"/>
          <w:color w:val="2F5496" w:themeColor="accent1" w:themeShade="BF"/>
          <w:sz w:val="20"/>
          <w:szCs w:val="20"/>
          <w:lang w:eastAsia="en-GB"/>
        </w:rPr>
        <w:t>.</w:t>
      </w:r>
    </w:p>
    <w:p w:rsidR="00297BD9" w:rsidRDefault="00A260CB" w:rsidP="00297BD9">
      <w:pPr>
        <w:pStyle w:val="NormalWeb"/>
        <w:shd w:val="clear" w:color="auto" w:fill="FFFFFF"/>
        <w:jc w:val="both"/>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Local authorities were unable to furnish us with reliable information concerning the rehousing of council tenants and the out-migration of leaseholders</w:t>
      </w:r>
      <w:r w:rsidR="00B266A9" w:rsidRPr="0002368F">
        <w:rPr>
          <w:rFonts w:ascii="Arial" w:hAnsi="Arial" w:cs="Arial"/>
          <w:color w:val="2F5496" w:themeColor="accent1" w:themeShade="BF"/>
          <w:sz w:val="20"/>
          <w:szCs w:val="20"/>
        </w:rPr>
        <w:t xml:space="preserve"> (bar data obtained for the revised Aylesbury Public Inquiry in 2018)</w:t>
      </w:r>
      <w:r w:rsidRPr="0002368F">
        <w:rPr>
          <w:rFonts w:ascii="Arial" w:hAnsi="Arial" w:cs="Arial"/>
          <w:color w:val="2F5496" w:themeColor="accent1" w:themeShade="BF"/>
          <w:sz w:val="20"/>
          <w:szCs w:val="20"/>
        </w:rPr>
        <w:t xml:space="preserve">. </w:t>
      </w:r>
      <w:r w:rsidR="00121F72">
        <w:rPr>
          <w:rFonts w:ascii="Arial" w:hAnsi="Arial" w:cs="Arial"/>
          <w:color w:val="2F5496" w:themeColor="accent1" w:themeShade="BF"/>
          <w:sz w:val="20"/>
          <w:szCs w:val="20"/>
        </w:rPr>
        <w:t>This</w:t>
      </w:r>
      <w:r w:rsidRPr="0002368F">
        <w:rPr>
          <w:rFonts w:ascii="Arial" w:hAnsi="Arial" w:cs="Arial"/>
          <w:color w:val="2F5496" w:themeColor="accent1" w:themeShade="BF"/>
          <w:sz w:val="20"/>
          <w:szCs w:val="20"/>
        </w:rPr>
        <w:t xml:space="preserve"> meant we had to use </w:t>
      </w:r>
      <w:r w:rsidR="0026773A" w:rsidRPr="0002368F">
        <w:rPr>
          <w:rFonts w:ascii="Arial" w:hAnsi="Arial" w:cs="Arial"/>
          <w:color w:val="2F5496" w:themeColor="accent1" w:themeShade="BF"/>
          <w:sz w:val="20"/>
          <w:szCs w:val="20"/>
        </w:rPr>
        <w:t>‘Linked Consumer Registers’ (LCRs)</w:t>
      </w:r>
      <w:r w:rsidR="00121F72">
        <w:rPr>
          <w:rFonts w:ascii="Arial" w:hAnsi="Arial" w:cs="Arial"/>
          <w:color w:val="2F5496" w:themeColor="accent1" w:themeShade="BF"/>
          <w:sz w:val="20"/>
          <w:szCs w:val="20"/>
        </w:rPr>
        <w:t>, which</w:t>
      </w:r>
      <w:r w:rsidRPr="0002368F">
        <w:rPr>
          <w:rFonts w:ascii="Arial" w:hAnsi="Arial" w:cs="Arial"/>
          <w:color w:val="2F5496" w:themeColor="accent1" w:themeShade="BF"/>
          <w:sz w:val="20"/>
          <w:szCs w:val="20"/>
        </w:rPr>
        <w:t xml:space="preserve"> </w:t>
      </w:r>
      <w:r w:rsidR="0026773A" w:rsidRPr="0002368F">
        <w:rPr>
          <w:rFonts w:ascii="Arial" w:hAnsi="Arial" w:cs="Arial"/>
          <w:color w:val="2F5496" w:themeColor="accent1" w:themeShade="BF"/>
          <w:sz w:val="20"/>
          <w:szCs w:val="20"/>
        </w:rPr>
        <w:t>augment administrative records (e.g.</w:t>
      </w:r>
      <w:r w:rsidRPr="0002368F">
        <w:rPr>
          <w:rFonts w:ascii="Arial" w:hAnsi="Arial" w:cs="Arial"/>
          <w:i/>
          <w:iCs/>
          <w:color w:val="2F5496" w:themeColor="accent1" w:themeShade="BF"/>
          <w:sz w:val="20"/>
          <w:szCs w:val="20"/>
        </w:rPr>
        <w:t xml:space="preserve"> </w:t>
      </w:r>
      <w:r w:rsidR="0026773A" w:rsidRPr="0002368F">
        <w:rPr>
          <w:rFonts w:ascii="Arial" w:hAnsi="Arial" w:cs="Arial"/>
          <w:color w:val="2F5496" w:themeColor="accent1" w:themeShade="BF"/>
          <w:sz w:val="20"/>
          <w:szCs w:val="20"/>
        </w:rPr>
        <w:t>from voter registries) with consumer-derived data (e.g.</w:t>
      </w:r>
      <w:r w:rsidR="0026773A" w:rsidRPr="0002368F">
        <w:rPr>
          <w:rFonts w:ascii="Arial" w:hAnsi="Arial" w:cs="Arial"/>
          <w:i/>
          <w:iCs/>
          <w:color w:val="2F5496" w:themeColor="accent1" w:themeShade="BF"/>
          <w:sz w:val="20"/>
          <w:szCs w:val="20"/>
        </w:rPr>
        <w:t xml:space="preserve"> </w:t>
      </w:r>
      <w:r w:rsidR="0026773A" w:rsidRPr="0002368F">
        <w:rPr>
          <w:rFonts w:ascii="Arial" w:hAnsi="Arial" w:cs="Arial"/>
          <w:color w:val="2F5496" w:themeColor="accent1" w:themeShade="BF"/>
          <w:sz w:val="20"/>
          <w:szCs w:val="20"/>
        </w:rPr>
        <w:t>from loyalty cards or credit reporting agencies)</w:t>
      </w:r>
      <w:r w:rsidRPr="0002368F">
        <w:rPr>
          <w:rFonts w:ascii="Arial" w:hAnsi="Arial" w:cs="Arial"/>
          <w:color w:val="2F5496" w:themeColor="accent1" w:themeShade="BF"/>
          <w:sz w:val="20"/>
          <w:szCs w:val="20"/>
        </w:rPr>
        <w:t>, and</w:t>
      </w:r>
      <w:r w:rsidR="0026773A" w:rsidRPr="0002368F">
        <w:rPr>
          <w:rFonts w:ascii="Arial" w:hAnsi="Arial" w:cs="Arial"/>
          <w:color w:val="2F5496" w:themeColor="accent1" w:themeShade="BF"/>
          <w:sz w:val="20"/>
          <w:szCs w:val="20"/>
        </w:rPr>
        <w:t xml:space="preserve"> make it possible to infer household relocations at </w:t>
      </w:r>
      <w:r w:rsidRPr="0002368F">
        <w:rPr>
          <w:rFonts w:ascii="Arial" w:hAnsi="Arial" w:cs="Arial"/>
          <w:color w:val="2F5496" w:themeColor="accent1" w:themeShade="BF"/>
          <w:sz w:val="20"/>
          <w:szCs w:val="20"/>
        </w:rPr>
        <w:t>an appropriate</w:t>
      </w:r>
      <w:r w:rsidR="0026773A" w:rsidRPr="0002368F">
        <w:rPr>
          <w:rFonts w:ascii="Arial" w:hAnsi="Arial" w:cs="Arial"/>
          <w:color w:val="2F5496" w:themeColor="accent1" w:themeShade="BF"/>
          <w:sz w:val="20"/>
          <w:szCs w:val="20"/>
        </w:rPr>
        <w:t xml:space="preserve"> temporal and spatial </w:t>
      </w:r>
      <w:r w:rsidRPr="0002368F">
        <w:rPr>
          <w:rFonts w:ascii="Arial" w:hAnsi="Arial" w:cs="Arial"/>
          <w:color w:val="2F5496" w:themeColor="accent1" w:themeShade="BF"/>
          <w:sz w:val="20"/>
          <w:szCs w:val="20"/>
        </w:rPr>
        <w:t>scale</w:t>
      </w:r>
      <w:r w:rsidR="00297BD9">
        <w:rPr>
          <w:rFonts w:ascii="Arial" w:hAnsi="Arial" w:cs="Arial"/>
          <w:color w:val="2F5496" w:themeColor="accent1" w:themeShade="BF"/>
          <w:sz w:val="20"/>
          <w:szCs w:val="20"/>
        </w:rPr>
        <w:t xml:space="preserve"> (see </w:t>
      </w:r>
      <w:r w:rsidR="00F07562">
        <w:rPr>
          <w:rFonts w:ascii="Arial" w:hAnsi="Arial" w:cs="Arial"/>
          <w:color w:val="2F5496" w:themeColor="accent1" w:themeShade="BF"/>
          <w:sz w:val="20"/>
          <w:szCs w:val="20"/>
        </w:rPr>
        <w:t xml:space="preserve">the pre and post regeneration flows </w:t>
      </w:r>
      <w:r w:rsidR="00297BD9">
        <w:rPr>
          <w:rFonts w:ascii="Arial" w:hAnsi="Arial" w:cs="Arial"/>
          <w:color w:val="2F5496" w:themeColor="accent1" w:themeShade="BF"/>
          <w:sz w:val="20"/>
          <w:szCs w:val="20"/>
        </w:rPr>
        <w:t>figures below)</w:t>
      </w:r>
      <w:r w:rsidRPr="0002368F">
        <w:rPr>
          <w:rFonts w:ascii="Arial" w:hAnsi="Arial" w:cs="Arial"/>
          <w:color w:val="2F5496" w:themeColor="accent1" w:themeShade="BF"/>
          <w:sz w:val="20"/>
          <w:szCs w:val="20"/>
        </w:rPr>
        <w:t xml:space="preserve">. </w:t>
      </w:r>
    </w:p>
    <w:p w:rsidR="00121F72" w:rsidRPr="00297BD9" w:rsidRDefault="00297BD9" w:rsidP="00297BD9">
      <w:pPr>
        <w:pStyle w:val="NormalWeb"/>
        <w:shd w:val="clear" w:color="auto" w:fill="FFFFFF"/>
        <w:jc w:val="both"/>
        <w:rPr>
          <w:rFonts w:ascii="Arial" w:hAnsi="Arial" w:cs="Arial"/>
          <w:color w:val="2F5496" w:themeColor="accent1" w:themeShade="BF"/>
          <w:sz w:val="20"/>
          <w:szCs w:val="20"/>
        </w:rPr>
        <w:sectPr w:rsidR="00121F72" w:rsidRPr="00297BD9" w:rsidSect="002A3610">
          <w:type w:val="continuous"/>
          <w:pgSz w:w="11900" w:h="16840"/>
          <w:pgMar w:top="1134" w:right="1134" w:bottom="1134" w:left="1134" w:header="709" w:footer="709" w:gutter="0"/>
          <w:cols w:num="2" w:space="720"/>
          <w:docGrid w:linePitch="360"/>
        </w:sectPr>
      </w:pPr>
      <w:r>
        <w:rPr>
          <w:rFonts w:ascii="Arial" w:hAnsi="Arial" w:cs="Arial"/>
          <w:color w:val="2F5496" w:themeColor="accent1" w:themeShade="BF"/>
          <w:sz w:val="20"/>
          <w:szCs w:val="20"/>
        </w:rPr>
        <w:t xml:space="preserve">Following this mapping, we </w:t>
      </w:r>
      <w:r w:rsidR="002A3610" w:rsidRPr="0002368F">
        <w:rPr>
          <w:rFonts w:ascii="Arial" w:hAnsi="Arial" w:cs="Arial"/>
          <w:color w:val="2F5496" w:themeColor="accent1" w:themeShade="BF"/>
          <w:sz w:val="20"/>
          <w:szCs w:val="20"/>
        </w:rPr>
        <w:t>explore</w:t>
      </w:r>
      <w:r>
        <w:rPr>
          <w:rFonts w:ascii="Arial" w:hAnsi="Arial" w:cs="Arial"/>
          <w:color w:val="2F5496" w:themeColor="accent1" w:themeShade="BF"/>
          <w:sz w:val="20"/>
          <w:szCs w:val="20"/>
        </w:rPr>
        <w:t>d</w:t>
      </w:r>
      <w:r w:rsidR="002A3610" w:rsidRPr="0002368F">
        <w:rPr>
          <w:rFonts w:ascii="Arial" w:hAnsi="Arial" w:cs="Arial"/>
          <w:color w:val="2F5496" w:themeColor="accent1" w:themeShade="BF"/>
          <w:sz w:val="20"/>
          <w:szCs w:val="20"/>
        </w:rPr>
        <w:t xml:space="preserve"> the impacts of decanting on residents, 120 interviews </w:t>
      </w:r>
      <w:proofErr w:type="gramStart"/>
      <w:r w:rsidR="002A3610" w:rsidRPr="0002368F">
        <w:rPr>
          <w:rFonts w:ascii="Arial" w:hAnsi="Arial" w:cs="Arial"/>
          <w:color w:val="2F5496" w:themeColor="accent1" w:themeShade="BF"/>
          <w:sz w:val="20"/>
          <w:szCs w:val="20"/>
        </w:rPr>
        <w:t>were conducted</w:t>
      </w:r>
      <w:proofErr w:type="gramEnd"/>
      <w:r w:rsidR="002A3610" w:rsidRPr="0002368F">
        <w:rPr>
          <w:rFonts w:ascii="Arial" w:hAnsi="Arial" w:cs="Arial"/>
          <w:color w:val="2F5496" w:themeColor="accent1" w:themeShade="BF"/>
          <w:sz w:val="20"/>
          <w:szCs w:val="20"/>
        </w:rPr>
        <w:t xml:space="preserve"> with households on six estates across London: the Aylesbury Estate (Southwark), Carpenters Estate (Newham), Love Lane (Haringey), Gascoigne (Barking &amp; Dagenham), Ocean Estate (Tower Hamlets) and Pepys Estate (Lewisham).</w:t>
      </w:r>
      <w:r w:rsidR="002A3610">
        <w:rPr>
          <w:rFonts w:ascii="Arial" w:hAnsi="Arial" w:cs="Arial"/>
          <w:color w:val="2F5496" w:themeColor="accent1" w:themeShade="BF"/>
          <w:sz w:val="20"/>
          <w:szCs w:val="20"/>
        </w:rPr>
        <w:t xml:space="preserve"> Focusing on questions of health and well-being, </w:t>
      </w:r>
      <w:r w:rsidR="005530EE">
        <w:rPr>
          <w:rFonts w:ascii="Arial" w:hAnsi="Arial" w:cs="Arial"/>
          <w:color w:val="2F5496" w:themeColor="accent1" w:themeShade="BF"/>
          <w:sz w:val="20"/>
          <w:szCs w:val="20"/>
        </w:rPr>
        <w:t>t</w:t>
      </w:r>
      <w:r w:rsidR="002A3610" w:rsidRPr="0002368F">
        <w:rPr>
          <w:rFonts w:ascii="Arial" w:hAnsi="Arial" w:cs="Arial"/>
          <w:color w:val="2F5496" w:themeColor="accent1" w:themeShade="BF"/>
          <w:sz w:val="20"/>
          <w:szCs w:val="20"/>
        </w:rPr>
        <w:t>hese included residents on different tenures, and at different stages of life</w:t>
      </w:r>
      <w:r>
        <w:rPr>
          <w:rFonts w:ascii="Arial" w:hAnsi="Arial" w:cs="Arial"/>
          <w:color w:val="2F5496" w:themeColor="accent1" w:themeShade="BF"/>
          <w:sz w:val="20"/>
          <w:szCs w:val="20"/>
        </w:rPr>
        <w:t xml:space="preserve">, some of whom also offered photographic reflections.  </w:t>
      </w:r>
    </w:p>
    <w:p w:rsidR="002A3610" w:rsidRDefault="002A3610" w:rsidP="002A3610">
      <w:pPr>
        <w:jc w:val="both"/>
        <w:rPr>
          <w:rFonts w:ascii="Arial" w:eastAsia="Times New Roman" w:hAnsi="Arial" w:cs="Arial"/>
          <w:color w:val="2F5496" w:themeColor="accent1" w:themeShade="BF"/>
          <w:sz w:val="20"/>
          <w:szCs w:val="20"/>
          <w:lang w:eastAsia="en-GB"/>
        </w:rPr>
      </w:pPr>
    </w:p>
    <w:p w:rsidR="00121F72" w:rsidRDefault="00121F72" w:rsidP="00EC2387">
      <w:pPr>
        <w:pStyle w:val="NormalWeb"/>
        <w:jc w:val="both"/>
        <w:rPr>
          <w:rFonts w:ascii="Arial" w:hAnsi="Arial" w:cs="Arial"/>
          <w:color w:val="2F5496" w:themeColor="accent1" w:themeShade="BF"/>
          <w:sz w:val="20"/>
          <w:szCs w:val="20"/>
        </w:rPr>
        <w:sectPr w:rsidR="00121F72" w:rsidSect="002A3610">
          <w:type w:val="continuous"/>
          <w:pgSz w:w="11900" w:h="16840"/>
          <w:pgMar w:top="1134" w:right="1134" w:bottom="1134" w:left="1134" w:header="709" w:footer="709" w:gutter="0"/>
          <w:cols w:num="2" w:space="720"/>
          <w:docGrid w:linePitch="360"/>
        </w:sectPr>
      </w:pPr>
    </w:p>
    <w:tbl>
      <w:tblPr>
        <w:tblStyle w:val="TableGrid"/>
        <w:tblW w:w="0" w:type="auto"/>
        <w:tblInd w:w="-147" w:type="dxa"/>
        <w:tblLook w:val="04A0" w:firstRow="1" w:lastRow="0" w:firstColumn="1" w:lastColumn="0" w:noHBand="0" w:noVBand="1"/>
      </w:tblPr>
      <w:tblGrid>
        <w:gridCol w:w="4981"/>
        <w:gridCol w:w="4788"/>
      </w:tblGrid>
      <w:tr w:rsidR="00121F72" w:rsidTr="00297BD9">
        <w:trPr>
          <w:trHeight w:val="3524"/>
        </w:trPr>
        <w:tc>
          <w:tcPr>
            <w:tcW w:w="3985" w:type="dxa"/>
          </w:tcPr>
          <w:p w:rsidR="00121F72" w:rsidRDefault="00121F72" w:rsidP="00EC2387">
            <w:pPr>
              <w:pStyle w:val="NormalWeb"/>
              <w:jc w:val="both"/>
              <w:rPr>
                <w:rFonts w:ascii="Arial" w:hAnsi="Arial" w:cs="Arial"/>
                <w:color w:val="2F5496" w:themeColor="accent1" w:themeShade="BF"/>
                <w:sz w:val="20"/>
                <w:szCs w:val="20"/>
              </w:rPr>
            </w:pPr>
            <w:r w:rsidRPr="0002368F">
              <w:rPr>
                <w:rFonts w:ascii="Arial" w:hAnsi="Arial" w:cs="Arial"/>
                <w:noProof/>
                <w:color w:val="4472C4" w:themeColor="accent1"/>
                <w:sz w:val="20"/>
                <w:szCs w:val="20"/>
              </w:rPr>
              <w:drawing>
                <wp:inline distT="0" distB="0" distL="0" distR="0" wp14:anchorId="3CEB5A78" wp14:editId="2BFA8E54">
                  <wp:extent cx="3042920" cy="2543695"/>
                  <wp:effectExtent l="0" t="0" r="5080" b="0"/>
                  <wp:docPr id="5"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2-27 at 12.16.47.png"/>
                          <pic:cNvPicPr/>
                        </pic:nvPicPr>
                        <pic:blipFill rotWithShape="1">
                          <a:blip r:embed="rId5" cstate="print">
                            <a:extLst>
                              <a:ext uri="{28A0092B-C50C-407E-A947-70E740481C1C}">
                                <a14:useLocalDpi xmlns:a14="http://schemas.microsoft.com/office/drawing/2010/main" val="0"/>
                              </a:ext>
                            </a:extLst>
                          </a:blip>
                          <a:srcRect l="3636" r="5654"/>
                          <a:stretch/>
                        </pic:blipFill>
                        <pic:spPr bwMode="auto">
                          <a:xfrm>
                            <a:off x="0" y="0"/>
                            <a:ext cx="3121110" cy="2609057"/>
                          </a:xfrm>
                          <a:prstGeom prst="rect">
                            <a:avLst/>
                          </a:prstGeom>
                          <a:ln>
                            <a:noFill/>
                          </a:ln>
                          <a:extLst>
                            <a:ext uri="{53640926-AAD7-44D8-BBD7-CCE9431645EC}">
                              <a14:shadowObscured xmlns:a14="http://schemas.microsoft.com/office/drawing/2010/main"/>
                            </a:ext>
                          </a:extLst>
                        </pic:spPr>
                      </pic:pic>
                    </a:graphicData>
                  </a:graphic>
                </wp:inline>
              </w:drawing>
            </w:r>
          </w:p>
        </w:tc>
        <w:tc>
          <w:tcPr>
            <w:tcW w:w="4964" w:type="dxa"/>
          </w:tcPr>
          <w:p w:rsidR="00121F72" w:rsidRDefault="00121F72" w:rsidP="00EC2387">
            <w:pPr>
              <w:pStyle w:val="NormalWeb"/>
              <w:jc w:val="both"/>
              <w:rPr>
                <w:rFonts w:ascii="Arial" w:hAnsi="Arial" w:cs="Arial"/>
                <w:color w:val="2F5496" w:themeColor="accent1" w:themeShade="BF"/>
                <w:sz w:val="20"/>
                <w:szCs w:val="20"/>
              </w:rPr>
            </w:pPr>
            <w:r w:rsidRPr="0002368F">
              <w:rPr>
                <w:rFonts w:ascii="Arial" w:hAnsi="Arial" w:cs="Arial"/>
                <w:noProof/>
                <w:color w:val="4472C4" w:themeColor="accent1"/>
                <w:sz w:val="20"/>
                <w:szCs w:val="20"/>
              </w:rPr>
              <w:drawing>
                <wp:inline distT="0" distB="0" distL="0" distR="0" wp14:anchorId="4632F319" wp14:editId="2BA4E3F8">
                  <wp:extent cx="2924810" cy="2543175"/>
                  <wp:effectExtent l="0" t="0" r="0" b="0"/>
                  <wp:docPr id="8" name="Picture 8"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20-02-27 at 12.16.36.png"/>
                          <pic:cNvPicPr/>
                        </pic:nvPicPr>
                        <pic:blipFill rotWithShape="1">
                          <a:blip r:embed="rId6" cstate="print">
                            <a:extLst>
                              <a:ext uri="{28A0092B-C50C-407E-A947-70E740481C1C}">
                                <a14:useLocalDpi xmlns:a14="http://schemas.microsoft.com/office/drawing/2010/main" val="0"/>
                              </a:ext>
                            </a:extLst>
                          </a:blip>
                          <a:srcRect l="4374" r="4447"/>
                          <a:stretch/>
                        </pic:blipFill>
                        <pic:spPr bwMode="auto">
                          <a:xfrm>
                            <a:off x="0" y="0"/>
                            <a:ext cx="2998736" cy="2607455"/>
                          </a:xfrm>
                          <a:prstGeom prst="rect">
                            <a:avLst/>
                          </a:prstGeom>
                          <a:ln>
                            <a:noFill/>
                          </a:ln>
                          <a:extLst>
                            <a:ext uri="{53640926-AAD7-44D8-BBD7-CCE9431645EC}">
                              <a14:shadowObscured xmlns:a14="http://schemas.microsoft.com/office/drawing/2010/main"/>
                            </a:ext>
                          </a:extLst>
                        </pic:spPr>
                      </pic:pic>
                    </a:graphicData>
                  </a:graphic>
                </wp:inline>
              </w:drawing>
            </w:r>
          </w:p>
        </w:tc>
      </w:tr>
    </w:tbl>
    <w:p w:rsidR="00121F72" w:rsidRPr="002A3610" w:rsidRDefault="00121F72" w:rsidP="002A3610">
      <w:pPr>
        <w:jc w:val="both"/>
        <w:rPr>
          <w:rFonts w:ascii="Arial" w:eastAsia="Times New Roman" w:hAnsi="Arial" w:cs="Arial"/>
          <w:color w:val="2F5496" w:themeColor="accent1" w:themeShade="BF"/>
          <w:sz w:val="20"/>
          <w:szCs w:val="20"/>
          <w:lang w:eastAsia="en-GB"/>
        </w:rPr>
        <w:sectPr w:rsidR="00121F72" w:rsidRPr="002A3610" w:rsidSect="00121F72">
          <w:type w:val="continuous"/>
          <w:pgSz w:w="11900" w:h="16840"/>
          <w:pgMar w:top="1134" w:right="1134" w:bottom="1134" w:left="1134" w:header="709" w:footer="709" w:gutter="0"/>
          <w:cols w:space="720"/>
          <w:docGrid w:linePitch="360"/>
        </w:sectPr>
      </w:pPr>
    </w:p>
    <w:p w:rsidR="002A3610" w:rsidRDefault="002A3610" w:rsidP="008A2B8D">
      <w:pPr>
        <w:pStyle w:val="NormalWeb"/>
        <w:jc w:val="both"/>
        <w:rPr>
          <w:rFonts w:ascii="Arial" w:hAnsi="Arial" w:cs="Arial"/>
          <w:color w:val="2F5496" w:themeColor="accent1" w:themeShade="BF"/>
          <w:sz w:val="20"/>
          <w:szCs w:val="20"/>
        </w:rPr>
        <w:sectPr w:rsidR="002A3610" w:rsidSect="00B962E2">
          <w:type w:val="continuous"/>
          <w:pgSz w:w="11900" w:h="16840"/>
          <w:pgMar w:top="1134" w:right="1134" w:bottom="1134" w:left="1134" w:header="709" w:footer="709" w:gutter="0"/>
          <w:cols w:num="2" w:space="720"/>
          <w:docGrid w:linePitch="360"/>
        </w:sectPr>
      </w:pPr>
    </w:p>
    <w:tbl>
      <w:tblPr>
        <w:tblStyle w:val="TableGrid"/>
        <w:tblW w:w="0" w:type="auto"/>
        <w:tblInd w:w="-147" w:type="dxa"/>
        <w:tblLook w:val="04A0" w:firstRow="1" w:lastRow="0" w:firstColumn="1" w:lastColumn="0" w:noHBand="0" w:noVBand="1"/>
      </w:tblPr>
      <w:tblGrid>
        <w:gridCol w:w="4676"/>
        <w:gridCol w:w="4964"/>
      </w:tblGrid>
      <w:tr w:rsidR="002A3610" w:rsidTr="002A3610">
        <w:trPr>
          <w:trHeight w:val="4095"/>
        </w:trPr>
        <w:tc>
          <w:tcPr>
            <w:tcW w:w="3985" w:type="dxa"/>
          </w:tcPr>
          <w:p w:rsidR="00DE7FDA" w:rsidRDefault="00121F72" w:rsidP="008A2B8D">
            <w:pPr>
              <w:pStyle w:val="NormalWeb"/>
              <w:jc w:val="both"/>
              <w:rPr>
                <w:rFonts w:ascii="Arial" w:hAnsi="Arial" w:cs="Arial"/>
                <w:color w:val="2F5496" w:themeColor="accent1" w:themeShade="BF"/>
                <w:sz w:val="20"/>
                <w:szCs w:val="20"/>
              </w:rPr>
            </w:pPr>
            <w:r>
              <w:rPr>
                <w:noProof/>
              </w:rPr>
              <w:lastRenderedPageBreak/>
              <w:drawing>
                <wp:inline distT="0" distB="0" distL="0" distR="0" wp14:anchorId="6D7FB0FB" wp14:editId="56B573D6">
                  <wp:extent cx="2828678" cy="2575859"/>
                  <wp:effectExtent l="0" t="0" r="3810" b="2540"/>
                  <wp:docPr id="2" name="Picture 2" descr="C:\Users\ll220\AppData\Local\Microsoft\Windows\Temporary Internet Files\Content.Word\displacement_map_loretta_ov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l220\AppData\Local\Microsoft\Windows\Temporary Internet Files\Content.Word\displacement_map_loretta_overview.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2144" cy="2597228"/>
                          </a:xfrm>
                          <a:prstGeom prst="rect">
                            <a:avLst/>
                          </a:prstGeom>
                          <a:noFill/>
                          <a:ln>
                            <a:noFill/>
                          </a:ln>
                        </pic:spPr>
                      </pic:pic>
                    </a:graphicData>
                  </a:graphic>
                </wp:inline>
              </w:drawing>
            </w:r>
          </w:p>
        </w:tc>
        <w:tc>
          <w:tcPr>
            <w:tcW w:w="4964" w:type="dxa"/>
          </w:tcPr>
          <w:p w:rsidR="00DE7FDA" w:rsidRDefault="00121F72" w:rsidP="008A2B8D">
            <w:pPr>
              <w:pStyle w:val="NormalWeb"/>
              <w:jc w:val="both"/>
              <w:rPr>
                <w:rFonts w:ascii="Arial" w:hAnsi="Arial" w:cs="Arial"/>
                <w:color w:val="2F5496" w:themeColor="accent1" w:themeShade="BF"/>
                <w:sz w:val="20"/>
                <w:szCs w:val="20"/>
              </w:rPr>
            </w:pPr>
            <w:r w:rsidRPr="00E43C82">
              <w:rPr>
                <w:b/>
                <w:i/>
                <w:noProof/>
              </w:rPr>
              <w:drawing>
                <wp:inline distT="0" distB="0" distL="0" distR="0" wp14:anchorId="50F2E63C" wp14:editId="1177602B">
                  <wp:extent cx="2829210" cy="2543175"/>
                  <wp:effectExtent l="0" t="0" r="3175" b="0"/>
                  <wp:docPr id="14" name="Picture 14" descr="C:\Users\loretta\AppData\Local\Microsoft\Windows\Temporary Internet Files\Content.IE5\RDR8XMIP\Tenant_displacement_map_from_aylesbury_estate_ex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retta\AppData\Local\Microsoft\Windows\Temporary Internet Files\Content.IE5\RDR8XMIP\Tenant_displacement_map_from_aylesbury_estate_examp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6284" cy="2558523"/>
                          </a:xfrm>
                          <a:prstGeom prst="rect">
                            <a:avLst/>
                          </a:prstGeom>
                          <a:noFill/>
                          <a:ln>
                            <a:noFill/>
                          </a:ln>
                        </pic:spPr>
                      </pic:pic>
                    </a:graphicData>
                  </a:graphic>
                </wp:inline>
              </w:drawing>
            </w:r>
          </w:p>
        </w:tc>
      </w:tr>
    </w:tbl>
    <w:p w:rsidR="002A3610" w:rsidRPr="00E763C9" w:rsidRDefault="00121F72" w:rsidP="00121F72">
      <w:pPr>
        <w:pStyle w:val="NormalWeb"/>
        <w:shd w:val="clear" w:color="auto" w:fill="FFFFFF"/>
        <w:jc w:val="center"/>
        <w:rPr>
          <w:rFonts w:ascii="Arial" w:hAnsi="Arial" w:cs="Arial"/>
          <w:b/>
          <w:bCs/>
          <w:i/>
          <w:iCs/>
          <w:color w:val="806000" w:themeColor="accent4" w:themeShade="80"/>
          <w:sz w:val="18"/>
          <w:szCs w:val="18"/>
        </w:rPr>
        <w:sectPr w:rsidR="002A3610" w:rsidRPr="00E763C9" w:rsidSect="002A3610">
          <w:type w:val="continuous"/>
          <w:pgSz w:w="11900" w:h="16840"/>
          <w:pgMar w:top="1134" w:right="1134" w:bottom="1134" w:left="1134" w:header="709" w:footer="709" w:gutter="0"/>
          <w:cols w:space="720"/>
          <w:docGrid w:linePitch="360"/>
        </w:sectPr>
      </w:pPr>
      <w:r w:rsidRPr="00E763C9">
        <w:rPr>
          <w:rFonts w:ascii="Arial" w:hAnsi="Arial" w:cs="Arial"/>
          <w:b/>
          <w:bCs/>
          <w:i/>
          <w:iCs/>
          <w:color w:val="806000" w:themeColor="accent4" w:themeShade="80"/>
          <w:sz w:val="18"/>
          <w:szCs w:val="18"/>
        </w:rPr>
        <w:t>Displacement from the Aylesbury Estate for leaseholders (left) and tenants (right)</w:t>
      </w:r>
    </w:p>
    <w:p w:rsidR="00297BD9" w:rsidRPr="00297BD9" w:rsidRDefault="00297BD9" w:rsidP="002A3610">
      <w:pPr>
        <w:pStyle w:val="NormalWeb"/>
        <w:shd w:val="clear" w:color="auto" w:fill="FFFFFF"/>
        <w:jc w:val="both"/>
        <w:rPr>
          <w:rFonts w:ascii="Arial" w:hAnsi="Arial" w:cs="Arial"/>
          <w:b/>
          <w:bCs/>
          <w:color w:val="806000" w:themeColor="accent4" w:themeShade="80"/>
          <w:sz w:val="20"/>
          <w:szCs w:val="20"/>
        </w:rPr>
      </w:pPr>
      <w:r w:rsidRPr="00297BD9">
        <w:rPr>
          <w:rFonts w:ascii="Arial" w:hAnsi="Arial" w:cs="Arial"/>
          <w:b/>
          <w:bCs/>
          <w:color w:val="806000" w:themeColor="accent4" w:themeShade="80"/>
          <w:sz w:val="20"/>
          <w:szCs w:val="20"/>
        </w:rPr>
        <w:t xml:space="preserve">Findings </w:t>
      </w:r>
    </w:p>
    <w:p w:rsidR="00533A2A" w:rsidRPr="0002368F" w:rsidRDefault="00B962E2" w:rsidP="008A2B8D">
      <w:pPr>
        <w:pStyle w:val="NormalWeb"/>
        <w:shd w:val="clear" w:color="auto" w:fill="FFFFFF"/>
        <w:jc w:val="both"/>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 xml:space="preserve">We found strong evidence that relocations from </w:t>
      </w:r>
      <w:proofErr w:type="spellStart"/>
      <w:r w:rsidRPr="0002368F">
        <w:rPr>
          <w:rFonts w:ascii="Arial" w:hAnsi="Arial" w:cs="Arial"/>
          <w:color w:val="2F5496" w:themeColor="accent1" w:themeShade="BF"/>
          <w:sz w:val="20"/>
          <w:szCs w:val="20"/>
        </w:rPr>
        <w:t>unregenerated</w:t>
      </w:r>
      <w:proofErr w:type="spellEnd"/>
      <w:r w:rsidRPr="0002368F">
        <w:rPr>
          <w:rFonts w:ascii="Arial" w:hAnsi="Arial" w:cs="Arial"/>
          <w:i/>
          <w:iCs/>
          <w:color w:val="2F5496" w:themeColor="accent1" w:themeShade="BF"/>
          <w:sz w:val="20"/>
          <w:szCs w:val="20"/>
        </w:rPr>
        <w:t xml:space="preserve"> </w:t>
      </w:r>
      <w:r w:rsidRPr="0002368F">
        <w:rPr>
          <w:rFonts w:ascii="Arial" w:hAnsi="Arial" w:cs="Arial"/>
          <w:color w:val="2F5496" w:themeColor="accent1" w:themeShade="BF"/>
          <w:sz w:val="20"/>
          <w:szCs w:val="20"/>
        </w:rPr>
        <w:t>estates are significantly different from those</w:t>
      </w:r>
      <w:r w:rsidR="00F07562">
        <w:rPr>
          <w:rFonts w:ascii="Arial" w:hAnsi="Arial" w:cs="Arial"/>
          <w:color w:val="2F5496" w:themeColor="accent1" w:themeShade="BF"/>
          <w:sz w:val="20"/>
          <w:szCs w:val="20"/>
        </w:rPr>
        <w:t xml:space="preserve"> of estates renewed since 1997. </w:t>
      </w:r>
      <w:r w:rsidR="0094396C" w:rsidRPr="0002368F">
        <w:rPr>
          <w:rFonts w:ascii="Arial" w:hAnsi="Arial" w:cs="Arial"/>
          <w:color w:val="2F5496" w:themeColor="accent1" w:themeShade="BF"/>
          <w:sz w:val="20"/>
          <w:szCs w:val="20"/>
        </w:rPr>
        <w:t xml:space="preserve">Comparison of out-migration from estates undergoing renewal and those not undergoing renewal, as well as in the </w:t>
      </w:r>
      <w:r w:rsidR="00FF749D" w:rsidRPr="0002368F">
        <w:rPr>
          <w:rFonts w:ascii="Arial" w:hAnsi="Arial" w:cs="Arial"/>
          <w:color w:val="2F5496" w:themeColor="accent1" w:themeShade="BF"/>
          <w:sz w:val="20"/>
          <w:szCs w:val="20"/>
        </w:rPr>
        <w:t>five</w:t>
      </w:r>
      <w:r w:rsidR="0094396C" w:rsidRPr="0002368F">
        <w:rPr>
          <w:rFonts w:ascii="Arial" w:hAnsi="Arial" w:cs="Arial"/>
          <w:color w:val="2F5496" w:themeColor="accent1" w:themeShade="BF"/>
          <w:sz w:val="20"/>
          <w:szCs w:val="20"/>
        </w:rPr>
        <w:t xml:space="preserve"> years before and after renewal, </w:t>
      </w:r>
      <w:r w:rsidR="005530EE">
        <w:rPr>
          <w:rFonts w:ascii="Arial" w:hAnsi="Arial" w:cs="Arial"/>
          <w:color w:val="2F5496" w:themeColor="accent1" w:themeShade="BF"/>
          <w:sz w:val="20"/>
          <w:szCs w:val="20"/>
        </w:rPr>
        <w:t>shows</w:t>
      </w:r>
      <w:r w:rsidR="00297BD9">
        <w:rPr>
          <w:rFonts w:ascii="Arial" w:hAnsi="Arial" w:cs="Arial"/>
          <w:color w:val="2F5496" w:themeColor="accent1" w:themeShade="BF"/>
          <w:sz w:val="20"/>
          <w:szCs w:val="20"/>
        </w:rPr>
        <w:t>,</w:t>
      </w:r>
      <w:r w:rsidR="00FF749D" w:rsidRPr="0002368F">
        <w:rPr>
          <w:rFonts w:ascii="Arial" w:hAnsi="Arial" w:cs="Arial"/>
          <w:color w:val="2F5496" w:themeColor="accent1" w:themeShade="BF"/>
          <w:sz w:val="20"/>
          <w:szCs w:val="20"/>
        </w:rPr>
        <w:t xml:space="preserve"> in genera</w:t>
      </w:r>
      <w:r w:rsidR="00297BD9">
        <w:rPr>
          <w:rFonts w:ascii="Arial" w:hAnsi="Arial" w:cs="Arial"/>
          <w:color w:val="2F5496" w:themeColor="accent1" w:themeShade="BF"/>
          <w:sz w:val="20"/>
          <w:szCs w:val="20"/>
        </w:rPr>
        <w:t>l,</w:t>
      </w:r>
      <w:r w:rsidR="00FF749D" w:rsidRPr="0002368F">
        <w:rPr>
          <w:rFonts w:ascii="Arial" w:hAnsi="Arial" w:cs="Arial"/>
          <w:color w:val="2F5496" w:themeColor="accent1" w:themeShade="BF"/>
          <w:sz w:val="20"/>
          <w:szCs w:val="20"/>
        </w:rPr>
        <w:t xml:space="preserve"> </w:t>
      </w:r>
      <w:r w:rsidR="00A13A37" w:rsidRPr="0002368F">
        <w:rPr>
          <w:rFonts w:ascii="Arial" w:hAnsi="Arial" w:cs="Arial"/>
          <w:color w:val="2F5496" w:themeColor="accent1" w:themeShade="BF"/>
          <w:sz w:val="20"/>
          <w:szCs w:val="20"/>
        </w:rPr>
        <w:t>that fewer</w:t>
      </w:r>
      <w:r w:rsidR="00FF749D" w:rsidRPr="0002368F">
        <w:rPr>
          <w:rFonts w:ascii="Arial" w:hAnsi="Arial" w:cs="Arial"/>
          <w:color w:val="2F5496" w:themeColor="accent1" w:themeShade="BF"/>
          <w:sz w:val="20"/>
          <w:szCs w:val="20"/>
        </w:rPr>
        <w:t xml:space="preserve"> leaving estates </w:t>
      </w:r>
      <w:r w:rsidR="00A13A37" w:rsidRPr="0002368F">
        <w:rPr>
          <w:rFonts w:ascii="Arial" w:hAnsi="Arial" w:cs="Arial"/>
          <w:color w:val="2F5496" w:themeColor="accent1" w:themeShade="BF"/>
          <w:sz w:val="20"/>
          <w:szCs w:val="20"/>
        </w:rPr>
        <w:t xml:space="preserve">after decanting tend to remain in-borough or in London than is the case for the ‘voluntary’ moves before decanting begins. As the maps </w:t>
      </w:r>
      <w:r w:rsidR="00B266A9" w:rsidRPr="0002368F">
        <w:rPr>
          <w:rFonts w:ascii="Arial" w:hAnsi="Arial" w:cs="Arial"/>
          <w:color w:val="2F5496" w:themeColor="accent1" w:themeShade="BF"/>
          <w:sz w:val="20"/>
          <w:szCs w:val="20"/>
        </w:rPr>
        <w:t>here</w:t>
      </w:r>
      <w:r w:rsidR="00A13A37" w:rsidRPr="0002368F">
        <w:rPr>
          <w:rFonts w:ascii="Arial" w:hAnsi="Arial" w:cs="Arial"/>
          <w:color w:val="2F5496" w:themeColor="accent1" w:themeShade="BF"/>
          <w:sz w:val="20"/>
          <w:szCs w:val="20"/>
        </w:rPr>
        <w:t xml:space="preserve"> show, many moves after decanting begins are in an outward direction, suggesting that the renewal programme is rolling the gentrification frontier in an outwards direction.</w:t>
      </w:r>
      <w:r w:rsidR="00E763C9">
        <w:rPr>
          <w:rFonts w:ascii="Arial" w:hAnsi="Arial" w:cs="Arial"/>
          <w:color w:val="2F5496" w:themeColor="accent1" w:themeShade="BF"/>
          <w:sz w:val="20"/>
          <w:szCs w:val="20"/>
        </w:rPr>
        <w:t xml:space="preserve"> </w:t>
      </w:r>
      <w:r w:rsidR="00A13A37" w:rsidRPr="0002368F">
        <w:rPr>
          <w:rFonts w:ascii="Arial" w:hAnsi="Arial" w:cs="Arial"/>
          <w:color w:val="2F5496" w:themeColor="accent1" w:themeShade="BF"/>
          <w:sz w:val="20"/>
          <w:szCs w:val="20"/>
        </w:rPr>
        <w:t xml:space="preserve">What complicates the picture here is the difference between tenants and leaseholders, with the two groups exhibiting different patterns of relocation: leaseholders appear more likely to move further </w:t>
      </w:r>
      <w:proofErr w:type="gramStart"/>
      <w:r w:rsidR="00A13A37" w:rsidRPr="0002368F">
        <w:rPr>
          <w:rFonts w:ascii="Arial" w:hAnsi="Arial" w:cs="Arial"/>
          <w:color w:val="2F5496" w:themeColor="accent1" w:themeShade="BF"/>
          <w:sz w:val="20"/>
          <w:szCs w:val="20"/>
        </w:rPr>
        <w:t xml:space="preserve">afield in the search for a new home because of the rising </w:t>
      </w:r>
      <w:r w:rsidR="00B266A9" w:rsidRPr="0002368F">
        <w:rPr>
          <w:rFonts w:ascii="Arial" w:hAnsi="Arial" w:cs="Arial"/>
          <w:color w:val="2F5496" w:themeColor="accent1" w:themeShade="BF"/>
          <w:sz w:val="20"/>
          <w:szCs w:val="20"/>
        </w:rPr>
        <w:t>prices in inner London</w:t>
      </w:r>
      <w:proofErr w:type="gramEnd"/>
      <w:r w:rsidR="00B700F4">
        <w:rPr>
          <w:rFonts w:ascii="Arial" w:hAnsi="Arial" w:cs="Arial"/>
          <w:color w:val="2F5496" w:themeColor="accent1" w:themeShade="BF"/>
          <w:sz w:val="20"/>
          <w:szCs w:val="20"/>
        </w:rPr>
        <w:t>.</w:t>
      </w:r>
      <w:r w:rsidR="00297BD9">
        <w:rPr>
          <w:rFonts w:ascii="Arial" w:hAnsi="Arial" w:cs="Arial"/>
          <w:color w:val="2F5496" w:themeColor="accent1" w:themeShade="BF"/>
          <w:sz w:val="20"/>
          <w:szCs w:val="20"/>
        </w:rPr>
        <w:t xml:space="preserve"> This </w:t>
      </w:r>
      <w:proofErr w:type="gramStart"/>
      <w:r w:rsidR="00297BD9">
        <w:rPr>
          <w:rFonts w:ascii="Arial" w:hAnsi="Arial" w:cs="Arial"/>
          <w:color w:val="2F5496" w:themeColor="accent1" w:themeShade="BF"/>
          <w:sz w:val="20"/>
          <w:szCs w:val="20"/>
        </w:rPr>
        <w:t>is evidenced</w:t>
      </w:r>
      <w:proofErr w:type="gramEnd"/>
      <w:r w:rsidR="00297BD9">
        <w:rPr>
          <w:rFonts w:ascii="Arial" w:hAnsi="Arial" w:cs="Arial"/>
          <w:color w:val="2F5496" w:themeColor="accent1" w:themeShade="BF"/>
          <w:sz w:val="20"/>
          <w:szCs w:val="20"/>
        </w:rPr>
        <w:t xml:space="preserve"> in the figures, above, which </w:t>
      </w:r>
      <w:r w:rsidR="00055F25">
        <w:rPr>
          <w:rFonts w:ascii="Arial" w:hAnsi="Arial" w:cs="Arial"/>
          <w:color w:val="2F5496" w:themeColor="accent1" w:themeShade="BF"/>
          <w:sz w:val="20"/>
          <w:szCs w:val="20"/>
        </w:rPr>
        <w:t>were</w:t>
      </w:r>
      <w:r w:rsidR="00297BD9">
        <w:rPr>
          <w:rFonts w:ascii="Arial" w:hAnsi="Arial" w:cs="Arial"/>
          <w:color w:val="2F5496" w:themeColor="accent1" w:themeShade="BF"/>
          <w:sz w:val="20"/>
          <w:szCs w:val="20"/>
        </w:rPr>
        <w:t xml:space="preserve"> presented to the </w:t>
      </w:r>
      <w:r w:rsidR="00055F25">
        <w:rPr>
          <w:rFonts w:ascii="Arial" w:hAnsi="Arial" w:cs="Arial"/>
          <w:color w:val="2F5496" w:themeColor="accent1" w:themeShade="BF"/>
          <w:sz w:val="20"/>
          <w:szCs w:val="20"/>
        </w:rPr>
        <w:t>Aylesbury public inquiries</w:t>
      </w:r>
      <w:r w:rsidR="00297BD9">
        <w:rPr>
          <w:rFonts w:ascii="Arial" w:hAnsi="Arial" w:cs="Arial"/>
          <w:color w:val="2F5496" w:themeColor="accent1" w:themeShade="BF"/>
          <w:sz w:val="20"/>
          <w:szCs w:val="20"/>
        </w:rPr>
        <w:t xml:space="preserve">. </w:t>
      </w:r>
    </w:p>
    <w:p w:rsidR="00297BD9" w:rsidRDefault="00297BD9" w:rsidP="008A2B8D">
      <w:pPr>
        <w:jc w:val="both"/>
        <w:rPr>
          <w:rFonts w:ascii="Arial" w:eastAsia="Times New Roman" w:hAnsi="Arial" w:cs="Arial"/>
          <w:color w:val="2F5496" w:themeColor="accent1" w:themeShade="BF"/>
          <w:sz w:val="20"/>
          <w:szCs w:val="20"/>
          <w:lang w:eastAsia="en-GB"/>
        </w:rPr>
      </w:pPr>
      <w:r>
        <w:rPr>
          <w:rFonts w:ascii="Arial" w:eastAsia="Times New Roman" w:hAnsi="Arial" w:cs="Arial"/>
          <w:color w:val="2F5496" w:themeColor="accent1" w:themeShade="BF"/>
          <w:sz w:val="20"/>
          <w:szCs w:val="20"/>
          <w:lang w:eastAsia="en-GB"/>
        </w:rPr>
        <w:t>On all estates</w:t>
      </w:r>
      <w:r w:rsidR="00A13A37" w:rsidRPr="0002368F">
        <w:rPr>
          <w:rFonts w:ascii="Arial" w:eastAsia="Times New Roman" w:hAnsi="Arial" w:cs="Arial"/>
          <w:color w:val="2F5496" w:themeColor="accent1" w:themeShade="BF"/>
          <w:sz w:val="20"/>
          <w:szCs w:val="20"/>
          <w:lang w:eastAsia="en-GB"/>
        </w:rPr>
        <w:t xml:space="preserve">, </w:t>
      </w:r>
      <w:r>
        <w:rPr>
          <w:rFonts w:ascii="Arial" w:eastAsia="Times New Roman" w:hAnsi="Arial" w:cs="Arial"/>
          <w:color w:val="2F5496" w:themeColor="accent1" w:themeShade="BF"/>
          <w:sz w:val="20"/>
          <w:szCs w:val="20"/>
          <w:lang w:eastAsia="en-GB"/>
        </w:rPr>
        <w:t xml:space="preserve">residents felt </w:t>
      </w:r>
      <w:r w:rsidR="00A13A37" w:rsidRPr="0002368F">
        <w:rPr>
          <w:rFonts w:ascii="Arial" w:eastAsia="Times New Roman" w:hAnsi="Arial" w:cs="Arial"/>
          <w:color w:val="2F5496" w:themeColor="accent1" w:themeShade="BF"/>
          <w:sz w:val="20"/>
          <w:szCs w:val="20"/>
          <w:lang w:eastAsia="en-GB"/>
        </w:rPr>
        <w:t xml:space="preserve">that </w:t>
      </w:r>
      <w:r>
        <w:rPr>
          <w:rFonts w:ascii="Arial" w:eastAsia="Times New Roman" w:hAnsi="Arial" w:cs="Arial"/>
          <w:color w:val="2F5496" w:themeColor="accent1" w:themeShade="BF"/>
          <w:sz w:val="20"/>
          <w:szCs w:val="20"/>
          <w:lang w:eastAsia="en-GB"/>
        </w:rPr>
        <w:t xml:space="preserve">the case for </w:t>
      </w:r>
      <w:r w:rsidR="00A13A37" w:rsidRPr="0002368F">
        <w:rPr>
          <w:rFonts w:ascii="Arial" w:eastAsia="Times New Roman" w:hAnsi="Arial" w:cs="Arial"/>
          <w:color w:val="2F5496" w:themeColor="accent1" w:themeShade="BF"/>
          <w:sz w:val="20"/>
          <w:szCs w:val="20"/>
          <w:lang w:eastAsia="en-GB"/>
        </w:rPr>
        <w:t xml:space="preserve">demolition </w:t>
      </w:r>
      <w:proofErr w:type="gramStart"/>
      <w:r w:rsidR="00A13A37" w:rsidRPr="0002368F">
        <w:rPr>
          <w:rFonts w:ascii="Arial" w:eastAsia="Times New Roman" w:hAnsi="Arial" w:cs="Arial"/>
          <w:color w:val="2F5496" w:themeColor="accent1" w:themeShade="BF"/>
          <w:sz w:val="20"/>
          <w:szCs w:val="20"/>
          <w:lang w:eastAsia="en-GB"/>
        </w:rPr>
        <w:t>had not been adequately articulated</w:t>
      </w:r>
      <w:proofErr w:type="gramEnd"/>
      <w:r w:rsidR="00A13A37" w:rsidRPr="0002368F">
        <w:rPr>
          <w:rFonts w:ascii="Arial" w:eastAsia="Times New Roman" w:hAnsi="Arial" w:cs="Arial"/>
          <w:color w:val="2F5496" w:themeColor="accent1" w:themeShade="BF"/>
          <w:sz w:val="20"/>
          <w:szCs w:val="20"/>
          <w:lang w:eastAsia="en-GB"/>
        </w:rPr>
        <w:t xml:space="preserve"> </w:t>
      </w:r>
      <w:r w:rsidR="00E763C9">
        <w:rPr>
          <w:rFonts w:ascii="Arial" w:eastAsia="Times New Roman" w:hAnsi="Arial" w:cs="Arial"/>
          <w:color w:val="2F5496" w:themeColor="accent1" w:themeShade="BF"/>
          <w:sz w:val="20"/>
          <w:szCs w:val="20"/>
          <w:lang w:eastAsia="en-GB"/>
        </w:rPr>
        <w:t>and</w:t>
      </w:r>
      <w:r w:rsidR="00A13A37" w:rsidRPr="0002368F">
        <w:rPr>
          <w:rFonts w:ascii="Arial" w:eastAsia="Times New Roman" w:hAnsi="Arial" w:cs="Arial"/>
          <w:color w:val="2F5496" w:themeColor="accent1" w:themeShade="BF"/>
          <w:sz w:val="20"/>
          <w:szCs w:val="20"/>
          <w:lang w:eastAsia="en-GB"/>
        </w:rPr>
        <w:t xml:space="preserve"> </w:t>
      </w:r>
      <w:r>
        <w:rPr>
          <w:rFonts w:ascii="Arial" w:eastAsia="Times New Roman" w:hAnsi="Arial" w:cs="Arial"/>
          <w:color w:val="2F5496" w:themeColor="accent1" w:themeShade="BF"/>
          <w:sz w:val="20"/>
          <w:szCs w:val="20"/>
          <w:lang w:eastAsia="en-GB"/>
        </w:rPr>
        <w:t xml:space="preserve">that they had </w:t>
      </w:r>
      <w:r w:rsidR="00E763C9">
        <w:rPr>
          <w:rFonts w:ascii="Arial" w:eastAsia="Times New Roman" w:hAnsi="Arial" w:cs="Arial"/>
          <w:color w:val="2F5496" w:themeColor="accent1" w:themeShade="BF"/>
          <w:sz w:val="20"/>
          <w:szCs w:val="20"/>
          <w:lang w:eastAsia="en-GB"/>
        </w:rPr>
        <w:t xml:space="preserve">not </w:t>
      </w:r>
      <w:r>
        <w:rPr>
          <w:rFonts w:ascii="Arial" w:eastAsia="Times New Roman" w:hAnsi="Arial" w:cs="Arial"/>
          <w:color w:val="2F5496" w:themeColor="accent1" w:themeShade="BF"/>
          <w:sz w:val="20"/>
          <w:szCs w:val="20"/>
          <w:lang w:eastAsia="en-GB"/>
        </w:rPr>
        <w:t>been</w:t>
      </w:r>
      <w:r w:rsidR="00E763C9">
        <w:rPr>
          <w:rFonts w:ascii="Arial" w:eastAsia="Times New Roman" w:hAnsi="Arial" w:cs="Arial"/>
          <w:color w:val="2F5496" w:themeColor="accent1" w:themeShade="BF"/>
          <w:sz w:val="20"/>
          <w:szCs w:val="20"/>
          <w:lang w:eastAsia="en-GB"/>
        </w:rPr>
        <w:t xml:space="preserve"> </w:t>
      </w:r>
      <w:r>
        <w:rPr>
          <w:rFonts w:ascii="Arial" w:eastAsia="Times New Roman" w:hAnsi="Arial" w:cs="Arial"/>
          <w:color w:val="2F5496" w:themeColor="accent1" w:themeShade="BF"/>
          <w:sz w:val="20"/>
          <w:szCs w:val="20"/>
          <w:lang w:eastAsia="en-GB"/>
        </w:rPr>
        <w:t xml:space="preserve">given </w:t>
      </w:r>
      <w:r w:rsidR="00A13A37" w:rsidRPr="0002368F">
        <w:rPr>
          <w:rFonts w:ascii="Arial" w:eastAsia="Times New Roman" w:hAnsi="Arial" w:cs="Arial"/>
          <w:color w:val="2F5496" w:themeColor="accent1" w:themeShade="BF"/>
          <w:sz w:val="20"/>
          <w:szCs w:val="20"/>
          <w:lang w:eastAsia="en-GB"/>
        </w:rPr>
        <w:t xml:space="preserve">a real choice about the future. </w:t>
      </w:r>
      <w:r>
        <w:rPr>
          <w:rFonts w:ascii="Arial" w:eastAsia="Times New Roman" w:hAnsi="Arial" w:cs="Arial"/>
          <w:color w:val="2F5496" w:themeColor="accent1" w:themeShade="BF"/>
          <w:sz w:val="20"/>
          <w:szCs w:val="20"/>
          <w:lang w:eastAsia="en-GB"/>
        </w:rPr>
        <w:t>We found that m</w:t>
      </w:r>
      <w:r w:rsidR="00A13A37" w:rsidRPr="0002368F">
        <w:rPr>
          <w:rFonts w:ascii="Arial" w:eastAsia="Times New Roman" w:hAnsi="Arial" w:cs="Arial"/>
          <w:color w:val="2F5496" w:themeColor="accent1" w:themeShade="BF"/>
          <w:sz w:val="20"/>
          <w:szCs w:val="20"/>
          <w:lang w:eastAsia="en-GB"/>
        </w:rPr>
        <w:t xml:space="preserve">ost – but not all – </w:t>
      </w:r>
      <w:r>
        <w:rPr>
          <w:rFonts w:ascii="Arial" w:eastAsia="Times New Roman" w:hAnsi="Arial" w:cs="Arial"/>
          <w:color w:val="2F5496" w:themeColor="accent1" w:themeShade="BF"/>
          <w:sz w:val="20"/>
          <w:szCs w:val="20"/>
          <w:lang w:eastAsia="en-GB"/>
        </w:rPr>
        <w:t xml:space="preserve">of those being decanted </w:t>
      </w:r>
      <w:r w:rsidR="00A13A37" w:rsidRPr="0002368F">
        <w:rPr>
          <w:rFonts w:ascii="Arial" w:eastAsia="Times New Roman" w:hAnsi="Arial" w:cs="Arial"/>
          <w:color w:val="2F5496" w:themeColor="accent1" w:themeShade="BF"/>
          <w:sz w:val="20"/>
          <w:szCs w:val="20"/>
          <w:lang w:eastAsia="en-GB"/>
        </w:rPr>
        <w:t xml:space="preserve">were reluctant movers. </w:t>
      </w:r>
      <w:r w:rsidR="000835CC" w:rsidRPr="0002368F">
        <w:rPr>
          <w:rFonts w:ascii="Arial" w:eastAsia="Times New Roman" w:hAnsi="Arial" w:cs="Arial"/>
          <w:color w:val="2F5496" w:themeColor="accent1" w:themeShade="BF"/>
          <w:sz w:val="20"/>
          <w:szCs w:val="20"/>
          <w:lang w:eastAsia="en-GB"/>
        </w:rPr>
        <w:t xml:space="preserve">Older residents in particular were anxious about the breaking up of community networks, being dislocated from </w:t>
      </w:r>
      <w:r w:rsidR="00251D2D" w:rsidRPr="0002368F">
        <w:rPr>
          <w:rFonts w:ascii="Arial" w:eastAsia="Times New Roman" w:hAnsi="Arial" w:cs="Arial"/>
          <w:color w:val="2F5496" w:themeColor="accent1" w:themeShade="BF"/>
          <w:sz w:val="20"/>
          <w:szCs w:val="20"/>
          <w:lang w:eastAsia="en-GB"/>
        </w:rPr>
        <w:t>friends, family</w:t>
      </w:r>
      <w:r w:rsidR="005530EE">
        <w:rPr>
          <w:rFonts w:ascii="Arial" w:eastAsia="Times New Roman" w:hAnsi="Arial" w:cs="Arial"/>
          <w:color w:val="2F5496" w:themeColor="accent1" w:themeShade="BF"/>
          <w:sz w:val="20"/>
          <w:szCs w:val="20"/>
          <w:lang w:eastAsia="en-GB"/>
        </w:rPr>
        <w:t>,</w:t>
      </w:r>
      <w:r w:rsidR="00251D2D" w:rsidRPr="0002368F">
        <w:rPr>
          <w:rFonts w:ascii="Arial" w:eastAsia="Times New Roman" w:hAnsi="Arial" w:cs="Arial"/>
          <w:color w:val="2F5496" w:themeColor="accent1" w:themeShade="BF"/>
          <w:sz w:val="20"/>
          <w:szCs w:val="20"/>
          <w:lang w:eastAsia="en-GB"/>
        </w:rPr>
        <w:t xml:space="preserve"> and </w:t>
      </w:r>
      <w:r w:rsidR="000835CC" w:rsidRPr="0002368F">
        <w:rPr>
          <w:rFonts w:ascii="Arial" w:eastAsia="Times New Roman" w:hAnsi="Arial" w:cs="Arial"/>
          <w:color w:val="2F5496" w:themeColor="accent1" w:themeShade="BF"/>
          <w:sz w:val="20"/>
          <w:szCs w:val="20"/>
          <w:lang w:eastAsia="en-GB"/>
        </w:rPr>
        <w:t>health</w:t>
      </w:r>
      <w:r w:rsidR="00251D2D" w:rsidRPr="0002368F">
        <w:rPr>
          <w:rFonts w:ascii="Arial" w:eastAsia="Times New Roman" w:hAnsi="Arial" w:cs="Arial"/>
          <w:color w:val="2F5496" w:themeColor="accent1" w:themeShade="BF"/>
          <w:sz w:val="20"/>
          <w:szCs w:val="20"/>
          <w:lang w:eastAsia="en-GB"/>
        </w:rPr>
        <w:t xml:space="preserve"> and community</w:t>
      </w:r>
      <w:r w:rsidR="000835CC" w:rsidRPr="0002368F">
        <w:rPr>
          <w:rFonts w:ascii="Arial" w:eastAsia="Times New Roman" w:hAnsi="Arial" w:cs="Arial"/>
          <w:color w:val="2F5496" w:themeColor="accent1" w:themeShade="BF"/>
          <w:sz w:val="20"/>
          <w:szCs w:val="20"/>
          <w:lang w:eastAsia="en-GB"/>
        </w:rPr>
        <w:t xml:space="preserve"> facilities, and experiencing a loss of place identity. Younger residents, and those with chil</w:t>
      </w:r>
      <w:r w:rsidR="00251D2D" w:rsidRPr="0002368F">
        <w:rPr>
          <w:rFonts w:ascii="Arial" w:eastAsia="Times New Roman" w:hAnsi="Arial" w:cs="Arial"/>
          <w:color w:val="2F5496" w:themeColor="accent1" w:themeShade="BF"/>
          <w:sz w:val="20"/>
          <w:szCs w:val="20"/>
          <w:lang w:eastAsia="en-GB"/>
        </w:rPr>
        <w:t xml:space="preserve">dren, were more concerned </w:t>
      </w:r>
      <w:proofErr w:type="gramStart"/>
      <w:r w:rsidR="00251D2D" w:rsidRPr="0002368F">
        <w:rPr>
          <w:rFonts w:ascii="Arial" w:eastAsia="Times New Roman" w:hAnsi="Arial" w:cs="Arial"/>
          <w:color w:val="2F5496" w:themeColor="accent1" w:themeShade="BF"/>
          <w:sz w:val="20"/>
          <w:szCs w:val="20"/>
          <w:lang w:eastAsia="en-GB"/>
        </w:rPr>
        <w:t>about f</w:t>
      </w:r>
      <w:r w:rsidR="000835CC" w:rsidRPr="0002368F">
        <w:rPr>
          <w:rFonts w:ascii="Arial" w:eastAsia="Times New Roman" w:hAnsi="Arial" w:cs="Arial"/>
          <w:color w:val="2F5496" w:themeColor="accent1" w:themeShade="BF"/>
          <w:sz w:val="20"/>
          <w:szCs w:val="20"/>
          <w:lang w:eastAsia="en-GB"/>
        </w:rPr>
        <w:t>acing</w:t>
      </w:r>
      <w:proofErr w:type="gramEnd"/>
      <w:r w:rsidR="000835CC" w:rsidRPr="0002368F">
        <w:rPr>
          <w:rFonts w:ascii="Arial" w:eastAsia="Times New Roman" w:hAnsi="Arial" w:cs="Arial"/>
          <w:color w:val="2F5496" w:themeColor="accent1" w:themeShade="BF"/>
          <w:sz w:val="20"/>
          <w:szCs w:val="20"/>
          <w:lang w:eastAsia="en-GB"/>
        </w:rPr>
        <w:t xml:space="preserve"> more difficult commutes, </w:t>
      </w:r>
      <w:r w:rsidR="00251D2D" w:rsidRPr="0002368F">
        <w:rPr>
          <w:rFonts w:ascii="Arial" w:eastAsia="Times New Roman" w:hAnsi="Arial" w:cs="Arial"/>
          <w:color w:val="2F5496" w:themeColor="accent1" w:themeShade="BF"/>
          <w:sz w:val="20"/>
          <w:szCs w:val="20"/>
          <w:lang w:eastAsia="en-GB"/>
        </w:rPr>
        <w:t xml:space="preserve">losing their </w:t>
      </w:r>
      <w:r w:rsidR="00251D2D" w:rsidRPr="0002368F">
        <w:rPr>
          <w:rFonts w:ascii="Arial" w:eastAsia="Times New Roman" w:hAnsi="Arial" w:cs="Arial"/>
          <w:color w:val="2F5496" w:themeColor="accent1" w:themeShade="BF"/>
          <w:sz w:val="20"/>
          <w:szCs w:val="20"/>
          <w:lang w:eastAsia="en-GB"/>
        </w:rPr>
        <w:lastRenderedPageBreak/>
        <w:t>jobs, disrupting children’s schooling, and the loss of support networks</w:t>
      </w:r>
      <w:r>
        <w:rPr>
          <w:rFonts w:ascii="Arial" w:eastAsia="Times New Roman" w:hAnsi="Arial" w:cs="Arial"/>
          <w:color w:val="2F5496" w:themeColor="accent1" w:themeShade="BF"/>
          <w:sz w:val="20"/>
          <w:szCs w:val="20"/>
          <w:lang w:eastAsia="en-GB"/>
        </w:rPr>
        <w:t>,</w:t>
      </w:r>
      <w:r w:rsidR="00251D2D" w:rsidRPr="0002368F">
        <w:rPr>
          <w:rFonts w:ascii="Arial" w:eastAsia="Times New Roman" w:hAnsi="Arial" w:cs="Arial"/>
          <w:color w:val="2F5496" w:themeColor="accent1" w:themeShade="BF"/>
          <w:sz w:val="20"/>
          <w:szCs w:val="20"/>
          <w:lang w:eastAsia="en-GB"/>
        </w:rPr>
        <w:t xml:space="preserve"> especially around childcare.</w:t>
      </w:r>
      <w:r w:rsidR="000835CC" w:rsidRPr="0002368F">
        <w:rPr>
          <w:rFonts w:ascii="Arial" w:eastAsia="Times New Roman" w:hAnsi="Arial" w:cs="Arial"/>
          <w:color w:val="2F5496" w:themeColor="accent1" w:themeShade="BF"/>
          <w:sz w:val="20"/>
          <w:szCs w:val="20"/>
          <w:lang w:eastAsia="en-GB"/>
        </w:rPr>
        <w:t xml:space="preserve"> </w:t>
      </w:r>
      <w:r w:rsidR="00E763C9">
        <w:rPr>
          <w:rFonts w:ascii="Arial" w:eastAsia="Times New Roman" w:hAnsi="Arial" w:cs="Arial"/>
          <w:color w:val="2F5496" w:themeColor="accent1" w:themeShade="BF"/>
          <w:sz w:val="20"/>
          <w:szCs w:val="20"/>
          <w:lang w:eastAsia="en-GB"/>
        </w:rPr>
        <w:t xml:space="preserve">There was also concern about moving to </w:t>
      </w:r>
      <w:r w:rsidR="005530EE">
        <w:rPr>
          <w:rFonts w:ascii="Arial" w:eastAsia="Times New Roman" w:hAnsi="Arial" w:cs="Arial"/>
          <w:color w:val="2F5496" w:themeColor="accent1" w:themeShade="BF"/>
          <w:sz w:val="20"/>
          <w:szCs w:val="20"/>
          <w:lang w:eastAsia="en-GB"/>
        </w:rPr>
        <w:t xml:space="preserve">a </w:t>
      </w:r>
      <w:r w:rsidR="00E763C9">
        <w:rPr>
          <w:rFonts w:ascii="Arial" w:eastAsia="Times New Roman" w:hAnsi="Arial" w:cs="Arial"/>
          <w:color w:val="2F5496" w:themeColor="accent1" w:themeShade="BF"/>
          <w:sz w:val="20"/>
          <w:szCs w:val="20"/>
          <w:lang w:eastAsia="en-GB"/>
        </w:rPr>
        <w:t>smaller, more expensive home in the future.</w:t>
      </w:r>
    </w:p>
    <w:p w:rsidR="00F07562" w:rsidRDefault="00F07562" w:rsidP="008A2B8D">
      <w:pPr>
        <w:jc w:val="both"/>
        <w:rPr>
          <w:rFonts w:ascii="Arial" w:eastAsia="Times New Roman" w:hAnsi="Arial" w:cs="Arial"/>
          <w:color w:val="2F5496" w:themeColor="accent1" w:themeShade="BF"/>
          <w:sz w:val="20"/>
          <w:szCs w:val="20"/>
          <w:lang w:eastAsia="en-GB"/>
        </w:rPr>
      </w:pPr>
    </w:p>
    <w:p w:rsidR="00297BD9" w:rsidRDefault="00656DBC" w:rsidP="008A2B8D">
      <w:pPr>
        <w:jc w:val="both"/>
        <w:rPr>
          <w:rFonts w:ascii="Arial" w:eastAsia="Times New Roman" w:hAnsi="Arial" w:cs="Arial"/>
          <w:color w:val="2F5496" w:themeColor="accent1" w:themeShade="BF"/>
          <w:sz w:val="20"/>
          <w:szCs w:val="20"/>
          <w:lang w:eastAsia="en-GB"/>
        </w:rPr>
      </w:pPr>
      <w:r>
        <w:rPr>
          <w:rFonts w:ascii="Arial" w:eastAsia="Times New Roman" w:hAnsi="Arial" w:cs="Arial"/>
          <w:color w:val="2F5496" w:themeColor="accent1" w:themeShade="BF"/>
          <w:sz w:val="20"/>
          <w:szCs w:val="20"/>
          <w:lang w:eastAsia="en-GB"/>
        </w:rPr>
        <w:t>Many of our interviewees expressed dismay at their having to move, seeing it as a form of class-based displacement. In addition, many of those</w:t>
      </w:r>
      <w:r w:rsidR="000835CC" w:rsidRPr="0002368F">
        <w:rPr>
          <w:rFonts w:ascii="Arial" w:eastAsia="Times New Roman" w:hAnsi="Arial" w:cs="Arial"/>
          <w:color w:val="2F5496" w:themeColor="accent1" w:themeShade="BF"/>
          <w:sz w:val="20"/>
          <w:szCs w:val="20"/>
          <w:lang w:eastAsia="en-GB"/>
        </w:rPr>
        <w:t xml:space="preserve"> from non-white ethnic backgrounds </w:t>
      </w:r>
      <w:r>
        <w:rPr>
          <w:rFonts w:ascii="Arial" w:eastAsia="Times New Roman" w:hAnsi="Arial" w:cs="Arial"/>
          <w:color w:val="2F5496" w:themeColor="accent1" w:themeShade="BF"/>
          <w:sz w:val="20"/>
          <w:szCs w:val="20"/>
          <w:lang w:eastAsia="en-GB"/>
        </w:rPr>
        <w:t>felt</w:t>
      </w:r>
      <w:bookmarkStart w:id="0" w:name="_GoBack"/>
      <w:bookmarkEnd w:id="0"/>
      <w:r w:rsidR="000835CC" w:rsidRPr="0002368F">
        <w:rPr>
          <w:rFonts w:ascii="Arial" w:eastAsia="Times New Roman" w:hAnsi="Arial" w:cs="Arial"/>
          <w:color w:val="2F5496" w:themeColor="accent1" w:themeShade="BF"/>
          <w:sz w:val="20"/>
          <w:szCs w:val="20"/>
          <w:lang w:eastAsia="en-GB"/>
        </w:rPr>
        <w:t xml:space="preserve"> that the renewal of their estate was tantamount to racism, deliberately removing BAME groups to allow for white gentrification.</w:t>
      </w:r>
      <w:r w:rsidR="00251D2D" w:rsidRPr="0002368F">
        <w:rPr>
          <w:rFonts w:ascii="Arial" w:eastAsia="Times New Roman" w:hAnsi="Arial" w:cs="Arial"/>
          <w:color w:val="2F5496" w:themeColor="accent1" w:themeShade="BF"/>
          <w:sz w:val="20"/>
          <w:szCs w:val="20"/>
          <w:lang w:eastAsia="en-GB"/>
        </w:rPr>
        <w:t xml:space="preserve"> Some </w:t>
      </w:r>
      <w:r w:rsidR="00297BD9">
        <w:rPr>
          <w:rFonts w:ascii="Arial" w:eastAsia="Times New Roman" w:hAnsi="Arial" w:cs="Arial"/>
          <w:color w:val="2F5496" w:themeColor="accent1" w:themeShade="BF"/>
          <w:sz w:val="20"/>
          <w:szCs w:val="20"/>
          <w:lang w:eastAsia="en-GB"/>
        </w:rPr>
        <w:t xml:space="preserve">of these residents </w:t>
      </w:r>
      <w:r w:rsidR="00251D2D" w:rsidRPr="0002368F">
        <w:rPr>
          <w:rFonts w:ascii="Arial" w:eastAsia="Times New Roman" w:hAnsi="Arial" w:cs="Arial"/>
          <w:color w:val="2F5496" w:themeColor="accent1" w:themeShade="BF"/>
          <w:sz w:val="20"/>
          <w:szCs w:val="20"/>
          <w:lang w:eastAsia="en-GB"/>
        </w:rPr>
        <w:t xml:space="preserve">articulated </w:t>
      </w:r>
      <w:r w:rsidR="00297BD9">
        <w:rPr>
          <w:rFonts w:ascii="Arial" w:eastAsia="Times New Roman" w:hAnsi="Arial" w:cs="Arial"/>
          <w:color w:val="2F5496" w:themeColor="accent1" w:themeShade="BF"/>
          <w:sz w:val="20"/>
          <w:szCs w:val="20"/>
          <w:lang w:eastAsia="en-GB"/>
        </w:rPr>
        <w:t xml:space="preserve">a </w:t>
      </w:r>
      <w:r w:rsidR="00251D2D" w:rsidRPr="0002368F">
        <w:rPr>
          <w:rFonts w:ascii="Arial" w:eastAsia="Times New Roman" w:hAnsi="Arial" w:cs="Arial"/>
          <w:color w:val="2F5496" w:themeColor="accent1" w:themeShade="BF"/>
          <w:sz w:val="20"/>
          <w:szCs w:val="20"/>
          <w:lang w:eastAsia="en-GB"/>
        </w:rPr>
        <w:t>double displacement</w:t>
      </w:r>
      <w:r w:rsidR="00297BD9">
        <w:rPr>
          <w:rFonts w:ascii="Arial" w:eastAsia="Times New Roman" w:hAnsi="Arial" w:cs="Arial"/>
          <w:color w:val="2F5496" w:themeColor="accent1" w:themeShade="BF"/>
          <w:sz w:val="20"/>
          <w:szCs w:val="20"/>
          <w:lang w:eastAsia="en-GB"/>
        </w:rPr>
        <w:t xml:space="preserve"> process: e.g. </w:t>
      </w:r>
      <w:r w:rsidR="00251D2D" w:rsidRPr="0002368F">
        <w:rPr>
          <w:rFonts w:ascii="Arial" w:eastAsia="Times New Roman" w:hAnsi="Arial" w:cs="Arial"/>
          <w:color w:val="2F5496" w:themeColor="accent1" w:themeShade="BF"/>
          <w:sz w:val="20"/>
          <w:szCs w:val="20"/>
          <w:lang w:eastAsia="en-GB"/>
        </w:rPr>
        <w:t xml:space="preserve">leaving their home to </w:t>
      </w:r>
      <w:proofErr w:type="gramStart"/>
      <w:r w:rsidR="00251D2D" w:rsidRPr="0002368F">
        <w:rPr>
          <w:rFonts w:ascii="Arial" w:eastAsia="Times New Roman" w:hAnsi="Arial" w:cs="Arial"/>
          <w:color w:val="2F5496" w:themeColor="accent1" w:themeShade="BF"/>
          <w:sz w:val="20"/>
          <w:szCs w:val="20"/>
          <w:lang w:eastAsia="en-GB"/>
        </w:rPr>
        <w:t>emigrate</w:t>
      </w:r>
      <w:proofErr w:type="gramEnd"/>
      <w:r w:rsidR="00251D2D" w:rsidRPr="0002368F">
        <w:rPr>
          <w:rFonts w:ascii="Arial" w:eastAsia="Times New Roman" w:hAnsi="Arial" w:cs="Arial"/>
          <w:color w:val="2F5496" w:themeColor="accent1" w:themeShade="BF"/>
          <w:sz w:val="20"/>
          <w:szCs w:val="20"/>
          <w:lang w:eastAsia="en-GB"/>
        </w:rPr>
        <w:t xml:space="preserve"> to the UK, then having to leave their home again due to estate renewal. </w:t>
      </w:r>
    </w:p>
    <w:p w:rsidR="00297BD9" w:rsidRDefault="00297BD9" w:rsidP="008A2B8D">
      <w:pPr>
        <w:jc w:val="both"/>
        <w:rPr>
          <w:rFonts w:ascii="Arial" w:eastAsia="Times New Roman" w:hAnsi="Arial" w:cs="Arial"/>
          <w:color w:val="2F5496" w:themeColor="accent1" w:themeShade="BF"/>
          <w:sz w:val="20"/>
          <w:szCs w:val="20"/>
          <w:lang w:eastAsia="en-GB"/>
        </w:rPr>
      </w:pPr>
    </w:p>
    <w:p w:rsidR="00A13A37" w:rsidRDefault="00AD4EA8" w:rsidP="008A2B8D">
      <w:pPr>
        <w:jc w:val="both"/>
        <w:rPr>
          <w:rFonts w:ascii="Arial" w:eastAsia="Times New Roman" w:hAnsi="Arial" w:cs="Arial"/>
          <w:color w:val="2F5496" w:themeColor="accent1" w:themeShade="BF"/>
          <w:sz w:val="20"/>
          <w:szCs w:val="20"/>
          <w:lang w:eastAsia="en-GB"/>
        </w:rPr>
      </w:pPr>
      <w:r>
        <w:rPr>
          <w:rFonts w:ascii="Arial" w:eastAsia="Times New Roman" w:hAnsi="Arial" w:cs="Arial"/>
          <w:color w:val="2F5496" w:themeColor="accent1" w:themeShade="BF"/>
          <w:sz w:val="20"/>
          <w:szCs w:val="20"/>
          <w:lang w:eastAsia="en-GB"/>
        </w:rPr>
        <w:t>Given the limited time span of the project, w</w:t>
      </w:r>
      <w:r w:rsidR="00297BD9">
        <w:rPr>
          <w:rFonts w:ascii="Arial" w:eastAsia="Times New Roman" w:hAnsi="Arial" w:cs="Arial"/>
          <w:color w:val="2F5496" w:themeColor="accent1" w:themeShade="BF"/>
          <w:sz w:val="20"/>
          <w:szCs w:val="20"/>
          <w:lang w:eastAsia="en-GB"/>
        </w:rPr>
        <w:t xml:space="preserve">e found it </w:t>
      </w:r>
      <w:r>
        <w:rPr>
          <w:rFonts w:ascii="Arial" w:eastAsia="Times New Roman" w:hAnsi="Arial" w:cs="Arial"/>
          <w:color w:val="2F5496" w:themeColor="accent1" w:themeShade="BF"/>
          <w:sz w:val="20"/>
          <w:szCs w:val="20"/>
          <w:lang w:eastAsia="en-GB"/>
        </w:rPr>
        <w:t xml:space="preserve">hard to interview residents before and after their move, though did interview some returnees. </w:t>
      </w:r>
      <w:r w:rsidR="00251D2D" w:rsidRPr="0002368F">
        <w:rPr>
          <w:rFonts w:ascii="Arial" w:eastAsia="Times New Roman" w:hAnsi="Arial" w:cs="Arial"/>
          <w:color w:val="2F5496" w:themeColor="accent1" w:themeShade="BF"/>
          <w:sz w:val="20"/>
          <w:szCs w:val="20"/>
          <w:lang w:eastAsia="en-GB"/>
        </w:rPr>
        <w:t xml:space="preserve">The few </w:t>
      </w:r>
      <w:r w:rsidR="00297BD9">
        <w:rPr>
          <w:rFonts w:ascii="Arial" w:eastAsia="Times New Roman" w:hAnsi="Arial" w:cs="Arial"/>
          <w:color w:val="2F5496" w:themeColor="accent1" w:themeShade="BF"/>
          <w:sz w:val="20"/>
          <w:szCs w:val="20"/>
          <w:lang w:eastAsia="en-GB"/>
        </w:rPr>
        <w:t xml:space="preserve">residents </w:t>
      </w:r>
      <w:r w:rsidR="00251D2D" w:rsidRPr="0002368F">
        <w:rPr>
          <w:rFonts w:ascii="Arial" w:eastAsia="Times New Roman" w:hAnsi="Arial" w:cs="Arial"/>
          <w:color w:val="2F5496" w:themeColor="accent1" w:themeShade="BF"/>
          <w:sz w:val="20"/>
          <w:szCs w:val="20"/>
          <w:lang w:eastAsia="en-GB"/>
        </w:rPr>
        <w:t xml:space="preserve">that </w:t>
      </w:r>
      <w:proofErr w:type="gramStart"/>
      <w:r w:rsidR="00251D2D" w:rsidRPr="0002368F">
        <w:rPr>
          <w:rFonts w:ascii="Arial" w:eastAsia="Times New Roman" w:hAnsi="Arial" w:cs="Arial"/>
          <w:color w:val="2F5496" w:themeColor="accent1" w:themeShade="BF"/>
          <w:sz w:val="20"/>
          <w:szCs w:val="20"/>
          <w:lang w:eastAsia="en-GB"/>
        </w:rPr>
        <w:t>got</w:t>
      </w:r>
      <w:proofErr w:type="gramEnd"/>
      <w:r w:rsidR="00251D2D" w:rsidRPr="0002368F">
        <w:rPr>
          <w:rFonts w:ascii="Arial" w:eastAsia="Times New Roman" w:hAnsi="Arial" w:cs="Arial"/>
          <w:color w:val="2F5496" w:themeColor="accent1" w:themeShade="BF"/>
          <w:sz w:val="20"/>
          <w:szCs w:val="20"/>
          <w:lang w:eastAsia="en-GB"/>
        </w:rPr>
        <w:t xml:space="preserve"> to move back into a newly</w:t>
      </w:r>
      <w:r w:rsidR="00297BD9">
        <w:rPr>
          <w:rFonts w:ascii="Arial" w:eastAsia="Times New Roman" w:hAnsi="Arial" w:cs="Arial"/>
          <w:color w:val="2F5496" w:themeColor="accent1" w:themeShade="BF"/>
          <w:sz w:val="20"/>
          <w:szCs w:val="20"/>
          <w:lang w:eastAsia="en-GB"/>
        </w:rPr>
        <w:t>-</w:t>
      </w:r>
      <w:r w:rsidR="00251D2D" w:rsidRPr="0002368F">
        <w:rPr>
          <w:rFonts w:ascii="Arial" w:eastAsia="Times New Roman" w:hAnsi="Arial" w:cs="Arial"/>
          <w:color w:val="2F5496" w:themeColor="accent1" w:themeShade="BF"/>
          <w:sz w:val="20"/>
          <w:szCs w:val="20"/>
          <w:lang w:eastAsia="en-GB"/>
        </w:rPr>
        <w:t>developed estat</w:t>
      </w:r>
      <w:r>
        <w:rPr>
          <w:rFonts w:ascii="Arial" w:eastAsia="Times New Roman" w:hAnsi="Arial" w:cs="Arial"/>
          <w:color w:val="2F5496" w:themeColor="accent1" w:themeShade="BF"/>
          <w:sz w:val="20"/>
          <w:szCs w:val="20"/>
          <w:lang w:eastAsia="en-GB"/>
        </w:rPr>
        <w:t xml:space="preserve">e were </w:t>
      </w:r>
      <w:r w:rsidR="00A84B92" w:rsidRPr="0002368F">
        <w:rPr>
          <w:rFonts w:ascii="Arial" w:eastAsia="Times New Roman" w:hAnsi="Arial" w:cs="Arial"/>
          <w:color w:val="2F5496" w:themeColor="accent1" w:themeShade="BF"/>
          <w:sz w:val="20"/>
          <w:szCs w:val="20"/>
          <w:lang w:eastAsia="en-GB"/>
        </w:rPr>
        <w:t xml:space="preserve">often </w:t>
      </w:r>
      <w:r w:rsidR="00251D2D" w:rsidRPr="0002368F">
        <w:rPr>
          <w:rFonts w:ascii="Arial" w:eastAsia="Times New Roman" w:hAnsi="Arial" w:cs="Arial"/>
          <w:color w:val="2F5496" w:themeColor="accent1" w:themeShade="BF"/>
          <w:sz w:val="20"/>
          <w:szCs w:val="20"/>
          <w:lang w:eastAsia="en-GB"/>
        </w:rPr>
        <w:t>pleased with their newly</w:t>
      </w:r>
      <w:r w:rsidR="009B0B4C">
        <w:rPr>
          <w:rFonts w:ascii="Arial" w:eastAsia="Times New Roman" w:hAnsi="Arial" w:cs="Arial"/>
          <w:color w:val="2F5496" w:themeColor="accent1" w:themeShade="BF"/>
          <w:sz w:val="20"/>
          <w:szCs w:val="20"/>
          <w:lang w:eastAsia="en-GB"/>
        </w:rPr>
        <w:t>-</w:t>
      </w:r>
      <w:r w:rsidR="00251D2D" w:rsidRPr="0002368F">
        <w:rPr>
          <w:rFonts w:ascii="Arial" w:eastAsia="Times New Roman" w:hAnsi="Arial" w:cs="Arial"/>
          <w:color w:val="2F5496" w:themeColor="accent1" w:themeShade="BF"/>
          <w:sz w:val="20"/>
          <w:szCs w:val="20"/>
          <w:lang w:eastAsia="en-GB"/>
        </w:rPr>
        <w:t>built home</w:t>
      </w:r>
      <w:r>
        <w:rPr>
          <w:rFonts w:ascii="Arial" w:eastAsia="Times New Roman" w:hAnsi="Arial" w:cs="Arial"/>
          <w:color w:val="2F5496" w:themeColor="accent1" w:themeShade="BF"/>
          <w:sz w:val="20"/>
          <w:szCs w:val="20"/>
          <w:lang w:eastAsia="en-GB"/>
        </w:rPr>
        <w:t xml:space="preserve"> but</w:t>
      </w:r>
      <w:r w:rsidR="00251D2D" w:rsidRPr="0002368F">
        <w:rPr>
          <w:rFonts w:ascii="Arial" w:eastAsia="Times New Roman" w:hAnsi="Arial" w:cs="Arial"/>
          <w:color w:val="2F5496" w:themeColor="accent1" w:themeShade="BF"/>
          <w:sz w:val="20"/>
          <w:szCs w:val="20"/>
          <w:lang w:eastAsia="en-GB"/>
        </w:rPr>
        <w:t xml:space="preserve"> </w:t>
      </w:r>
      <w:r w:rsidR="009B0B4C">
        <w:rPr>
          <w:rFonts w:ascii="Arial" w:eastAsia="Times New Roman" w:hAnsi="Arial" w:cs="Arial"/>
          <w:color w:val="2F5496" w:themeColor="accent1" w:themeShade="BF"/>
          <w:sz w:val="20"/>
          <w:szCs w:val="20"/>
          <w:lang w:eastAsia="en-GB"/>
        </w:rPr>
        <w:t xml:space="preserve">often </w:t>
      </w:r>
      <w:r w:rsidR="00251D2D" w:rsidRPr="0002368F">
        <w:rPr>
          <w:rFonts w:ascii="Arial" w:eastAsia="Times New Roman" w:hAnsi="Arial" w:cs="Arial"/>
          <w:color w:val="2F5496" w:themeColor="accent1" w:themeShade="BF"/>
          <w:sz w:val="20"/>
          <w:szCs w:val="20"/>
          <w:lang w:eastAsia="en-GB"/>
        </w:rPr>
        <w:t xml:space="preserve">expressed a loss of sense of place </w:t>
      </w:r>
      <w:r w:rsidR="00A84B92" w:rsidRPr="0002368F">
        <w:rPr>
          <w:rFonts w:ascii="Arial" w:eastAsia="Times New Roman" w:hAnsi="Arial" w:cs="Arial"/>
          <w:color w:val="2F5496" w:themeColor="accent1" w:themeShade="BF"/>
          <w:sz w:val="20"/>
          <w:szCs w:val="20"/>
          <w:lang w:eastAsia="en-GB"/>
        </w:rPr>
        <w:t>and community</w:t>
      </w:r>
      <w:r w:rsidR="00251D2D" w:rsidRPr="0002368F">
        <w:rPr>
          <w:rFonts w:ascii="Arial" w:eastAsia="Times New Roman" w:hAnsi="Arial" w:cs="Arial"/>
          <w:color w:val="2F5496" w:themeColor="accent1" w:themeShade="BF"/>
          <w:sz w:val="20"/>
          <w:szCs w:val="20"/>
          <w:lang w:eastAsia="en-GB"/>
        </w:rPr>
        <w:t>.</w:t>
      </w:r>
      <w:r w:rsidR="009B0B4C">
        <w:rPr>
          <w:rFonts w:ascii="Arial" w:eastAsia="Times New Roman" w:hAnsi="Arial" w:cs="Arial"/>
          <w:color w:val="2F5496" w:themeColor="accent1" w:themeShade="BF"/>
          <w:sz w:val="20"/>
          <w:szCs w:val="20"/>
          <w:lang w:eastAsia="en-GB"/>
        </w:rPr>
        <w:t xml:space="preserve"> This repeats a theme in much of the established literature on regeneration and renewal, with gains in housing quality often coming at the cost of community relations.</w:t>
      </w:r>
    </w:p>
    <w:p w:rsidR="00297BD9" w:rsidRDefault="00297BD9" w:rsidP="008A2B8D">
      <w:pPr>
        <w:jc w:val="both"/>
        <w:rPr>
          <w:rFonts w:ascii="Arial" w:eastAsia="Times New Roman" w:hAnsi="Arial" w:cs="Arial"/>
          <w:color w:val="2F5496" w:themeColor="accent1" w:themeShade="BF"/>
          <w:sz w:val="20"/>
          <w:szCs w:val="20"/>
          <w:lang w:eastAsia="en-GB"/>
        </w:rPr>
      </w:pPr>
    </w:p>
    <w:p w:rsidR="00297BD9" w:rsidRPr="0002368F" w:rsidRDefault="00297BD9" w:rsidP="008A2B8D">
      <w:pPr>
        <w:jc w:val="both"/>
        <w:rPr>
          <w:rFonts w:ascii="Arial" w:eastAsia="Times New Roman" w:hAnsi="Arial" w:cs="Arial"/>
          <w:color w:val="2F5496" w:themeColor="accent1" w:themeShade="BF"/>
          <w:sz w:val="20"/>
          <w:szCs w:val="20"/>
          <w:lang w:eastAsia="en-GB"/>
        </w:rPr>
      </w:pPr>
      <w:r>
        <w:rPr>
          <w:rFonts w:ascii="Arial" w:eastAsia="Times New Roman" w:hAnsi="Arial" w:cs="Arial"/>
          <w:color w:val="2F5496" w:themeColor="accent1" w:themeShade="BF"/>
          <w:sz w:val="20"/>
          <w:szCs w:val="20"/>
          <w:lang w:eastAsia="en-GB"/>
        </w:rPr>
        <w:t xml:space="preserve">In </w:t>
      </w:r>
      <w:r w:rsidR="009B0B4C">
        <w:rPr>
          <w:rFonts w:ascii="Arial" w:eastAsia="Times New Roman" w:hAnsi="Arial" w:cs="Arial"/>
          <w:color w:val="2F5496" w:themeColor="accent1" w:themeShade="BF"/>
          <w:sz w:val="20"/>
          <w:szCs w:val="20"/>
          <w:lang w:eastAsia="en-GB"/>
        </w:rPr>
        <w:t>all of this</w:t>
      </w:r>
      <w:r>
        <w:rPr>
          <w:rFonts w:ascii="Arial" w:eastAsia="Times New Roman" w:hAnsi="Arial" w:cs="Arial"/>
          <w:color w:val="2F5496" w:themeColor="accent1" w:themeShade="BF"/>
          <w:sz w:val="20"/>
          <w:szCs w:val="20"/>
          <w:lang w:eastAsia="en-GB"/>
        </w:rPr>
        <w:t>, the process of decanting was perceived</w:t>
      </w:r>
      <w:r w:rsidR="009B0B4C">
        <w:rPr>
          <w:rFonts w:ascii="Arial" w:eastAsia="Times New Roman" w:hAnsi="Arial" w:cs="Arial"/>
          <w:color w:val="2F5496" w:themeColor="accent1" w:themeShade="BF"/>
          <w:sz w:val="20"/>
          <w:szCs w:val="20"/>
          <w:lang w:eastAsia="en-GB"/>
        </w:rPr>
        <w:t xml:space="preserve"> by most residents</w:t>
      </w:r>
      <w:r>
        <w:rPr>
          <w:rFonts w:ascii="Arial" w:eastAsia="Times New Roman" w:hAnsi="Arial" w:cs="Arial"/>
          <w:color w:val="2F5496" w:themeColor="accent1" w:themeShade="BF"/>
          <w:sz w:val="20"/>
          <w:szCs w:val="20"/>
          <w:lang w:eastAsia="en-GB"/>
        </w:rPr>
        <w:t xml:space="preserve"> to have been </w:t>
      </w:r>
      <w:r w:rsidR="009B0B4C">
        <w:rPr>
          <w:rFonts w:ascii="Arial" w:eastAsia="Times New Roman" w:hAnsi="Arial" w:cs="Arial"/>
          <w:color w:val="2F5496" w:themeColor="accent1" w:themeShade="BF"/>
          <w:sz w:val="20"/>
          <w:szCs w:val="20"/>
          <w:lang w:eastAsia="en-GB"/>
        </w:rPr>
        <w:t xml:space="preserve">excessively </w:t>
      </w:r>
      <w:r>
        <w:rPr>
          <w:rFonts w:ascii="Arial" w:eastAsia="Times New Roman" w:hAnsi="Arial" w:cs="Arial"/>
          <w:color w:val="2F5496" w:themeColor="accent1" w:themeShade="BF"/>
          <w:sz w:val="20"/>
          <w:szCs w:val="20"/>
          <w:lang w:eastAsia="en-GB"/>
        </w:rPr>
        <w:t xml:space="preserve">drawn out: in many cases, years had passed from the initial announcement about demolition to the point where residents actually understood where they would be </w:t>
      </w:r>
      <w:proofErr w:type="gramStart"/>
      <w:r>
        <w:rPr>
          <w:rFonts w:ascii="Arial" w:eastAsia="Times New Roman" w:hAnsi="Arial" w:cs="Arial"/>
          <w:color w:val="2F5496" w:themeColor="accent1" w:themeShade="BF"/>
          <w:sz w:val="20"/>
          <w:szCs w:val="20"/>
          <w:lang w:eastAsia="en-GB"/>
        </w:rPr>
        <w:t>moved to.</w:t>
      </w:r>
      <w:proofErr w:type="gramEnd"/>
      <w:r>
        <w:rPr>
          <w:rFonts w:ascii="Arial" w:eastAsia="Times New Roman" w:hAnsi="Arial" w:cs="Arial"/>
          <w:color w:val="2F5496" w:themeColor="accent1" w:themeShade="BF"/>
          <w:sz w:val="20"/>
          <w:szCs w:val="20"/>
          <w:lang w:eastAsia="en-GB"/>
        </w:rPr>
        <w:t xml:space="preserve"> </w:t>
      </w:r>
      <w:r w:rsidR="009B0B4C">
        <w:rPr>
          <w:rFonts w:ascii="Arial" w:eastAsia="Times New Roman" w:hAnsi="Arial" w:cs="Arial"/>
          <w:color w:val="2F5496" w:themeColor="accent1" w:themeShade="BF"/>
          <w:sz w:val="20"/>
          <w:szCs w:val="20"/>
          <w:lang w:eastAsia="en-GB"/>
        </w:rPr>
        <w:t xml:space="preserve">This commits a form of </w:t>
      </w:r>
      <w:r w:rsidR="005530EE">
        <w:rPr>
          <w:rFonts w:ascii="Arial" w:eastAsia="Times New Roman" w:hAnsi="Arial" w:cs="Arial"/>
          <w:color w:val="2F5496" w:themeColor="accent1" w:themeShade="BF"/>
          <w:sz w:val="20"/>
          <w:szCs w:val="20"/>
          <w:lang w:eastAsia="en-GB"/>
        </w:rPr>
        <w:t>‘</w:t>
      </w:r>
      <w:r w:rsidR="009B0B4C">
        <w:rPr>
          <w:rFonts w:ascii="Arial" w:eastAsia="Times New Roman" w:hAnsi="Arial" w:cs="Arial"/>
          <w:color w:val="2F5496" w:themeColor="accent1" w:themeShade="BF"/>
          <w:sz w:val="20"/>
          <w:szCs w:val="20"/>
          <w:lang w:eastAsia="en-GB"/>
        </w:rPr>
        <w:t>slow violence</w:t>
      </w:r>
      <w:r w:rsidR="005530EE">
        <w:rPr>
          <w:rFonts w:ascii="Arial" w:eastAsia="Times New Roman" w:hAnsi="Arial" w:cs="Arial"/>
          <w:color w:val="2F5496" w:themeColor="accent1" w:themeShade="BF"/>
          <w:sz w:val="20"/>
          <w:szCs w:val="20"/>
          <w:lang w:eastAsia="en-GB"/>
        </w:rPr>
        <w:t>’</w:t>
      </w:r>
      <w:r w:rsidR="009B0B4C">
        <w:rPr>
          <w:rFonts w:ascii="Arial" w:eastAsia="Times New Roman" w:hAnsi="Arial" w:cs="Arial"/>
          <w:color w:val="2F5496" w:themeColor="accent1" w:themeShade="BF"/>
          <w:sz w:val="20"/>
          <w:szCs w:val="20"/>
          <w:lang w:eastAsia="en-GB"/>
        </w:rPr>
        <w:t xml:space="preserve"> whereby residents experienced uncertainty about the future over a long duration: for some this had obvious impacts on their mental health and social well-being. Some also alleged that authorities deliberately neglected essential repairs in the years before demolition, and that this effectively wore-down their resistance to removal. Communities </w:t>
      </w:r>
      <w:proofErr w:type="gramStart"/>
      <w:r w:rsidR="009B0B4C">
        <w:rPr>
          <w:rFonts w:ascii="Arial" w:eastAsia="Times New Roman" w:hAnsi="Arial" w:cs="Arial"/>
          <w:color w:val="2F5496" w:themeColor="accent1" w:themeShade="BF"/>
          <w:sz w:val="20"/>
          <w:szCs w:val="20"/>
          <w:lang w:eastAsia="en-GB"/>
        </w:rPr>
        <w:t>were effectively destroyed</w:t>
      </w:r>
      <w:proofErr w:type="gramEnd"/>
      <w:r w:rsidR="009B0B4C">
        <w:rPr>
          <w:rFonts w:ascii="Arial" w:eastAsia="Times New Roman" w:hAnsi="Arial" w:cs="Arial"/>
          <w:color w:val="2F5496" w:themeColor="accent1" w:themeShade="BF"/>
          <w:sz w:val="20"/>
          <w:szCs w:val="20"/>
          <w:lang w:eastAsia="en-GB"/>
        </w:rPr>
        <w:t xml:space="preserve"> at the point that demolition was first announced, with the phased removal of tenants, leaseholders and temporary residents gradually </w:t>
      </w:r>
      <w:r w:rsidR="00E763C9">
        <w:rPr>
          <w:rFonts w:ascii="Arial" w:eastAsia="Times New Roman" w:hAnsi="Arial" w:cs="Arial"/>
          <w:color w:val="2F5496" w:themeColor="accent1" w:themeShade="BF"/>
          <w:sz w:val="20"/>
          <w:szCs w:val="20"/>
          <w:lang w:eastAsia="en-GB"/>
        </w:rPr>
        <w:t>reducing the overall liveability of the estate.</w:t>
      </w:r>
    </w:p>
    <w:p w:rsidR="00E763C9" w:rsidRDefault="00E763C9" w:rsidP="008A2B8D">
      <w:pPr>
        <w:jc w:val="both"/>
        <w:rPr>
          <w:rFonts w:ascii="Arial" w:eastAsia="Times New Roman" w:hAnsi="Arial" w:cs="Arial"/>
          <w:b/>
          <w:bCs/>
          <w:color w:val="806000" w:themeColor="accent4" w:themeShade="80"/>
          <w:lang w:eastAsia="en-GB"/>
        </w:rPr>
      </w:pPr>
    </w:p>
    <w:p w:rsidR="001A24C9" w:rsidRPr="0002368F" w:rsidRDefault="00B962E2" w:rsidP="008A2B8D">
      <w:pPr>
        <w:jc w:val="both"/>
        <w:rPr>
          <w:rFonts w:ascii="Arial" w:eastAsia="Times New Roman" w:hAnsi="Arial" w:cs="Arial"/>
          <w:b/>
          <w:bCs/>
          <w:color w:val="806000" w:themeColor="accent4" w:themeShade="80"/>
          <w:lang w:eastAsia="en-GB"/>
        </w:rPr>
      </w:pPr>
      <w:r w:rsidRPr="0002368F">
        <w:rPr>
          <w:rFonts w:ascii="Arial" w:eastAsia="Times New Roman" w:hAnsi="Arial" w:cs="Arial"/>
          <w:b/>
          <w:bCs/>
          <w:color w:val="806000" w:themeColor="accent4" w:themeShade="80"/>
          <w:lang w:eastAsia="en-GB"/>
        </w:rPr>
        <w:t xml:space="preserve">Policy </w:t>
      </w:r>
      <w:r w:rsidR="0002368F">
        <w:rPr>
          <w:rFonts w:ascii="Arial" w:eastAsia="Times New Roman" w:hAnsi="Arial" w:cs="Arial"/>
          <w:b/>
          <w:bCs/>
          <w:color w:val="806000" w:themeColor="accent4" w:themeShade="80"/>
          <w:lang w:eastAsia="en-GB"/>
        </w:rPr>
        <w:t>R</w:t>
      </w:r>
      <w:r w:rsidRPr="0002368F">
        <w:rPr>
          <w:rFonts w:ascii="Arial" w:eastAsia="Times New Roman" w:hAnsi="Arial" w:cs="Arial"/>
          <w:b/>
          <w:bCs/>
          <w:color w:val="806000" w:themeColor="accent4" w:themeShade="80"/>
          <w:lang w:eastAsia="en-GB"/>
        </w:rPr>
        <w:t>ecommendations</w:t>
      </w:r>
    </w:p>
    <w:p w:rsidR="00717CE3" w:rsidRPr="0002368F" w:rsidRDefault="00717CE3" w:rsidP="008A2B8D">
      <w:pPr>
        <w:autoSpaceDE w:val="0"/>
        <w:autoSpaceDN w:val="0"/>
        <w:adjustRightInd w:val="0"/>
        <w:jc w:val="both"/>
        <w:rPr>
          <w:rFonts w:ascii="Arial" w:hAnsi="Arial" w:cs="Arial"/>
          <w:color w:val="2F5496" w:themeColor="accent1" w:themeShade="BF"/>
          <w:sz w:val="20"/>
          <w:szCs w:val="20"/>
        </w:rPr>
      </w:pPr>
    </w:p>
    <w:p w:rsidR="00DE7FDA" w:rsidRPr="0002368F" w:rsidRDefault="00DE7FDA" w:rsidP="00DE7FDA">
      <w:pPr>
        <w:jc w:val="both"/>
        <w:rPr>
          <w:rFonts w:ascii="Arial" w:hAnsi="Arial" w:cs="Arial"/>
          <w:b/>
          <w:bCs/>
          <w:color w:val="2F5496" w:themeColor="accent1" w:themeShade="BF"/>
          <w:sz w:val="20"/>
          <w:szCs w:val="20"/>
        </w:rPr>
      </w:pPr>
      <w:r w:rsidRPr="0002368F">
        <w:rPr>
          <w:rStyle w:val="s1"/>
          <w:rFonts w:ascii="Arial" w:eastAsia="Times New Roman" w:hAnsi="Arial" w:cs="Arial"/>
          <w:color w:val="2F5496" w:themeColor="accent1" w:themeShade="BF"/>
          <w:sz w:val="20"/>
          <w:szCs w:val="20"/>
          <w:lang w:eastAsia="en-GB"/>
        </w:rPr>
        <w:t>The</w:t>
      </w:r>
      <w:r>
        <w:rPr>
          <w:rStyle w:val="s1"/>
          <w:rFonts w:ascii="Arial" w:eastAsia="Times New Roman" w:hAnsi="Arial" w:cs="Arial"/>
          <w:color w:val="2F5496" w:themeColor="accent1" w:themeShade="BF"/>
          <w:sz w:val="20"/>
          <w:szCs w:val="20"/>
          <w:lang w:eastAsia="en-GB"/>
        </w:rPr>
        <w:t xml:space="preserve"> following</w:t>
      </w:r>
      <w:r w:rsidRPr="0002368F">
        <w:rPr>
          <w:rStyle w:val="s1"/>
          <w:rFonts w:ascii="Arial" w:eastAsia="Times New Roman" w:hAnsi="Arial" w:cs="Arial"/>
          <w:color w:val="2F5496" w:themeColor="accent1" w:themeShade="BF"/>
          <w:sz w:val="20"/>
          <w:szCs w:val="20"/>
          <w:lang w:eastAsia="en-GB"/>
        </w:rPr>
        <w:t xml:space="preserve"> recommendations should be included in the Mayor’s </w:t>
      </w:r>
      <w:r w:rsidRPr="0002368F">
        <w:rPr>
          <w:rStyle w:val="s1"/>
          <w:rFonts w:ascii="Arial" w:eastAsia="Times New Roman" w:hAnsi="Arial" w:cs="Arial"/>
          <w:i/>
          <w:color w:val="2F5496" w:themeColor="accent1" w:themeShade="BF"/>
          <w:sz w:val="20"/>
          <w:szCs w:val="20"/>
          <w:lang w:eastAsia="en-GB"/>
        </w:rPr>
        <w:t>Good Practice Guide to Estate Regeneration</w:t>
      </w:r>
      <w:r>
        <w:rPr>
          <w:rStyle w:val="s1"/>
          <w:rFonts w:ascii="Arial" w:eastAsia="Times New Roman" w:hAnsi="Arial" w:cs="Arial"/>
          <w:color w:val="2F5496" w:themeColor="accent1" w:themeShade="BF"/>
          <w:sz w:val="20"/>
          <w:szCs w:val="20"/>
          <w:lang w:eastAsia="en-GB"/>
        </w:rPr>
        <w:t>:</w:t>
      </w:r>
    </w:p>
    <w:p w:rsidR="00DE7FDA" w:rsidRPr="00DE7FDA" w:rsidRDefault="00DE7FDA" w:rsidP="00DE7FDA">
      <w:pPr>
        <w:spacing w:after="120"/>
        <w:ind w:left="357"/>
        <w:jc w:val="both"/>
        <w:rPr>
          <w:rFonts w:ascii="Arial" w:eastAsia="Times New Roman" w:hAnsi="Arial" w:cs="Arial"/>
          <w:color w:val="2F5496" w:themeColor="accent1" w:themeShade="BF"/>
          <w:sz w:val="20"/>
          <w:szCs w:val="20"/>
          <w:lang w:eastAsia="en-GB"/>
        </w:rPr>
      </w:pPr>
    </w:p>
    <w:p w:rsidR="00251D2D" w:rsidRPr="00064ABC" w:rsidRDefault="00717CE3" w:rsidP="00064ABC">
      <w:pPr>
        <w:pStyle w:val="ListParagraph"/>
        <w:numPr>
          <w:ilvl w:val="0"/>
          <w:numId w:val="1"/>
        </w:numPr>
        <w:spacing w:after="120"/>
        <w:ind w:left="714" w:hanging="357"/>
        <w:jc w:val="both"/>
        <w:rPr>
          <w:rFonts w:ascii="Arial" w:eastAsia="Times New Roman" w:hAnsi="Arial" w:cs="Arial"/>
          <w:color w:val="2F5496" w:themeColor="accent1" w:themeShade="BF"/>
          <w:sz w:val="20"/>
          <w:szCs w:val="20"/>
          <w:lang w:eastAsia="en-GB"/>
        </w:rPr>
      </w:pPr>
      <w:r w:rsidRPr="0002368F">
        <w:rPr>
          <w:rFonts w:ascii="Arial" w:hAnsi="Arial" w:cs="Arial"/>
          <w:color w:val="2F5496" w:themeColor="accent1" w:themeShade="BF"/>
          <w:sz w:val="20"/>
          <w:szCs w:val="20"/>
        </w:rPr>
        <w:t xml:space="preserve">We need a robust evidence base on the negative (as compared to the positive) impacts of estate renewal, including better attention </w:t>
      </w:r>
      <w:proofErr w:type="gramStart"/>
      <w:r w:rsidRPr="0002368F">
        <w:rPr>
          <w:rFonts w:ascii="Arial" w:hAnsi="Arial" w:cs="Arial"/>
          <w:color w:val="2F5496" w:themeColor="accent1" w:themeShade="BF"/>
          <w:sz w:val="20"/>
          <w:szCs w:val="20"/>
        </w:rPr>
        <w:t>being paid</w:t>
      </w:r>
      <w:proofErr w:type="gramEnd"/>
      <w:r w:rsidRPr="0002368F">
        <w:rPr>
          <w:rFonts w:ascii="Arial" w:hAnsi="Arial" w:cs="Arial"/>
          <w:color w:val="2F5496" w:themeColor="accent1" w:themeShade="BF"/>
          <w:sz w:val="20"/>
          <w:szCs w:val="20"/>
        </w:rPr>
        <w:t xml:space="preserve"> to the </w:t>
      </w:r>
      <w:r w:rsidR="008013C8" w:rsidRPr="0002368F">
        <w:rPr>
          <w:rFonts w:ascii="Arial" w:hAnsi="Arial" w:cs="Arial"/>
          <w:color w:val="2F5496" w:themeColor="accent1" w:themeShade="BF"/>
          <w:sz w:val="20"/>
          <w:szCs w:val="20"/>
        </w:rPr>
        <w:t>social and p</w:t>
      </w:r>
      <w:r w:rsidRPr="0002368F">
        <w:rPr>
          <w:rFonts w:ascii="Arial" w:hAnsi="Arial" w:cs="Arial"/>
          <w:color w:val="2F5496" w:themeColor="accent1" w:themeShade="BF"/>
          <w:sz w:val="20"/>
          <w:szCs w:val="20"/>
        </w:rPr>
        <w:t>sych</w:t>
      </w:r>
      <w:r w:rsidR="008013C8" w:rsidRPr="0002368F">
        <w:rPr>
          <w:rFonts w:ascii="Arial" w:hAnsi="Arial" w:cs="Arial"/>
          <w:color w:val="2F5496" w:themeColor="accent1" w:themeShade="BF"/>
          <w:sz w:val="20"/>
          <w:szCs w:val="20"/>
        </w:rPr>
        <w:t>ological</w:t>
      </w:r>
      <w:r w:rsidRPr="0002368F">
        <w:rPr>
          <w:rFonts w:ascii="Arial" w:hAnsi="Arial" w:cs="Arial"/>
          <w:color w:val="2F5496" w:themeColor="accent1" w:themeShade="BF"/>
          <w:sz w:val="20"/>
          <w:szCs w:val="20"/>
        </w:rPr>
        <w:t xml:space="preserve"> impacts.</w:t>
      </w:r>
    </w:p>
    <w:p w:rsidR="00064ABC" w:rsidRPr="0002368F" w:rsidRDefault="00064ABC" w:rsidP="00064ABC">
      <w:pPr>
        <w:pStyle w:val="ListParagraph"/>
        <w:spacing w:after="120"/>
        <w:ind w:left="714"/>
        <w:jc w:val="both"/>
        <w:rPr>
          <w:rFonts w:ascii="Arial" w:eastAsia="Times New Roman" w:hAnsi="Arial" w:cs="Arial"/>
          <w:color w:val="2F5496" w:themeColor="accent1" w:themeShade="BF"/>
          <w:sz w:val="20"/>
          <w:szCs w:val="20"/>
          <w:lang w:eastAsia="en-GB"/>
        </w:rPr>
      </w:pPr>
    </w:p>
    <w:p w:rsidR="0049010B" w:rsidRPr="00064ABC" w:rsidRDefault="00717CE3" w:rsidP="00064ABC">
      <w:pPr>
        <w:pStyle w:val="ListParagraph"/>
        <w:numPr>
          <w:ilvl w:val="0"/>
          <w:numId w:val="1"/>
        </w:numPr>
        <w:spacing w:after="120"/>
        <w:ind w:left="714" w:hanging="357"/>
        <w:jc w:val="both"/>
        <w:rPr>
          <w:rFonts w:ascii="Arial" w:eastAsia="Times New Roman" w:hAnsi="Arial" w:cs="Arial"/>
          <w:color w:val="2F5496" w:themeColor="accent1" w:themeShade="BF"/>
          <w:sz w:val="20"/>
          <w:szCs w:val="20"/>
          <w:lang w:eastAsia="en-GB"/>
        </w:rPr>
      </w:pPr>
      <w:r w:rsidRPr="0002368F">
        <w:rPr>
          <w:rFonts w:ascii="Arial" w:hAnsi="Arial" w:cs="Arial"/>
          <w:color w:val="2F5496" w:themeColor="accent1" w:themeShade="BF"/>
          <w:sz w:val="20"/>
          <w:szCs w:val="20"/>
        </w:rPr>
        <w:t xml:space="preserve">These impacts </w:t>
      </w:r>
      <w:proofErr w:type="gramStart"/>
      <w:r w:rsidRPr="0002368F">
        <w:rPr>
          <w:rFonts w:ascii="Arial" w:hAnsi="Arial" w:cs="Arial"/>
          <w:color w:val="2F5496" w:themeColor="accent1" w:themeShade="BF"/>
          <w:sz w:val="20"/>
          <w:szCs w:val="20"/>
        </w:rPr>
        <w:t>should be mandated</w:t>
      </w:r>
      <w:proofErr w:type="gramEnd"/>
      <w:r w:rsidRPr="0002368F">
        <w:rPr>
          <w:rFonts w:ascii="Arial" w:hAnsi="Arial" w:cs="Arial"/>
          <w:color w:val="2F5496" w:themeColor="accent1" w:themeShade="BF"/>
          <w:sz w:val="20"/>
          <w:szCs w:val="20"/>
        </w:rPr>
        <w:t xml:space="preserve"> to be in</w:t>
      </w:r>
      <w:r w:rsidR="00251D2D" w:rsidRPr="0002368F">
        <w:rPr>
          <w:rFonts w:ascii="Arial" w:hAnsi="Arial" w:cs="Arial"/>
          <w:color w:val="2F5496" w:themeColor="accent1" w:themeShade="BF"/>
          <w:sz w:val="20"/>
          <w:szCs w:val="20"/>
        </w:rPr>
        <w:t xml:space="preserve">cluded in viability assessments and </w:t>
      </w:r>
      <w:r w:rsidRPr="0002368F">
        <w:rPr>
          <w:rFonts w:ascii="Arial" w:hAnsi="Arial" w:cs="Arial"/>
          <w:color w:val="2F5496" w:themeColor="accent1" w:themeShade="BF"/>
          <w:sz w:val="20"/>
          <w:szCs w:val="20"/>
        </w:rPr>
        <w:t>funding should be made for longitudinal research from the minute estate renewal is mooted.</w:t>
      </w:r>
      <w:r w:rsidR="00251D2D" w:rsidRPr="0002368F">
        <w:rPr>
          <w:rFonts w:ascii="Arial" w:hAnsi="Arial" w:cs="Arial"/>
          <w:color w:val="2F5496" w:themeColor="accent1" w:themeShade="BF"/>
          <w:sz w:val="20"/>
          <w:szCs w:val="20"/>
        </w:rPr>
        <w:t xml:space="preserve"> </w:t>
      </w:r>
    </w:p>
    <w:p w:rsidR="00064ABC" w:rsidRPr="0002368F" w:rsidRDefault="00064ABC" w:rsidP="00064ABC">
      <w:pPr>
        <w:pStyle w:val="ListParagraph"/>
        <w:spacing w:after="120"/>
        <w:ind w:left="714"/>
        <w:jc w:val="both"/>
        <w:rPr>
          <w:rFonts w:ascii="Arial" w:eastAsia="Times New Roman" w:hAnsi="Arial" w:cs="Arial"/>
          <w:color w:val="2F5496" w:themeColor="accent1" w:themeShade="BF"/>
          <w:sz w:val="20"/>
          <w:szCs w:val="20"/>
          <w:lang w:eastAsia="en-GB"/>
        </w:rPr>
      </w:pPr>
    </w:p>
    <w:p w:rsidR="00D019FB" w:rsidRPr="00064ABC" w:rsidRDefault="00D019FB" w:rsidP="00064ABC">
      <w:pPr>
        <w:pStyle w:val="ListParagraph"/>
        <w:numPr>
          <w:ilvl w:val="0"/>
          <w:numId w:val="1"/>
        </w:numPr>
        <w:spacing w:after="120"/>
        <w:ind w:left="714" w:hanging="357"/>
        <w:jc w:val="both"/>
        <w:rPr>
          <w:rFonts w:ascii="Arial" w:eastAsia="Times New Roman" w:hAnsi="Arial" w:cs="Arial"/>
          <w:color w:val="2F5496" w:themeColor="accent1" w:themeShade="BF"/>
          <w:sz w:val="20"/>
          <w:szCs w:val="20"/>
          <w:lang w:eastAsia="en-GB"/>
        </w:rPr>
      </w:pPr>
      <w:r w:rsidRPr="0002368F">
        <w:rPr>
          <w:rFonts w:ascii="Arial" w:hAnsi="Arial" w:cs="Arial"/>
          <w:color w:val="2F5496" w:themeColor="accent1" w:themeShade="BF"/>
          <w:sz w:val="20"/>
          <w:szCs w:val="20"/>
        </w:rPr>
        <w:t xml:space="preserve">A social viability assessment model needs to </w:t>
      </w:r>
      <w:proofErr w:type="gramStart"/>
      <w:r w:rsidRPr="0002368F">
        <w:rPr>
          <w:rFonts w:ascii="Arial" w:hAnsi="Arial" w:cs="Arial"/>
          <w:color w:val="2F5496" w:themeColor="accent1" w:themeShade="BF"/>
          <w:sz w:val="20"/>
          <w:szCs w:val="20"/>
        </w:rPr>
        <w:t>be developed</w:t>
      </w:r>
      <w:proofErr w:type="gramEnd"/>
      <w:r w:rsidRPr="0002368F">
        <w:rPr>
          <w:rFonts w:ascii="Arial" w:hAnsi="Arial" w:cs="Arial"/>
          <w:color w:val="2F5496" w:themeColor="accent1" w:themeShade="BF"/>
          <w:sz w:val="20"/>
          <w:szCs w:val="20"/>
        </w:rPr>
        <w:t xml:space="preserve"> specifically for estate renewal and/or similar regeneration programmes.</w:t>
      </w:r>
    </w:p>
    <w:p w:rsidR="00064ABC" w:rsidRPr="0002368F" w:rsidRDefault="00064ABC" w:rsidP="00064ABC">
      <w:pPr>
        <w:pStyle w:val="ListParagraph"/>
        <w:spacing w:after="120"/>
        <w:ind w:left="714"/>
        <w:jc w:val="both"/>
        <w:rPr>
          <w:rFonts w:ascii="Arial" w:eastAsia="Times New Roman" w:hAnsi="Arial" w:cs="Arial"/>
          <w:color w:val="2F5496" w:themeColor="accent1" w:themeShade="BF"/>
          <w:sz w:val="20"/>
          <w:szCs w:val="20"/>
          <w:lang w:eastAsia="en-GB"/>
        </w:rPr>
      </w:pPr>
    </w:p>
    <w:p w:rsidR="0026773A" w:rsidRPr="00064ABC" w:rsidRDefault="008013C8" w:rsidP="00064ABC">
      <w:pPr>
        <w:pStyle w:val="ListParagraph"/>
        <w:numPr>
          <w:ilvl w:val="0"/>
          <w:numId w:val="1"/>
        </w:numPr>
        <w:spacing w:after="120"/>
        <w:ind w:left="714" w:hanging="357"/>
        <w:jc w:val="both"/>
        <w:rPr>
          <w:rStyle w:val="s1"/>
          <w:rFonts w:ascii="Arial" w:eastAsia="Times New Roman" w:hAnsi="Arial" w:cs="Arial"/>
          <w:color w:val="2F5496" w:themeColor="accent1" w:themeShade="BF"/>
          <w:sz w:val="20"/>
          <w:szCs w:val="20"/>
          <w:lang w:eastAsia="en-GB"/>
        </w:rPr>
      </w:pPr>
      <w:r w:rsidRPr="0002368F">
        <w:rPr>
          <w:rStyle w:val="s1"/>
          <w:rFonts w:ascii="Arial" w:hAnsi="Arial" w:cs="Arial"/>
          <w:color w:val="2F5496" w:themeColor="accent1" w:themeShade="BF"/>
          <w:sz w:val="20"/>
          <w:szCs w:val="20"/>
        </w:rPr>
        <w:t xml:space="preserve">In </w:t>
      </w:r>
      <w:r w:rsidR="0026773A" w:rsidRPr="0002368F">
        <w:rPr>
          <w:rStyle w:val="s1"/>
          <w:rFonts w:ascii="Arial" w:hAnsi="Arial" w:cs="Arial"/>
          <w:color w:val="2F5496" w:themeColor="accent1" w:themeShade="BF"/>
          <w:sz w:val="20"/>
          <w:szCs w:val="20"/>
        </w:rPr>
        <w:t xml:space="preserve">addition to tracking </w:t>
      </w:r>
      <w:r w:rsidR="00B962E2" w:rsidRPr="0002368F">
        <w:rPr>
          <w:rStyle w:val="s1"/>
          <w:rFonts w:ascii="Arial" w:hAnsi="Arial" w:cs="Arial"/>
          <w:color w:val="2F5496" w:themeColor="accent1" w:themeShade="BF"/>
          <w:sz w:val="20"/>
          <w:szCs w:val="20"/>
        </w:rPr>
        <w:t xml:space="preserve">the impacts of </w:t>
      </w:r>
      <w:r w:rsidRPr="0002368F">
        <w:rPr>
          <w:rStyle w:val="s1"/>
          <w:rFonts w:ascii="Arial" w:hAnsi="Arial" w:cs="Arial"/>
          <w:color w:val="2F5496" w:themeColor="accent1" w:themeShade="BF"/>
          <w:sz w:val="20"/>
          <w:szCs w:val="20"/>
        </w:rPr>
        <w:t xml:space="preserve">displacement, </w:t>
      </w:r>
      <w:r w:rsidR="0026773A" w:rsidRPr="0002368F">
        <w:rPr>
          <w:rStyle w:val="s1"/>
          <w:rFonts w:ascii="Arial" w:hAnsi="Arial" w:cs="Arial"/>
          <w:color w:val="2F5496" w:themeColor="accent1" w:themeShade="BF"/>
          <w:sz w:val="20"/>
          <w:szCs w:val="20"/>
        </w:rPr>
        <w:t>it appears vital that</w:t>
      </w:r>
      <w:r w:rsidR="00B962E2" w:rsidRPr="0002368F">
        <w:rPr>
          <w:rStyle w:val="s1"/>
          <w:rFonts w:ascii="Arial" w:hAnsi="Arial" w:cs="Arial"/>
          <w:color w:val="2F5496" w:themeColor="accent1" w:themeShade="BF"/>
          <w:sz w:val="20"/>
          <w:szCs w:val="20"/>
        </w:rPr>
        <w:t xml:space="preserve"> residents </w:t>
      </w:r>
      <w:proofErr w:type="gramStart"/>
      <w:r w:rsidR="00B962E2" w:rsidRPr="0002368F">
        <w:rPr>
          <w:rStyle w:val="s1"/>
          <w:rFonts w:ascii="Arial" w:hAnsi="Arial" w:cs="Arial"/>
          <w:color w:val="2F5496" w:themeColor="accent1" w:themeShade="BF"/>
          <w:sz w:val="20"/>
          <w:szCs w:val="20"/>
        </w:rPr>
        <w:t>are alw</w:t>
      </w:r>
      <w:r w:rsidRPr="0002368F">
        <w:rPr>
          <w:rStyle w:val="s1"/>
          <w:rFonts w:ascii="Arial" w:hAnsi="Arial" w:cs="Arial"/>
          <w:color w:val="2F5496" w:themeColor="accent1" w:themeShade="BF"/>
          <w:sz w:val="20"/>
          <w:szCs w:val="20"/>
        </w:rPr>
        <w:t>ays given</w:t>
      </w:r>
      <w:proofErr w:type="gramEnd"/>
      <w:r w:rsidRPr="0002368F">
        <w:rPr>
          <w:rStyle w:val="s1"/>
          <w:rFonts w:ascii="Arial" w:hAnsi="Arial" w:cs="Arial"/>
          <w:color w:val="2F5496" w:themeColor="accent1" w:themeShade="BF"/>
          <w:sz w:val="20"/>
          <w:szCs w:val="20"/>
        </w:rPr>
        <w:t xml:space="preserve"> a voice in decisions a</w:t>
      </w:r>
      <w:r w:rsidR="00B962E2" w:rsidRPr="0002368F">
        <w:rPr>
          <w:rStyle w:val="s1"/>
          <w:rFonts w:ascii="Arial" w:hAnsi="Arial" w:cs="Arial"/>
          <w:color w:val="2F5496" w:themeColor="accent1" w:themeShade="BF"/>
          <w:sz w:val="20"/>
          <w:szCs w:val="20"/>
        </w:rPr>
        <w:t>ffecting their future.</w:t>
      </w:r>
      <w:r w:rsidR="0049010B" w:rsidRPr="0002368F">
        <w:rPr>
          <w:rStyle w:val="s1"/>
          <w:rFonts w:ascii="Arial" w:hAnsi="Arial" w:cs="Arial"/>
          <w:color w:val="2F5496" w:themeColor="accent1" w:themeShade="BF"/>
          <w:sz w:val="20"/>
          <w:szCs w:val="20"/>
        </w:rPr>
        <w:t xml:space="preserve"> </w:t>
      </w:r>
    </w:p>
    <w:p w:rsidR="00064ABC" w:rsidRPr="0002368F" w:rsidRDefault="00064ABC" w:rsidP="00064ABC">
      <w:pPr>
        <w:pStyle w:val="ListParagraph"/>
        <w:spacing w:after="120"/>
        <w:ind w:left="714"/>
        <w:jc w:val="both"/>
        <w:rPr>
          <w:rStyle w:val="s1"/>
          <w:rFonts w:ascii="Arial" w:eastAsia="Times New Roman" w:hAnsi="Arial" w:cs="Arial"/>
          <w:color w:val="2F5496" w:themeColor="accent1" w:themeShade="BF"/>
          <w:sz w:val="20"/>
          <w:szCs w:val="20"/>
          <w:lang w:eastAsia="en-GB"/>
        </w:rPr>
      </w:pPr>
    </w:p>
    <w:p w:rsidR="0049010B" w:rsidRPr="0002368F" w:rsidRDefault="0049010B" w:rsidP="00064ABC">
      <w:pPr>
        <w:pStyle w:val="ListParagraph"/>
        <w:numPr>
          <w:ilvl w:val="0"/>
          <w:numId w:val="1"/>
        </w:numPr>
        <w:spacing w:after="120"/>
        <w:ind w:left="714" w:hanging="357"/>
        <w:jc w:val="both"/>
        <w:rPr>
          <w:rStyle w:val="s1"/>
          <w:rFonts w:ascii="Arial" w:eastAsia="Times New Roman" w:hAnsi="Arial" w:cs="Arial"/>
          <w:color w:val="2F5496" w:themeColor="accent1" w:themeShade="BF"/>
          <w:sz w:val="20"/>
          <w:szCs w:val="20"/>
          <w:lang w:eastAsia="en-GB"/>
        </w:rPr>
      </w:pPr>
      <w:r w:rsidRPr="0002368F">
        <w:rPr>
          <w:rStyle w:val="s1"/>
          <w:rFonts w:ascii="Arial" w:hAnsi="Arial" w:cs="Arial"/>
          <w:color w:val="2F5496" w:themeColor="accent1" w:themeShade="BF"/>
          <w:sz w:val="20"/>
          <w:szCs w:val="20"/>
        </w:rPr>
        <w:t xml:space="preserve">Residents </w:t>
      </w:r>
      <w:proofErr w:type="gramStart"/>
      <w:r w:rsidRPr="0002368F">
        <w:rPr>
          <w:rStyle w:val="s1"/>
          <w:rFonts w:ascii="Arial" w:hAnsi="Arial" w:cs="Arial"/>
          <w:color w:val="2F5496" w:themeColor="accent1" w:themeShade="BF"/>
          <w:sz w:val="20"/>
          <w:szCs w:val="20"/>
        </w:rPr>
        <w:t>should also be presented</w:t>
      </w:r>
      <w:proofErr w:type="gramEnd"/>
      <w:r w:rsidRPr="0002368F">
        <w:rPr>
          <w:rStyle w:val="s1"/>
          <w:rFonts w:ascii="Arial" w:hAnsi="Arial" w:cs="Arial"/>
          <w:color w:val="2F5496" w:themeColor="accent1" w:themeShade="BF"/>
          <w:sz w:val="20"/>
          <w:szCs w:val="20"/>
        </w:rPr>
        <w:t xml:space="preserve"> with unbiased information by the local council on the pros and cons of estate renewal and the tenurial changes associated with it.</w:t>
      </w:r>
    </w:p>
    <w:p w:rsidR="006B0FB3" w:rsidRDefault="006B0FB3" w:rsidP="00A260CB">
      <w:pPr>
        <w:rPr>
          <w:rFonts w:ascii="Arial" w:hAnsi="Arial" w:cs="Arial"/>
          <w:b/>
          <w:bCs/>
          <w:color w:val="806000" w:themeColor="accent4" w:themeShade="80"/>
        </w:rPr>
      </w:pPr>
    </w:p>
    <w:p w:rsidR="00A260CB" w:rsidRPr="0002368F" w:rsidRDefault="00A260CB" w:rsidP="00A260CB">
      <w:pPr>
        <w:rPr>
          <w:rFonts w:ascii="Arial" w:hAnsi="Arial" w:cs="Arial"/>
          <w:b/>
          <w:bCs/>
          <w:color w:val="806000" w:themeColor="accent4" w:themeShade="80"/>
        </w:rPr>
      </w:pPr>
      <w:r w:rsidRPr="0002368F">
        <w:rPr>
          <w:rFonts w:ascii="Arial" w:hAnsi="Arial" w:cs="Arial"/>
          <w:b/>
          <w:bCs/>
          <w:color w:val="806000" w:themeColor="accent4" w:themeShade="80"/>
        </w:rPr>
        <w:t>Project Team</w:t>
      </w:r>
    </w:p>
    <w:p w:rsidR="00A260CB" w:rsidRPr="0002368F" w:rsidRDefault="00A260CB" w:rsidP="00A260CB">
      <w:pPr>
        <w:pStyle w:val="NormalWeb"/>
        <w:rPr>
          <w:rFonts w:ascii="Arial" w:hAnsi="Arial" w:cs="Arial"/>
          <w:b/>
          <w:bCs/>
          <w:color w:val="2F5496" w:themeColor="accent1" w:themeShade="BF"/>
          <w:sz w:val="20"/>
          <w:szCs w:val="20"/>
        </w:rPr>
      </w:pPr>
      <w:r w:rsidRPr="0002368F">
        <w:rPr>
          <w:rFonts w:ascii="Arial" w:hAnsi="Arial" w:cs="Arial"/>
          <w:b/>
          <w:bCs/>
          <w:color w:val="2F5496" w:themeColor="accent1" w:themeShade="BF"/>
          <w:sz w:val="20"/>
          <w:szCs w:val="20"/>
        </w:rPr>
        <w:t xml:space="preserve">Principal Investigator: </w:t>
      </w:r>
      <w:r w:rsidRPr="0002368F">
        <w:rPr>
          <w:rFonts w:ascii="Arial" w:hAnsi="Arial" w:cs="Arial"/>
          <w:color w:val="2F5496" w:themeColor="accent1" w:themeShade="BF"/>
          <w:sz w:val="20"/>
          <w:szCs w:val="20"/>
        </w:rPr>
        <w:t>Loretta Lees, Professor of Human Geography,</w:t>
      </w:r>
      <w:r w:rsidRPr="0002368F">
        <w:rPr>
          <w:rFonts w:ascii="Arial" w:hAnsi="Arial" w:cs="Arial"/>
          <w:b/>
          <w:bCs/>
          <w:color w:val="2F5496" w:themeColor="accent1" w:themeShade="BF"/>
          <w:sz w:val="20"/>
          <w:szCs w:val="20"/>
        </w:rPr>
        <w:t xml:space="preserve"> </w:t>
      </w:r>
      <w:r w:rsidRPr="0002368F">
        <w:rPr>
          <w:rFonts w:ascii="Arial" w:hAnsi="Arial" w:cs="Arial"/>
          <w:color w:val="2F5496" w:themeColor="accent1" w:themeShade="BF"/>
          <w:sz w:val="20"/>
          <w:szCs w:val="20"/>
        </w:rPr>
        <w:t xml:space="preserve">School of Geography, Geology and the Environment, University of Leicester, UK </w:t>
      </w:r>
    </w:p>
    <w:p w:rsidR="005530EE" w:rsidRPr="0002368F" w:rsidRDefault="005530EE" w:rsidP="005530EE">
      <w:pPr>
        <w:pStyle w:val="NormalWeb"/>
        <w:rPr>
          <w:rFonts w:ascii="Arial" w:hAnsi="Arial" w:cs="Arial"/>
          <w:color w:val="2F5496" w:themeColor="accent1" w:themeShade="BF"/>
          <w:sz w:val="20"/>
          <w:szCs w:val="20"/>
        </w:rPr>
      </w:pPr>
      <w:r w:rsidRPr="0002368F">
        <w:rPr>
          <w:rFonts w:ascii="Arial" w:hAnsi="Arial" w:cs="Arial"/>
          <w:b/>
          <w:bCs/>
          <w:color w:val="2F5496" w:themeColor="accent1" w:themeShade="BF"/>
          <w:sz w:val="20"/>
          <w:szCs w:val="20"/>
        </w:rPr>
        <w:t xml:space="preserve">Co-Investigator: </w:t>
      </w:r>
      <w:r w:rsidRPr="0002368F">
        <w:rPr>
          <w:rFonts w:ascii="Arial" w:hAnsi="Arial" w:cs="Arial"/>
          <w:color w:val="2F5496" w:themeColor="accent1" w:themeShade="BF"/>
          <w:sz w:val="20"/>
          <w:szCs w:val="20"/>
        </w:rPr>
        <w:t>Phil Hubbard, Professor of Urban Studies,</w:t>
      </w:r>
      <w:r w:rsidRPr="0002368F">
        <w:rPr>
          <w:rFonts w:ascii="Arial" w:hAnsi="Arial" w:cs="Arial"/>
          <w:b/>
          <w:bCs/>
          <w:color w:val="2F5496" w:themeColor="accent1" w:themeShade="BF"/>
          <w:sz w:val="20"/>
          <w:szCs w:val="20"/>
        </w:rPr>
        <w:t xml:space="preserve"> </w:t>
      </w:r>
      <w:r w:rsidRPr="0002368F">
        <w:rPr>
          <w:rFonts w:ascii="Arial" w:hAnsi="Arial" w:cs="Arial"/>
          <w:color w:val="2F5496" w:themeColor="accent1" w:themeShade="BF"/>
          <w:sz w:val="20"/>
          <w:szCs w:val="20"/>
        </w:rPr>
        <w:t xml:space="preserve">Department of Geography, King’s College London, UK </w:t>
      </w:r>
    </w:p>
    <w:p w:rsidR="009B0B4C" w:rsidRPr="0002368F" w:rsidRDefault="009B0B4C" w:rsidP="009B0B4C">
      <w:pPr>
        <w:pStyle w:val="Heading2"/>
        <w:spacing w:before="90" w:beforeAutospacing="0" w:after="150" w:afterAutospacing="0"/>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 xml:space="preserve">Co-Investigator: </w:t>
      </w:r>
      <w:r w:rsidRPr="0002368F">
        <w:rPr>
          <w:rFonts w:ascii="Arial" w:hAnsi="Arial" w:cs="Arial"/>
          <w:b w:val="0"/>
          <w:bCs w:val="0"/>
          <w:color w:val="2F5496" w:themeColor="accent1" w:themeShade="BF"/>
          <w:sz w:val="20"/>
          <w:szCs w:val="20"/>
        </w:rPr>
        <w:t>Nick Tate, Associate Professor in Geographic Information Science, School of Geography, Geology and the Environment, University of Leicester, UK</w:t>
      </w:r>
    </w:p>
    <w:p w:rsidR="00A260CB" w:rsidRPr="0002368F" w:rsidRDefault="00A260CB" w:rsidP="00A260CB">
      <w:pPr>
        <w:pStyle w:val="NormalWeb"/>
        <w:rPr>
          <w:rFonts w:ascii="Arial" w:hAnsi="Arial" w:cs="Arial"/>
          <w:color w:val="2F5496" w:themeColor="accent1" w:themeShade="BF"/>
          <w:sz w:val="20"/>
          <w:szCs w:val="20"/>
        </w:rPr>
      </w:pPr>
      <w:r w:rsidRPr="0002368F">
        <w:rPr>
          <w:rFonts w:ascii="Arial" w:hAnsi="Arial" w:cs="Arial"/>
          <w:b/>
          <w:bCs/>
          <w:color w:val="2F5496" w:themeColor="accent1" w:themeShade="BF"/>
          <w:sz w:val="20"/>
          <w:szCs w:val="20"/>
        </w:rPr>
        <w:t xml:space="preserve">Research Assistant: </w:t>
      </w:r>
      <w:r w:rsidR="00717CE3" w:rsidRPr="0002368F">
        <w:rPr>
          <w:rFonts w:ascii="Arial" w:hAnsi="Arial" w:cs="Arial"/>
          <w:color w:val="2F5496" w:themeColor="accent1" w:themeShade="BF"/>
          <w:sz w:val="20"/>
          <w:szCs w:val="20"/>
        </w:rPr>
        <w:t>Adam Elliott-</w:t>
      </w:r>
      <w:r w:rsidRPr="0002368F">
        <w:rPr>
          <w:rFonts w:ascii="Arial" w:hAnsi="Arial" w:cs="Arial"/>
          <w:color w:val="2F5496" w:themeColor="accent1" w:themeShade="BF"/>
          <w:sz w:val="20"/>
          <w:szCs w:val="20"/>
        </w:rPr>
        <w:t>Cooper (now</w:t>
      </w:r>
      <w:r w:rsidRPr="0002368F">
        <w:rPr>
          <w:rFonts w:ascii="Arial" w:hAnsi="Arial" w:cs="Arial"/>
          <w:b/>
          <w:bCs/>
          <w:color w:val="2F5496" w:themeColor="accent1" w:themeShade="BF"/>
          <w:sz w:val="20"/>
          <w:szCs w:val="20"/>
        </w:rPr>
        <w:t xml:space="preserve"> </w:t>
      </w:r>
      <w:r w:rsidRPr="0002368F">
        <w:rPr>
          <w:rFonts w:ascii="Arial" w:hAnsi="Arial" w:cs="Arial"/>
          <w:color w:val="2F5496" w:themeColor="accent1" w:themeShade="BF"/>
          <w:sz w:val="20"/>
          <w:szCs w:val="20"/>
        </w:rPr>
        <w:t xml:space="preserve">School of Humanities and Social Sciences, University of Greenwich, UK) </w:t>
      </w:r>
    </w:p>
    <w:p w:rsidR="00A260CB" w:rsidRPr="0002368F" w:rsidRDefault="00A260CB" w:rsidP="00A260CB">
      <w:pPr>
        <w:pStyle w:val="NormalWeb"/>
        <w:rPr>
          <w:rFonts w:ascii="Arial" w:hAnsi="Arial" w:cs="Arial"/>
          <w:color w:val="2F5496" w:themeColor="accent1" w:themeShade="BF"/>
          <w:sz w:val="20"/>
          <w:szCs w:val="20"/>
        </w:rPr>
      </w:pPr>
      <w:r w:rsidRPr="0002368F">
        <w:rPr>
          <w:rFonts w:ascii="Arial" w:hAnsi="Arial" w:cs="Arial"/>
          <w:b/>
          <w:bCs/>
          <w:color w:val="2F5496" w:themeColor="accent1" w:themeShade="BF"/>
          <w:sz w:val="20"/>
          <w:szCs w:val="20"/>
        </w:rPr>
        <w:t>Research Assistant:</w:t>
      </w:r>
      <w:r w:rsidRPr="0002368F">
        <w:rPr>
          <w:rFonts w:ascii="Arial" w:hAnsi="Arial" w:cs="Arial"/>
          <w:color w:val="2F5496" w:themeColor="accent1" w:themeShade="BF"/>
          <w:sz w:val="20"/>
          <w:szCs w:val="20"/>
        </w:rPr>
        <w:t xml:space="preserve"> Natalie Smith, School of Geography, Geology and the Environment, University of Leicester, UK</w:t>
      </w:r>
    </w:p>
    <w:p w:rsidR="00A260CB" w:rsidRPr="0002368F" w:rsidRDefault="00717CE3" w:rsidP="00A260CB">
      <w:pPr>
        <w:pStyle w:val="Heading2"/>
        <w:spacing w:before="90" w:beforeAutospacing="0" w:after="150" w:afterAutospacing="0"/>
        <w:rPr>
          <w:rFonts w:ascii="Arial" w:hAnsi="Arial" w:cs="Arial"/>
          <w:b w:val="0"/>
          <w:bCs w:val="0"/>
          <w:color w:val="2F5496" w:themeColor="accent1" w:themeShade="BF"/>
          <w:sz w:val="20"/>
          <w:szCs w:val="20"/>
        </w:rPr>
      </w:pPr>
      <w:r w:rsidRPr="0002368F">
        <w:rPr>
          <w:rFonts w:ascii="Arial" w:hAnsi="Arial" w:cs="Arial"/>
          <w:color w:val="2F5496" w:themeColor="accent1" w:themeShade="BF"/>
          <w:sz w:val="20"/>
          <w:szCs w:val="20"/>
        </w:rPr>
        <w:t>Research Assistant:</w:t>
      </w:r>
      <w:r w:rsidR="00A260CB" w:rsidRPr="0002368F">
        <w:rPr>
          <w:rFonts w:ascii="Arial" w:hAnsi="Arial" w:cs="Arial"/>
          <w:color w:val="2F5496" w:themeColor="accent1" w:themeShade="BF"/>
          <w:sz w:val="20"/>
          <w:szCs w:val="20"/>
        </w:rPr>
        <w:t xml:space="preserve"> </w:t>
      </w:r>
      <w:r w:rsidR="00A260CB" w:rsidRPr="0002368F">
        <w:rPr>
          <w:rFonts w:ascii="Arial" w:hAnsi="Arial" w:cs="Arial"/>
          <w:b w:val="0"/>
          <w:bCs w:val="0"/>
          <w:color w:val="2F5496" w:themeColor="accent1" w:themeShade="BF"/>
          <w:sz w:val="20"/>
          <w:szCs w:val="20"/>
        </w:rPr>
        <w:t>Sue Easton</w:t>
      </w:r>
      <w:r w:rsidR="00D019FB" w:rsidRPr="0002368F">
        <w:rPr>
          <w:rFonts w:ascii="Arial" w:hAnsi="Arial" w:cs="Arial"/>
          <w:b w:val="0"/>
          <w:bCs w:val="0"/>
          <w:color w:val="2F5496" w:themeColor="accent1" w:themeShade="BF"/>
          <w:sz w:val="20"/>
          <w:szCs w:val="20"/>
        </w:rPr>
        <w:t xml:space="preserve"> (was </w:t>
      </w:r>
      <w:r w:rsidR="00A260CB" w:rsidRPr="0002368F">
        <w:rPr>
          <w:rFonts w:ascii="Arial" w:hAnsi="Arial" w:cs="Arial"/>
          <w:b w:val="0"/>
          <w:bCs w:val="0"/>
          <w:color w:val="2F5496" w:themeColor="accent1" w:themeShade="BF"/>
          <w:sz w:val="20"/>
          <w:szCs w:val="20"/>
        </w:rPr>
        <w:t>School of Geography, Geology and the Environment, University of Leicester, UK</w:t>
      </w:r>
      <w:r w:rsidR="00D019FB" w:rsidRPr="0002368F">
        <w:rPr>
          <w:rFonts w:ascii="Arial" w:hAnsi="Arial" w:cs="Arial"/>
          <w:b w:val="0"/>
          <w:bCs w:val="0"/>
          <w:color w:val="2F5496" w:themeColor="accent1" w:themeShade="BF"/>
          <w:sz w:val="20"/>
          <w:szCs w:val="20"/>
        </w:rPr>
        <w:t>)</w:t>
      </w:r>
    </w:p>
    <w:p w:rsidR="00A260CB" w:rsidRPr="0002368F" w:rsidRDefault="00A260CB" w:rsidP="00A260CB">
      <w:pPr>
        <w:pStyle w:val="Heading2"/>
        <w:spacing w:before="90" w:beforeAutospacing="0" w:after="150" w:afterAutospacing="0"/>
        <w:rPr>
          <w:rFonts w:ascii="Arial" w:hAnsi="Arial" w:cs="Arial"/>
          <w:color w:val="2F5496" w:themeColor="accent1" w:themeShade="BF"/>
          <w:sz w:val="20"/>
          <w:szCs w:val="20"/>
        </w:rPr>
      </w:pPr>
      <w:r w:rsidRPr="0002368F">
        <w:rPr>
          <w:rFonts w:ascii="Arial" w:hAnsi="Arial" w:cs="Arial"/>
          <w:color w:val="2F5496" w:themeColor="accent1" w:themeShade="BF"/>
          <w:sz w:val="20"/>
          <w:szCs w:val="20"/>
        </w:rPr>
        <w:t xml:space="preserve">Consultant: </w:t>
      </w:r>
      <w:r w:rsidRPr="0002368F">
        <w:rPr>
          <w:rFonts w:ascii="Arial" w:hAnsi="Arial" w:cs="Arial"/>
          <w:b w:val="0"/>
          <w:bCs w:val="0"/>
          <w:color w:val="2F5496" w:themeColor="accent1" w:themeShade="BF"/>
          <w:sz w:val="20"/>
          <w:szCs w:val="20"/>
        </w:rPr>
        <w:t>Jon Reades, Senior Lecturer in Quantitative Human Geography, Department of Geography, King’s College London, UK</w:t>
      </w:r>
    </w:p>
    <w:p w:rsidR="006B0FB3" w:rsidRDefault="006B0FB3" w:rsidP="006B0FB3">
      <w:pPr>
        <w:jc w:val="both"/>
        <w:rPr>
          <w:rFonts w:ascii="ArialMT" w:hAnsi="ArialMT"/>
          <w:b/>
          <w:bCs/>
          <w:color w:val="7F602D"/>
        </w:rPr>
      </w:pPr>
    </w:p>
    <w:p w:rsidR="006B0FB3" w:rsidRDefault="006B0FB3" w:rsidP="006B0FB3">
      <w:pPr>
        <w:jc w:val="both"/>
        <w:rPr>
          <w:rFonts w:ascii="ArialMT" w:hAnsi="ArialMT"/>
          <w:b/>
          <w:bCs/>
          <w:color w:val="7F602D"/>
        </w:rPr>
      </w:pPr>
      <w:r>
        <w:rPr>
          <w:rFonts w:ascii="ArialMT" w:hAnsi="ArialMT"/>
          <w:b/>
          <w:bCs/>
          <w:color w:val="7F602D"/>
        </w:rPr>
        <w:t>Key Stakeholders</w:t>
      </w:r>
    </w:p>
    <w:p w:rsidR="006B0FB3" w:rsidRDefault="006B0FB3" w:rsidP="006B0FB3">
      <w:pPr>
        <w:jc w:val="both"/>
        <w:rPr>
          <w:rFonts w:ascii="Arial" w:hAnsi="Arial" w:cs="Arial"/>
          <w:color w:val="2F5496" w:themeColor="accent1" w:themeShade="BF"/>
          <w:sz w:val="20"/>
          <w:szCs w:val="20"/>
        </w:rPr>
      </w:pPr>
      <w:r w:rsidRPr="006B0FB3">
        <w:rPr>
          <w:rFonts w:ascii="Arial" w:hAnsi="Arial" w:cs="Arial"/>
          <w:b/>
          <w:color w:val="2F5496" w:themeColor="accent1" w:themeShade="BF"/>
          <w:sz w:val="20"/>
          <w:szCs w:val="20"/>
        </w:rPr>
        <w:t>The London Tenants Federation</w:t>
      </w:r>
      <w:r>
        <w:rPr>
          <w:rFonts w:ascii="Arial" w:hAnsi="Arial" w:cs="Arial"/>
          <w:color w:val="2F5496" w:themeColor="accent1" w:themeShade="BF"/>
          <w:sz w:val="20"/>
          <w:szCs w:val="20"/>
        </w:rPr>
        <w:t xml:space="preserve"> </w:t>
      </w:r>
      <w:hyperlink r:id="rId9" w:history="1">
        <w:r w:rsidRPr="006B0FB3">
          <w:rPr>
            <w:color w:val="0000FF"/>
            <w:u w:val="single"/>
          </w:rPr>
          <w:t>https://londontenants.org/</w:t>
        </w:r>
      </w:hyperlink>
    </w:p>
    <w:p w:rsidR="0071116D" w:rsidRPr="001862A9" w:rsidRDefault="006B0FB3" w:rsidP="006B0FB3">
      <w:pPr>
        <w:jc w:val="both"/>
        <w:rPr>
          <w:color w:val="2F5496" w:themeColor="accent1" w:themeShade="BF"/>
        </w:rPr>
        <w:sectPr w:rsidR="0071116D" w:rsidRPr="001862A9" w:rsidSect="0071116D">
          <w:type w:val="continuous"/>
          <w:pgSz w:w="11900" w:h="16840"/>
          <w:pgMar w:top="1440" w:right="1440" w:bottom="1440" w:left="1440" w:header="708" w:footer="708" w:gutter="0"/>
          <w:cols w:num="2" w:space="720"/>
          <w:docGrid w:linePitch="360"/>
        </w:sectPr>
      </w:pPr>
      <w:r w:rsidRPr="006B0FB3">
        <w:rPr>
          <w:rFonts w:ascii="Arial" w:hAnsi="Arial" w:cs="Arial"/>
          <w:b/>
          <w:color w:val="2F5496" w:themeColor="accent1" w:themeShade="BF"/>
          <w:sz w:val="20"/>
          <w:szCs w:val="20"/>
        </w:rPr>
        <w:t>Just Space</w:t>
      </w:r>
      <w:r>
        <w:rPr>
          <w:rFonts w:ascii="Arial" w:hAnsi="Arial" w:cs="Arial"/>
          <w:color w:val="2F5496" w:themeColor="accent1" w:themeShade="BF"/>
          <w:sz w:val="20"/>
          <w:szCs w:val="20"/>
        </w:rPr>
        <w:t xml:space="preserve"> </w:t>
      </w:r>
      <w:hyperlink r:id="rId10" w:history="1">
        <w:r w:rsidRPr="006B0FB3">
          <w:rPr>
            <w:color w:val="0000FF"/>
            <w:u w:val="single"/>
          </w:rPr>
          <w:t>https://justspace.org.uk/</w:t>
        </w:r>
      </w:hyperlink>
    </w:p>
    <w:p w:rsidR="00D648B6" w:rsidRDefault="00D648B6" w:rsidP="00DE7FDA">
      <w:pPr>
        <w:jc w:val="both"/>
        <w:rPr>
          <w:rFonts w:ascii="ArialMT" w:hAnsi="ArialMT"/>
          <w:b/>
          <w:bCs/>
          <w:color w:val="7F602D"/>
        </w:rPr>
      </w:pPr>
    </w:p>
    <w:p w:rsidR="00DE7FDA" w:rsidRPr="00DE7FDA" w:rsidRDefault="005F7AF6" w:rsidP="00DE7FDA">
      <w:pPr>
        <w:jc w:val="both"/>
        <w:rPr>
          <w:rFonts w:ascii="ArialMT" w:hAnsi="ArialMT"/>
          <w:b/>
          <w:bCs/>
          <w:color w:val="7F602D"/>
        </w:rPr>
      </w:pPr>
      <w:r>
        <w:rPr>
          <w:rFonts w:ascii="ArialMT" w:hAnsi="ArialMT"/>
          <w:b/>
          <w:bCs/>
          <w:color w:val="7F602D"/>
        </w:rPr>
        <w:t>Sample publications</w:t>
      </w:r>
    </w:p>
    <w:p w:rsidR="00DE7FDA" w:rsidRDefault="00DE7FDA" w:rsidP="00DE7FDA">
      <w:pPr>
        <w:jc w:val="both"/>
        <w:rPr>
          <w:rFonts w:ascii="ArialMT" w:hAnsi="ArialMT"/>
          <w:color w:val="7F602D"/>
          <w:sz w:val="22"/>
          <w:szCs w:val="22"/>
        </w:rPr>
      </w:pPr>
    </w:p>
    <w:p w:rsidR="005530EE" w:rsidRPr="005530EE" w:rsidRDefault="005530EE" w:rsidP="00F5225C">
      <w:pPr>
        <w:pStyle w:val="ListParagraph"/>
        <w:numPr>
          <w:ilvl w:val="0"/>
          <w:numId w:val="4"/>
        </w:numPr>
        <w:contextualSpacing w:val="0"/>
        <w:jc w:val="both"/>
        <w:rPr>
          <w:rFonts w:ascii="Arial" w:eastAsia="Times New Roman" w:hAnsi="Arial" w:cs="Arial"/>
          <w:sz w:val="16"/>
          <w:szCs w:val="16"/>
          <w:shd w:val="clear" w:color="auto" w:fill="FFFFFF"/>
          <w:lang w:eastAsia="en-GB"/>
        </w:rPr>
      </w:pPr>
      <w:proofErr w:type="spellStart"/>
      <w:r w:rsidRPr="005530EE">
        <w:rPr>
          <w:rFonts w:ascii="Arial" w:hAnsi="Arial" w:cs="Arial"/>
          <w:sz w:val="16"/>
          <w:szCs w:val="16"/>
        </w:rPr>
        <w:t>Lees</w:t>
      </w:r>
      <w:proofErr w:type="gramStart"/>
      <w:r w:rsidRPr="005530EE">
        <w:rPr>
          <w:rFonts w:ascii="Arial" w:hAnsi="Arial" w:cs="Arial"/>
          <w:sz w:val="16"/>
          <w:szCs w:val="16"/>
        </w:rPr>
        <w:t>,L</w:t>
      </w:r>
      <w:proofErr w:type="spellEnd"/>
      <w:proofErr w:type="gramEnd"/>
      <w:r w:rsidRPr="005530EE">
        <w:rPr>
          <w:rFonts w:ascii="Arial" w:hAnsi="Arial" w:cs="Arial"/>
          <w:sz w:val="16"/>
          <w:szCs w:val="16"/>
        </w:rPr>
        <w:t xml:space="preserve">. and Hubbard, P. (2020) The emotional and psychic impacts of London’s ‘new’ urban renewal, </w:t>
      </w:r>
      <w:r w:rsidRPr="005530EE">
        <w:rPr>
          <w:rFonts w:ascii="Arial" w:hAnsi="Arial" w:cs="Arial"/>
          <w:i/>
          <w:sz w:val="16"/>
          <w:szCs w:val="16"/>
        </w:rPr>
        <w:t>Journal of</w:t>
      </w:r>
      <w:r w:rsidR="00D648B6">
        <w:rPr>
          <w:rFonts w:ascii="Arial" w:hAnsi="Arial" w:cs="Arial"/>
          <w:i/>
          <w:sz w:val="16"/>
          <w:szCs w:val="16"/>
        </w:rPr>
        <w:t xml:space="preserve"> Urban Regeneration and Renewal, </w:t>
      </w:r>
      <w:proofErr w:type="spellStart"/>
      <w:r w:rsidR="00D648B6">
        <w:rPr>
          <w:rFonts w:ascii="Arial" w:hAnsi="Arial" w:cs="Arial"/>
          <w:i/>
          <w:sz w:val="16"/>
          <w:szCs w:val="16"/>
        </w:rPr>
        <w:t>d</w:t>
      </w:r>
      <w:r>
        <w:rPr>
          <w:rFonts w:ascii="Arial" w:hAnsi="Arial" w:cs="Arial"/>
          <w:i/>
          <w:sz w:val="16"/>
          <w:szCs w:val="16"/>
        </w:rPr>
        <w:t>oi</w:t>
      </w:r>
      <w:proofErr w:type="spellEnd"/>
      <w:r>
        <w:rPr>
          <w:rFonts w:ascii="Arial" w:hAnsi="Arial" w:cs="Arial"/>
          <w:i/>
          <w:sz w:val="16"/>
          <w:szCs w:val="16"/>
        </w:rPr>
        <w:t>: forthcoming.</w:t>
      </w:r>
    </w:p>
    <w:p w:rsidR="005F7AF6" w:rsidRPr="005F7AF6" w:rsidRDefault="005F7AF6" w:rsidP="005F7AF6">
      <w:pPr>
        <w:pStyle w:val="ListParagraph"/>
        <w:numPr>
          <w:ilvl w:val="0"/>
          <w:numId w:val="4"/>
        </w:numPr>
        <w:jc w:val="both"/>
        <w:rPr>
          <w:rFonts w:ascii="Arial" w:eastAsia="Times New Roman" w:hAnsi="Arial" w:cs="Arial"/>
          <w:sz w:val="16"/>
          <w:szCs w:val="16"/>
          <w:shd w:val="clear" w:color="auto" w:fill="FFFFFF"/>
          <w:lang w:eastAsia="en-GB"/>
        </w:rPr>
      </w:pPr>
      <w:r w:rsidRPr="005F7AF6">
        <w:rPr>
          <w:rFonts w:ascii="Arial" w:eastAsia="Times New Roman" w:hAnsi="Arial" w:cs="Arial"/>
          <w:sz w:val="16"/>
          <w:szCs w:val="16"/>
          <w:shd w:val="clear" w:color="auto" w:fill="FFFFFF"/>
          <w:lang w:eastAsia="en-GB"/>
        </w:rPr>
        <w:t xml:space="preserve">Elliot-Cooper, A., Hubbard, P., &amp; Lees, L. (2020). </w:t>
      </w:r>
      <w:proofErr w:type="gramStart"/>
      <w:r w:rsidRPr="005F7AF6">
        <w:rPr>
          <w:rFonts w:ascii="Arial" w:eastAsia="Times New Roman" w:hAnsi="Arial" w:cs="Arial"/>
          <w:sz w:val="16"/>
          <w:szCs w:val="16"/>
          <w:shd w:val="clear" w:color="auto" w:fill="FFFFFF"/>
          <w:lang w:eastAsia="en-GB"/>
        </w:rPr>
        <w:t>Sold out?</w:t>
      </w:r>
      <w:proofErr w:type="gramEnd"/>
      <w:r w:rsidRPr="005F7AF6">
        <w:rPr>
          <w:rFonts w:ascii="Arial" w:eastAsia="Times New Roman" w:hAnsi="Arial" w:cs="Arial"/>
          <w:sz w:val="16"/>
          <w:szCs w:val="16"/>
          <w:shd w:val="clear" w:color="auto" w:fill="FFFFFF"/>
          <w:lang w:eastAsia="en-GB"/>
        </w:rPr>
        <w:t xml:space="preserve"> The right-to-buy, gentrification and working-class displacements in London. </w:t>
      </w:r>
      <w:r w:rsidRPr="005F7AF6">
        <w:rPr>
          <w:rFonts w:ascii="Arial" w:eastAsia="Times New Roman" w:hAnsi="Arial" w:cs="Arial"/>
          <w:i/>
          <w:iCs/>
          <w:sz w:val="16"/>
          <w:szCs w:val="16"/>
          <w:lang w:eastAsia="en-GB"/>
        </w:rPr>
        <w:t>The Sociological Review</w:t>
      </w:r>
      <w:r w:rsidRPr="005F7AF6">
        <w:rPr>
          <w:rFonts w:ascii="Arial" w:eastAsia="Times New Roman" w:hAnsi="Arial" w:cs="Arial"/>
          <w:sz w:val="16"/>
          <w:szCs w:val="16"/>
          <w:shd w:val="clear" w:color="auto" w:fill="FFFFFF"/>
          <w:lang w:eastAsia="en-GB"/>
        </w:rPr>
        <w:t xml:space="preserve">, </w:t>
      </w:r>
      <w:proofErr w:type="spellStart"/>
      <w:r w:rsidRPr="005F7AF6">
        <w:rPr>
          <w:rFonts w:ascii="Arial" w:hAnsi="Arial" w:cs="Arial"/>
          <w:sz w:val="16"/>
          <w:szCs w:val="16"/>
        </w:rPr>
        <w:t>doi</w:t>
      </w:r>
      <w:proofErr w:type="spellEnd"/>
      <w:r w:rsidRPr="005F7AF6">
        <w:rPr>
          <w:rFonts w:ascii="Arial" w:hAnsi="Arial" w:cs="Arial"/>
          <w:sz w:val="16"/>
          <w:szCs w:val="16"/>
        </w:rPr>
        <w:t>: 10.1177/0038026120906790</w:t>
      </w:r>
      <w:r w:rsidR="00D648B6">
        <w:rPr>
          <w:rFonts w:ascii="Arial" w:eastAsia="Times New Roman" w:hAnsi="Arial" w:cs="Arial"/>
          <w:sz w:val="16"/>
          <w:szCs w:val="16"/>
          <w:shd w:val="clear" w:color="auto" w:fill="FFFFFF"/>
          <w:lang w:eastAsia="en-GB"/>
        </w:rPr>
        <w:t>.</w:t>
      </w:r>
      <w:r w:rsidRPr="005F7AF6">
        <w:rPr>
          <w:rFonts w:ascii="Arial" w:eastAsia="Times New Roman" w:hAnsi="Arial" w:cs="Arial"/>
          <w:sz w:val="16"/>
          <w:szCs w:val="16"/>
          <w:shd w:val="clear" w:color="auto" w:fill="FFFFFF"/>
          <w:lang w:eastAsia="en-GB"/>
        </w:rPr>
        <w:t xml:space="preserve"> </w:t>
      </w:r>
    </w:p>
    <w:p w:rsidR="005F7AF6" w:rsidRPr="005F7AF6" w:rsidRDefault="005F7AF6" w:rsidP="007B5F35">
      <w:pPr>
        <w:pStyle w:val="ListParagraph"/>
        <w:numPr>
          <w:ilvl w:val="0"/>
          <w:numId w:val="4"/>
        </w:numPr>
        <w:jc w:val="both"/>
        <w:rPr>
          <w:rFonts w:ascii="Arial" w:eastAsia="Times New Roman" w:hAnsi="Arial" w:cs="Arial"/>
          <w:sz w:val="16"/>
          <w:szCs w:val="16"/>
          <w:shd w:val="clear" w:color="auto" w:fill="FFFFFF"/>
          <w:lang w:eastAsia="en-GB"/>
        </w:rPr>
      </w:pPr>
      <w:proofErr w:type="spellStart"/>
      <w:r w:rsidRPr="005F7AF6">
        <w:rPr>
          <w:rFonts w:ascii="Arial" w:hAnsi="Arial" w:cs="Arial"/>
          <w:sz w:val="16"/>
          <w:szCs w:val="16"/>
        </w:rPr>
        <w:t>Lees</w:t>
      </w:r>
      <w:proofErr w:type="gramStart"/>
      <w:r w:rsidRPr="005F7AF6">
        <w:rPr>
          <w:rFonts w:ascii="Arial" w:hAnsi="Arial" w:cs="Arial"/>
          <w:sz w:val="16"/>
          <w:szCs w:val="16"/>
        </w:rPr>
        <w:t>,L</w:t>
      </w:r>
      <w:proofErr w:type="spellEnd"/>
      <w:proofErr w:type="gramEnd"/>
      <w:r w:rsidRPr="005F7AF6">
        <w:rPr>
          <w:rFonts w:ascii="Arial" w:hAnsi="Arial" w:cs="Arial"/>
          <w:sz w:val="16"/>
          <w:szCs w:val="16"/>
        </w:rPr>
        <w:t xml:space="preserve">. and White, H. (2020) The social cleansing of London council estates: contemporary experiences of ‘accumulative dispossession’, </w:t>
      </w:r>
      <w:r w:rsidRPr="005F7AF6">
        <w:rPr>
          <w:rFonts w:ascii="Arial" w:hAnsi="Arial" w:cs="Arial"/>
          <w:i/>
          <w:sz w:val="16"/>
          <w:szCs w:val="16"/>
        </w:rPr>
        <w:t>Housing Studies</w:t>
      </w:r>
      <w:r w:rsidR="00D648B6">
        <w:rPr>
          <w:rFonts w:ascii="Arial" w:hAnsi="Arial" w:cs="Arial"/>
          <w:sz w:val="16"/>
          <w:szCs w:val="16"/>
        </w:rPr>
        <w:t>,</w:t>
      </w:r>
      <w:r w:rsidRPr="005F7AF6">
        <w:rPr>
          <w:rFonts w:ascii="Arial" w:hAnsi="Arial" w:cs="Arial"/>
          <w:sz w:val="16"/>
          <w:szCs w:val="16"/>
        </w:rPr>
        <w:t xml:space="preserve"> </w:t>
      </w:r>
      <w:proofErr w:type="spellStart"/>
      <w:r w:rsidRPr="005F7AF6">
        <w:rPr>
          <w:rFonts w:ascii="Arial" w:hAnsi="Arial" w:cs="Arial"/>
          <w:sz w:val="16"/>
          <w:szCs w:val="16"/>
        </w:rPr>
        <w:t>doi</w:t>
      </w:r>
      <w:proofErr w:type="spellEnd"/>
      <w:r w:rsidR="00D648B6">
        <w:rPr>
          <w:rFonts w:ascii="Arial" w:hAnsi="Arial" w:cs="Arial"/>
          <w:sz w:val="16"/>
          <w:szCs w:val="16"/>
        </w:rPr>
        <w:t>: 10.1080/02673037.2019.1680814.</w:t>
      </w:r>
    </w:p>
    <w:p w:rsidR="00B962E2" w:rsidRPr="00D648B6" w:rsidRDefault="00064ABC" w:rsidP="005F7AF6">
      <w:pPr>
        <w:pStyle w:val="ListParagraph"/>
        <w:numPr>
          <w:ilvl w:val="0"/>
          <w:numId w:val="4"/>
        </w:numPr>
        <w:jc w:val="both"/>
        <w:rPr>
          <w:rFonts w:ascii="Arial" w:eastAsia="Times New Roman" w:hAnsi="Arial" w:cs="Arial"/>
          <w:sz w:val="16"/>
          <w:szCs w:val="16"/>
          <w:shd w:val="clear" w:color="auto" w:fill="FFFFFF"/>
          <w:lang w:eastAsia="en-GB"/>
        </w:rPr>
      </w:pPr>
      <w:r w:rsidRPr="005F7AF6">
        <w:rPr>
          <w:rFonts w:ascii="Arial" w:eastAsia="Times New Roman" w:hAnsi="Arial" w:cs="Arial"/>
          <w:sz w:val="16"/>
          <w:szCs w:val="16"/>
          <w:shd w:val="clear" w:color="auto" w:fill="FFFFFF"/>
          <w:lang w:eastAsia="en-GB"/>
        </w:rPr>
        <w:t>Elliott-Cooper, A., Hubbard, P., &amp; Lees, L. (2019). Moving beyond Marcuse: Gentrification, displacement and the violence of un-homing. </w:t>
      </w:r>
      <w:r w:rsidRPr="005F7AF6">
        <w:rPr>
          <w:rFonts w:ascii="Arial" w:eastAsia="Times New Roman" w:hAnsi="Arial" w:cs="Arial"/>
          <w:i/>
          <w:iCs/>
          <w:sz w:val="16"/>
          <w:szCs w:val="16"/>
          <w:lang w:eastAsia="en-GB"/>
        </w:rPr>
        <w:t>Progress in Human Geography</w:t>
      </w:r>
      <w:r w:rsidR="00D648B6">
        <w:rPr>
          <w:rFonts w:ascii="Arial" w:eastAsia="Times New Roman" w:hAnsi="Arial" w:cs="Arial"/>
          <w:i/>
          <w:iCs/>
          <w:sz w:val="16"/>
          <w:szCs w:val="16"/>
          <w:lang w:eastAsia="en-GB"/>
        </w:rPr>
        <w:t>,</w:t>
      </w:r>
      <w:r w:rsidR="005F7AF6" w:rsidRPr="005F7AF6">
        <w:rPr>
          <w:rFonts w:ascii="Arial" w:hAnsi="Arial" w:cs="Arial"/>
          <w:sz w:val="16"/>
          <w:szCs w:val="16"/>
        </w:rPr>
        <w:t xml:space="preserve"> </w:t>
      </w:r>
      <w:proofErr w:type="spellStart"/>
      <w:r w:rsidR="005F7AF6" w:rsidRPr="005F7AF6">
        <w:rPr>
          <w:rFonts w:ascii="Arial" w:hAnsi="Arial" w:cs="Arial"/>
          <w:sz w:val="16"/>
          <w:szCs w:val="16"/>
        </w:rPr>
        <w:t>doi</w:t>
      </w:r>
      <w:proofErr w:type="spellEnd"/>
      <w:r w:rsidR="005F7AF6" w:rsidRPr="005F7AF6">
        <w:rPr>
          <w:rFonts w:ascii="Arial" w:hAnsi="Arial" w:cs="Arial"/>
          <w:sz w:val="16"/>
          <w:szCs w:val="16"/>
        </w:rPr>
        <w:t xml:space="preserve">: </w:t>
      </w:r>
      <w:hyperlink r:id="rId11" w:history="1">
        <w:r w:rsidR="005F7AF6" w:rsidRPr="005F7AF6">
          <w:rPr>
            <w:rStyle w:val="Hyperlink"/>
            <w:rFonts w:ascii="Arial" w:hAnsi="Arial" w:cs="Arial"/>
            <w:color w:val="auto"/>
            <w:sz w:val="16"/>
            <w:szCs w:val="16"/>
            <w:u w:val="none"/>
            <w:shd w:val="clear" w:color="auto" w:fill="FFFFFF"/>
          </w:rPr>
          <w:t>10.1177/0309132519830511</w:t>
        </w:r>
      </w:hyperlink>
      <w:r w:rsidR="00D648B6">
        <w:rPr>
          <w:rFonts w:ascii="Arial" w:eastAsia="Times New Roman" w:hAnsi="Arial" w:cs="Arial"/>
          <w:i/>
          <w:iCs/>
          <w:sz w:val="16"/>
          <w:szCs w:val="16"/>
          <w:lang w:eastAsia="en-GB"/>
        </w:rPr>
        <w:t>.</w:t>
      </w:r>
      <w:r w:rsidR="00DE7FDA" w:rsidRPr="005F7AF6">
        <w:rPr>
          <w:rFonts w:ascii="Arial" w:eastAsia="Times New Roman" w:hAnsi="Arial" w:cs="Arial"/>
          <w:i/>
          <w:iCs/>
          <w:sz w:val="16"/>
          <w:szCs w:val="16"/>
          <w:lang w:eastAsia="en-GB"/>
        </w:rPr>
        <w:t xml:space="preserve"> </w:t>
      </w:r>
    </w:p>
    <w:p w:rsidR="00D648B6" w:rsidRPr="005F7AF6" w:rsidRDefault="00D648B6" w:rsidP="00D648B6">
      <w:pPr>
        <w:pStyle w:val="ListParagraph"/>
        <w:numPr>
          <w:ilvl w:val="0"/>
          <w:numId w:val="4"/>
        </w:numPr>
        <w:jc w:val="both"/>
        <w:rPr>
          <w:rFonts w:ascii="Arial" w:eastAsia="Times New Roman" w:hAnsi="Arial" w:cs="Arial"/>
          <w:sz w:val="16"/>
          <w:szCs w:val="16"/>
          <w:shd w:val="clear" w:color="auto" w:fill="FFFFFF"/>
          <w:lang w:eastAsia="en-GB"/>
        </w:rPr>
      </w:pPr>
      <w:r w:rsidRPr="005F7AF6">
        <w:rPr>
          <w:rFonts w:ascii="Arial" w:eastAsia="Times New Roman" w:hAnsi="Arial" w:cs="Arial"/>
          <w:sz w:val="16"/>
          <w:szCs w:val="16"/>
          <w:shd w:val="clear" w:color="auto" w:fill="FFFFFF"/>
          <w:lang w:eastAsia="en-GB"/>
        </w:rPr>
        <w:t>Easton, S., Lees, L., Hubbard, P., &amp; Tate, N. (2020). Measuring and mapping displacement: The problem of quantification in th</w:t>
      </w:r>
      <w:r>
        <w:rPr>
          <w:rFonts w:ascii="Arial" w:eastAsia="Times New Roman" w:hAnsi="Arial" w:cs="Arial"/>
          <w:sz w:val="16"/>
          <w:szCs w:val="16"/>
          <w:shd w:val="clear" w:color="auto" w:fill="FFFFFF"/>
          <w:lang w:eastAsia="en-GB"/>
        </w:rPr>
        <w:t>e battle against gentrification,</w:t>
      </w:r>
      <w:r w:rsidRPr="005F7AF6">
        <w:rPr>
          <w:rFonts w:ascii="Arial" w:eastAsia="Times New Roman" w:hAnsi="Arial" w:cs="Arial"/>
          <w:sz w:val="16"/>
          <w:szCs w:val="16"/>
          <w:shd w:val="clear" w:color="auto" w:fill="FFFFFF"/>
          <w:lang w:eastAsia="en-GB"/>
        </w:rPr>
        <w:t> </w:t>
      </w:r>
      <w:r w:rsidRPr="005F7AF6">
        <w:rPr>
          <w:rFonts w:ascii="Arial" w:eastAsia="Times New Roman" w:hAnsi="Arial" w:cs="Arial"/>
          <w:i/>
          <w:iCs/>
          <w:sz w:val="16"/>
          <w:szCs w:val="16"/>
          <w:lang w:eastAsia="en-GB"/>
        </w:rPr>
        <w:t>Urban Studies</w:t>
      </w:r>
      <w:r w:rsidRPr="005F7AF6">
        <w:rPr>
          <w:rFonts w:ascii="Arial" w:eastAsia="Times New Roman" w:hAnsi="Arial" w:cs="Arial"/>
          <w:sz w:val="16"/>
          <w:szCs w:val="16"/>
          <w:shd w:val="clear" w:color="auto" w:fill="FFFFFF"/>
          <w:lang w:eastAsia="en-GB"/>
        </w:rPr>
        <w:t>, </w:t>
      </w:r>
      <w:r w:rsidRPr="005F7AF6">
        <w:rPr>
          <w:rFonts w:ascii="Arial" w:eastAsia="Times New Roman" w:hAnsi="Arial" w:cs="Arial"/>
          <w:i/>
          <w:iCs/>
          <w:sz w:val="16"/>
          <w:szCs w:val="16"/>
          <w:lang w:eastAsia="en-GB"/>
        </w:rPr>
        <w:t>57</w:t>
      </w:r>
      <w:r>
        <w:rPr>
          <w:rFonts w:ascii="Arial" w:eastAsia="Times New Roman" w:hAnsi="Arial" w:cs="Arial"/>
          <w:sz w:val="16"/>
          <w:szCs w:val="16"/>
          <w:shd w:val="clear" w:color="auto" w:fill="FFFFFF"/>
          <w:lang w:eastAsia="en-GB"/>
        </w:rPr>
        <w:t>(2), 286-306.</w:t>
      </w:r>
      <w:r w:rsidRPr="005F7AF6">
        <w:rPr>
          <w:rFonts w:ascii="Arial" w:eastAsia="Times New Roman" w:hAnsi="Arial" w:cs="Arial"/>
          <w:sz w:val="16"/>
          <w:szCs w:val="16"/>
          <w:shd w:val="clear" w:color="auto" w:fill="FFFFFF"/>
          <w:lang w:eastAsia="en-GB"/>
        </w:rPr>
        <w:t xml:space="preserve"> </w:t>
      </w:r>
    </w:p>
    <w:p w:rsidR="005F7AF6" w:rsidRPr="005F7AF6" w:rsidRDefault="005F7AF6" w:rsidP="005F7AF6">
      <w:pPr>
        <w:pStyle w:val="ListParagraph"/>
        <w:numPr>
          <w:ilvl w:val="0"/>
          <w:numId w:val="4"/>
        </w:numPr>
        <w:jc w:val="both"/>
        <w:rPr>
          <w:rFonts w:ascii="Arial" w:eastAsia="Times New Roman" w:hAnsi="Arial" w:cs="Arial"/>
          <w:color w:val="2E74B5" w:themeColor="accent5" w:themeShade="BF"/>
          <w:sz w:val="16"/>
          <w:szCs w:val="16"/>
          <w:lang w:eastAsia="en-GB"/>
        </w:rPr>
      </w:pPr>
      <w:r w:rsidRPr="005F7AF6">
        <w:rPr>
          <w:rFonts w:ascii="Arial" w:eastAsia="Times New Roman" w:hAnsi="Arial" w:cs="Arial"/>
          <w:sz w:val="16"/>
          <w:szCs w:val="16"/>
          <w:shd w:val="clear" w:color="auto" w:fill="FFFFFF"/>
          <w:lang w:eastAsia="en-GB"/>
        </w:rPr>
        <w:t>Hubbard, P., &amp; Lees, L. (2018). The right to community? Legal geographies of resistance on London's gentrification frontiers</w:t>
      </w:r>
      <w:r w:rsidR="00D648B6">
        <w:rPr>
          <w:rFonts w:ascii="Arial" w:eastAsia="Times New Roman" w:hAnsi="Arial" w:cs="Arial"/>
          <w:sz w:val="16"/>
          <w:szCs w:val="16"/>
          <w:shd w:val="clear" w:color="auto" w:fill="FFFFFF"/>
          <w:lang w:eastAsia="en-GB"/>
        </w:rPr>
        <w:t>,</w:t>
      </w:r>
      <w:r w:rsidRPr="005F7AF6">
        <w:rPr>
          <w:rFonts w:ascii="Arial" w:eastAsia="Times New Roman" w:hAnsi="Arial" w:cs="Arial"/>
          <w:sz w:val="16"/>
          <w:szCs w:val="16"/>
          <w:shd w:val="clear" w:color="auto" w:fill="FFFFFF"/>
          <w:lang w:eastAsia="en-GB"/>
        </w:rPr>
        <w:t> </w:t>
      </w:r>
      <w:r w:rsidRPr="005F7AF6">
        <w:rPr>
          <w:rFonts w:ascii="Arial" w:eastAsia="Times New Roman" w:hAnsi="Arial" w:cs="Arial"/>
          <w:i/>
          <w:iCs/>
          <w:sz w:val="16"/>
          <w:szCs w:val="16"/>
          <w:lang w:eastAsia="en-GB"/>
        </w:rPr>
        <w:t>City</w:t>
      </w:r>
      <w:r w:rsidRPr="005F7AF6">
        <w:rPr>
          <w:rFonts w:ascii="Arial" w:eastAsia="Times New Roman" w:hAnsi="Arial" w:cs="Arial"/>
          <w:sz w:val="16"/>
          <w:szCs w:val="16"/>
          <w:shd w:val="clear" w:color="auto" w:fill="FFFFFF"/>
          <w:lang w:eastAsia="en-GB"/>
        </w:rPr>
        <w:t>, </w:t>
      </w:r>
      <w:r w:rsidRPr="005F7AF6">
        <w:rPr>
          <w:rFonts w:ascii="Arial" w:eastAsia="Times New Roman" w:hAnsi="Arial" w:cs="Arial"/>
          <w:i/>
          <w:iCs/>
          <w:sz w:val="16"/>
          <w:szCs w:val="16"/>
          <w:lang w:eastAsia="en-GB"/>
        </w:rPr>
        <w:t>22</w:t>
      </w:r>
      <w:r w:rsidRPr="005F7AF6">
        <w:rPr>
          <w:rFonts w:ascii="Arial" w:eastAsia="Times New Roman" w:hAnsi="Arial" w:cs="Arial"/>
          <w:sz w:val="16"/>
          <w:szCs w:val="16"/>
          <w:shd w:val="clear" w:color="auto" w:fill="FFFFFF"/>
          <w:lang w:eastAsia="en-GB"/>
        </w:rPr>
        <w:t>(1), 8-25</w:t>
      </w:r>
      <w:r w:rsidRPr="005F7AF6">
        <w:rPr>
          <w:rFonts w:ascii="Arial" w:eastAsia="Times New Roman" w:hAnsi="Arial" w:cs="Arial"/>
          <w:color w:val="2F5496" w:themeColor="accent1" w:themeShade="BF"/>
          <w:sz w:val="16"/>
          <w:szCs w:val="16"/>
          <w:shd w:val="clear" w:color="auto" w:fill="FFFFFF"/>
          <w:lang w:eastAsia="en-GB"/>
        </w:rPr>
        <w:t>.</w:t>
      </w:r>
    </w:p>
    <w:p w:rsidR="005F7AF6" w:rsidRPr="005F7AF6" w:rsidRDefault="005F7AF6" w:rsidP="005F7AF6">
      <w:pPr>
        <w:jc w:val="both"/>
        <w:rPr>
          <w:rFonts w:ascii="Times New Roman" w:eastAsia="Times New Roman" w:hAnsi="Times New Roman" w:cs="Times New Roman"/>
          <w:color w:val="2E74B5" w:themeColor="accent5" w:themeShade="BF"/>
          <w:sz w:val="22"/>
          <w:szCs w:val="22"/>
          <w:lang w:eastAsia="en-GB"/>
        </w:rPr>
      </w:pPr>
    </w:p>
    <w:p w:rsidR="00B962E2" w:rsidRPr="00DE7FDA" w:rsidRDefault="0071116D" w:rsidP="005F7AF6">
      <w:pPr>
        <w:jc w:val="both"/>
        <w:rPr>
          <w:rFonts w:ascii="ArialMT" w:hAnsi="ArialMT"/>
          <w:color w:val="7F602D"/>
          <w:sz w:val="22"/>
          <w:szCs w:val="22"/>
        </w:rPr>
      </w:pPr>
      <w:r w:rsidRPr="00DE7FDA">
        <w:rPr>
          <w:rFonts w:ascii="ArialMT" w:hAnsi="ArialMT"/>
          <w:color w:val="7F602D"/>
          <w:sz w:val="22"/>
          <w:szCs w:val="22"/>
        </w:rPr>
        <w:t xml:space="preserve">Outputs and summaries of the research findings are available online </w:t>
      </w:r>
      <w:proofErr w:type="gramStart"/>
      <w:r w:rsidRPr="00DE7FDA">
        <w:rPr>
          <w:rFonts w:ascii="ArialMT" w:hAnsi="ArialMT"/>
          <w:color w:val="7F602D"/>
          <w:sz w:val="22"/>
          <w:szCs w:val="22"/>
        </w:rPr>
        <w:t>at:</w:t>
      </w:r>
      <w:proofErr w:type="gramEnd"/>
      <w:r w:rsidRPr="00DE7FDA">
        <w:rPr>
          <w:rFonts w:ascii="ArialMT" w:hAnsi="ArialMT"/>
          <w:color w:val="7F602D"/>
          <w:sz w:val="22"/>
          <w:szCs w:val="22"/>
        </w:rPr>
        <w:t xml:space="preserve"> </w:t>
      </w:r>
      <w:hyperlink r:id="rId12" w:history="1">
        <w:r w:rsidR="000835CC" w:rsidRPr="00503420">
          <w:rPr>
            <w:rStyle w:val="Hyperlink"/>
            <w:rFonts w:ascii="ArialMT" w:hAnsi="ArialMT"/>
            <w:sz w:val="22"/>
            <w:szCs w:val="22"/>
            <w:u w:val="none"/>
          </w:rPr>
          <w:t>https://www2.le.ac.uk/projects/estate-renewal</w:t>
        </w:r>
      </w:hyperlink>
      <w:r w:rsidR="000835CC" w:rsidRPr="00503420">
        <w:rPr>
          <w:rFonts w:ascii="ArialMT" w:hAnsi="ArialMT"/>
          <w:color w:val="7F602D"/>
          <w:sz w:val="22"/>
          <w:szCs w:val="22"/>
        </w:rPr>
        <w:t xml:space="preserve"> </w:t>
      </w:r>
    </w:p>
    <w:p w:rsidR="00CC54E3" w:rsidRPr="00DE7FDA" w:rsidRDefault="00B962E2" w:rsidP="00B962E2">
      <w:pPr>
        <w:pStyle w:val="NormalWeb"/>
        <w:jc w:val="both"/>
        <w:rPr>
          <w:rFonts w:ascii="ArialMT" w:hAnsi="ArialMT"/>
          <w:color w:val="7F602D"/>
          <w:sz w:val="22"/>
          <w:szCs w:val="22"/>
        </w:rPr>
        <w:sectPr w:rsidR="00CC54E3" w:rsidRPr="00DE7FDA" w:rsidSect="0071116D">
          <w:type w:val="continuous"/>
          <w:pgSz w:w="11900" w:h="16840"/>
          <w:pgMar w:top="1440" w:right="1440" w:bottom="1440" w:left="1440" w:header="708" w:footer="708" w:gutter="0"/>
          <w:cols w:space="720"/>
          <w:docGrid w:linePitch="360"/>
        </w:sectPr>
      </w:pPr>
      <w:r w:rsidRPr="00DE7FDA">
        <w:rPr>
          <w:rFonts w:ascii="ArialMT" w:hAnsi="ArialMT"/>
          <w:color w:val="7F602D"/>
          <w:sz w:val="22"/>
          <w:szCs w:val="22"/>
        </w:rPr>
        <w:t>C</w:t>
      </w:r>
      <w:r w:rsidR="0071116D" w:rsidRPr="00DE7FDA">
        <w:rPr>
          <w:rFonts w:ascii="ArialMT" w:hAnsi="ArialMT"/>
          <w:color w:val="7F602D"/>
          <w:sz w:val="22"/>
          <w:szCs w:val="22"/>
        </w:rPr>
        <w:t xml:space="preserve">ontact </w:t>
      </w:r>
      <w:hyperlink r:id="rId13" w:history="1">
        <w:r w:rsidR="00717CE3" w:rsidRPr="00503420">
          <w:rPr>
            <w:rStyle w:val="Hyperlink"/>
            <w:rFonts w:ascii="ArialMT" w:hAnsi="ArialMT"/>
            <w:sz w:val="22"/>
            <w:szCs w:val="22"/>
            <w:u w:val="none"/>
          </w:rPr>
          <w:t>loretta.lees@le.ac.uk</w:t>
        </w:r>
      </w:hyperlink>
      <w:r w:rsidR="0071116D" w:rsidRPr="00DE7FDA">
        <w:rPr>
          <w:rFonts w:ascii="ArialMT" w:hAnsi="ArialMT"/>
          <w:color w:val="0000FF"/>
          <w:sz w:val="22"/>
          <w:szCs w:val="22"/>
        </w:rPr>
        <w:t xml:space="preserve"> </w:t>
      </w:r>
      <w:r w:rsidR="0071116D" w:rsidRPr="00DE7FDA">
        <w:rPr>
          <w:rFonts w:ascii="ArialMT" w:hAnsi="ArialMT"/>
          <w:color w:val="7F602D"/>
          <w:sz w:val="22"/>
          <w:szCs w:val="22"/>
        </w:rPr>
        <w:t xml:space="preserve">for further details </w:t>
      </w:r>
      <w:r w:rsidR="00A84B92" w:rsidRPr="00DE7FDA">
        <w:rPr>
          <w:rFonts w:ascii="ArialMT" w:hAnsi="ArialMT"/>
          <w:color w:val="7F602D"/>
          <w:sz w:val="22"/>
          <w:szCs w:val="22"/>
        </w:rPr>
        <w:t>on the</w:t>
      </w:r>
      <w:r w:rsidR="0071116D" w:rsidRPr="00DE7FDA">
        <w:rPr>
          <w:rFonts w:ascii="ArialMT" w:hAnsi="ArialMT"/>
          <w:color w:val="7F602D"/>
          <w:sz w:val="22"/>
          <w:szCs w:val="22"/>
        </w:rPr>
        <w:t xml:space="preserve"> findings</w:t>
      </w:r>
      <w:r w:rsidR="00DE7FDA">
        <w:rPr>
          <w:rFonts w:ascii="ArialMT" w:hAnsi="ArialMT"/>
          <w:color w:val="7F602D"/>
          <w:sz w:val="22"/>
          <w:szCs w:val="22"/>
        </w:rPr>
        <w:t>.</w:t>
      </w:r>
    </w:p>
    <w:p w:rsidR="0071116D" w:rsidRDefault="0071116D" w:rsidP="00DE7FDA"/>
    <w:tbl>
      <w:tblPr>
        <w:tblStyle w:val="TableGrid"/>
        <w:tblW w:w="922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4223"/>
        <w:gridCol w:w="1680"/>
      </w:tblGrid>
      <w:tr w:rsidR="00CC54E3" w:rsidTr="00CC54E3">
        <w:trPr>
          <w:trHeight w:val="1229"/>
        </w:trPr>
        <w:tc>
          <w:tcPr>
            <w:tcW w:w="2898" w:type="dxa"/>
          </w:tcPr>
          <w:p w:rsidR="00CC54E3" w:rsidRDefault="00CC54E3" w:rsidP="00CC54E3"/>
          <w:p w:rsidR="00CC54E3" w:rsidRDefault="00CC54E3" w:rsidP="00CC54E3">
            <w:r>
              <w:rPr>
                <w:noProof/>
                <w:lang w:eastAsia="en-GB"/>
              </w:rPr>
              <w:drawing>
                <wp:inline distT="0" distB="0" distL="0" distR="0" wp14:anchorId="5FB7A653" wp14:editId="23749CA4">
                  <wp:extent cx="1969992" cy="56243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RI_ESR_Council-Logo_Horiz-RGB.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42187" cy="583042"/>
                          </a:xfrm>
                          <a:prstGeom prst="rect">
                            <a:avLst/>
                          </a:prstGeom>
                        </pic:spPr>
                      </pic:pic>
                    </a:graphicData>
                  </a:graphic>
                </wp:inline>
              </w:drawing>
            </w:r>
          </w:p>
        </w:tc>
        <w:tc>
          <w:tcPr>
            <w:tcW w:w="4615" w:type="dxa"/>
          </w:tcPr>
          <w:p w:rsidR="00CC54E3" w:rsidRDefault="00CC54E3" w:rsidP="00CC54E3"/>
          <w:p w:rsidR="00CC54E3" w:rsidRDefault="00CC54E3" w:rsidP="00CC54E3">
            <w:r>
              <w:fldChar w:fldCharType="begin"/>
            </w:r>
            <w:r w:rsidR="006A1C27">
              <w:instrText xml:space="preserve"> INCLUDEPICTURE "C:\\var\\folders\\yn\\qb8xsvnj41v5kj57sc2y4j2c0000gn\\T\\com.microsoft.Word\\WebArchiveCopyPasteTempFiles\\University_of_Leicester_logo_pillars.jpg" \* MERGEFORMAT </w:instrText>
            </w:r>
            <w:r>
              <w:fldChar w:fldCharType="separate"/>
            </w:r>
            <w:r>
              <w:rPr>
                <w:noProof/>
                <w:lang w:eastAsia="en-GB"/>
              </w:rPr>
              <w:drawing>
                <wp:inline distT="0" distB="0" distL="0" distR="0" wp14:anchorId="4BA9F4ED" wp14:editId="52260E86">
                  <wp:extent cx="2223331" cy="592560"/>
                  <wp:effectExtent l="0" t="0" r="0" b="4445"/>
                  <wp:docPr id="4" name="Picture 4" descr="Image result for university of leices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university of leicester lo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9233" cy="620785"/>
                          </a:xfrm>
                          <a:prstGeom prst="rect">
                            <a:avLst/>
                          </a:prstGeom>
                          <a:noFill/>
                          <a:ln>
                            <a:noFill/>
                          </a:ln>
                        </pic:spPr>
                      </pic:pic>
                    </a:graphicData>
                  </a:graphic>
                </wp:inline>
              </w:drawing>
            </w:r>
            <w:r>
              <w:fldChar w:fldCharType="end"/>
            </w:r>
          </w:p>
          <w:p w:rsidR="00CC54E3" w:rsidRDefault="00CC54E3" w:rsidP="00CC54E3"/>
        </w:tc>
        <w:tc>
          <w:tcPr>
            <w:tcW w:w="1708" w:type="dxa"/>
          </w:tcPr>
          <w:p w:rsidR="00CC54E3" w:rsidRDefault="00CC54E3" w:rsidP="00CC54E3">
            <w:r>
              <w:t xml:space="preserve">  </w:t>
            </w:r>
          </w:p>
          <w:p w:rsidR="00CC54E3" w:rsidRDefault="00CC54E3" w:rsidP="00CC54E3">
            <w:r>
              <w:rPr>
                <w:noProof/>
                <w:lang w:eastAsia="en-GB"/>
              </w:rPr>
              <w:drawing>
                <wp:inline distT="0" distB="0" distL="0" distR="0" wp14:anchorId="01ABCFB7" wp14:editId="374C4B50">
                  <wp:extent cx="907576" cy="6907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87px-King's_College_London_logo.svg.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63618" cy="733397"/>
                          </a:xfrm>
                          <a:prstGeom prst="rect">
                            <a:avLst/>
                          </a:prstGeom>
                        </pic:spPr>
                      </pic:pic>
                    </a:graphicData>
                  </a:graphic>
                </wp:inline>
              </w:drawing>
            </w:r>
          </w:p>
          <w:p w:rsidR="00CC54E3" w:rsidRDefault="00CC54E3" w:rsidP="00CC54E3"/>
        </w:tc>
      </w:tr>
    </w:tbl>
    <w:p w:rsidR="007C27B3" w:rsidRDefault="007C27B3" w:rsidP="00841BF5"/>
    <w:sectPr w:rsidR="007C27B3" w:rsidSect="007C27B3">
      <w:type w:val="continuous"/>
      <w:pgSz w:w="11900" w:h="16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MT">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A53D8"/>
    <w:multiLevelType w:val="hybridMultilevel"/>
    <w:tmpl w:val="E1DC57BE"/>
    <w:lvl w:ilvl="0" w:tplc="4E36BF04">
      <w:start w:val="1"/>
      <w:numFmt w:val="decimal"/>
      <w:lvlText w:val="(%1)"/>
      <w:lvlJc w:val="left"/>
      <w:pPr>
        <w:ind w:left="720" w:hanging="360"/>
      </w:pPr>
      <w:rPr>
        <w:rFonts w:ascii="Arial" w:eastAsia="Times New Roman" w:hAnsi="Arial" w:cs="Arial"/>
        <w:color w:val="7F602D"/>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17792B"/>
    <w:multiLevelType w:val="hybridMultilevel"/>
    <w:tmpl w:val="A540274E"/>
    <w:lvl w:ilvl="0" w:tplc="3D6253A8">
      <w:start w:val="1"/>
      <w:numFmt w:val="decimal"/>
      <w:lvlText w:val="%1."/>
      <w:lvlJc w:val="left"/>
      <w:pPr>
        <w:ind w:left="952" w:hanging="360"/>
      </w:pPr>
      <w:rPr>
        <w:rFonts w:hint="default"/>
      </w:rPr>
    </w:lvl>
    <w:lvl w:ilvl="1" w:tplc="08090019" w:tentative="1">
      <w:start w:val="1"/>
      <w:numFmt w:val="lowerLetter"/>
      <w:lvlText w:val="%2."/>
      <w:lvlJc w:val="left"/>
      <w:pPr>
        <w:ind w:left="1672" w:hanging="360"/>
      </w:pPr>
    </w:lvl>
    <w:lvl w:ilvl="2" w:tplc="0809001B" w:tentative="1">
      <w:start w:val="1"/>
      <w:numFmt w:val="lowerRoman"/>
      <w:lvlText w:val="%3."/>
      <w:lvlJc w:val="right"/>
      <w:pPr>
        <w:ind w:left="2392" w:hanging="180"/>
      </w:pPr>
    </w:lvl>
    <w:lvl w:ilvl="3" w:tplc="0809000F" w:tentative="1">
      <w:start w:val="1"/>
      <w:numFmt w:val="decimal"/>
      <w:lvlText w:val="%4."/>
      <w:lvlJc w:val="left"/>
      <w:pPr>
        <w:ind w:left="3112" w:hanging="360"/>
      </w:pPr>
    </w:lvl>
    <w:lvl w:ilvl="4" w:tplc="08090019" w:tentative="1">
      <w:start w:val="1"/>
      <w:numFmt w:val="lowerLetter"/>
      <w:lvlText w:val="%5."/>
      <w:lvlJc w:val="left"/>
      <w:pPr>
        <w:ind w:left="3832" w:hanging="360"/>
      </w:pPr>
    </w:lvl>
    <w:lvl w:ilvl="5" w:tplc="0809001B" w:tentative="1">
      <w:start w:val="1"/>
      <w:numFmt w:val="lowerRoman"/>
      <w:lvlText w:val="%6."/>
      <w:lvlJc w:val="right"/>
      <w:pPr>
        <w:ind w:left="4552" w:hanging="180"/>
      </w:pPr>
    </w:lvl>
    <w:lvl w:ilvl="6" w:tplc="0809000F" w:tentative="1">
      <w:start w:val="1"/>
      <w:numFmt w:val="decimal"/>
      <w:lvlText w:val="%7."/>
      <w:lvlJc w:val="left"/>
      <w:pPr>
        <w:ind w:left="5272" w:hanging="360"/>
      </w:pPr>
    </w:lvl>
    <w:lvl w:ilvl="7" w:tplc="08090019" w:tentative="1">
      <w:start w:val="1"/>
      <w:numFmt w:val="lowerLetter"/>
      <w:lvlText w:val="%8."/>
      <w:lvlJc w:val="left"/>
      <w:pPr>
        <w:ind w:left="5992" w:hanging="360"/>
      </w:pPr>
    </w:lvl>
    <w:lvl w:ilvl="8" w:tplc="0809001B" w:tentative="1">
      <w:start w:val="1"/>
      <w:numFmt w:val="lowerRoman"/>
      <w:lvlText w:val="%9."/>
      <w:lvlJc w:val="right"/>
      <w:pPr>
        <w:ind w:left="6712" w:hanging="180"/>
      </w:pPr>
    </w:lvl>
  </w:abstractNum>
  <w:abstractNum w:abstractNumId="2" w15:restartNumberingAfterBreak="0">
    <w:nsid w:val="1AE73318"/>
    <w:multiLevelType w:val="hybridMultilevel"/>
    <w:tmpl w:val="B50AB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3F1D44"/>
    <w:multiLevelType w:val="hybridMultilevel"/>
    <w:tmpl w:val="89400778"/>
    <w:lvl w:ilvl="0" w:tplc="09381156">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16D"/>
    <w:rsid w:val="0002368F"/>
    <w:rsid w:val="00055F25"/>
    <w:rsid w:val="00064ABC"/>
    <w:rsid w:val="000835CC"/>
    <w:rsid w:val="00121F72"/>
    <w:rsid w:val="001862A9"/>
    <w:rsid w:val="001925AD"/>
    <w:rsid w:val="001A24C9"/>
    <w:rsid w:val="001B3AB3"/>
    <w:rsid w:val="001C77A5"/>
    <w:rsid w:val="0020588C"/>
    <w:rsid w:val="002172FC"/>
    <w:rsid w:val="00240A91"/>
    <w:rsid w:val="00251D2D"/>
    <w:rsid w:val="0026773A"/>
    <w:rsid w:val="00292D03"/>
    <w:rsid w:val="00297BD9"/>
    <w:rsid w:val="002A3610"/>
    <w:rsid w:val="00331A6A"/>
    <w:rsid w:val="0049010B"/>
    <w:rsid w:val="00503420"/>
    <w:rsid w:val="00533A2A"/>
    <w:rsid w:val="005530EE"/>
    <w:rsid w:val="005F7AF6"/>
    <w:rsid w:val="0062376D"/>
    <w:rsid w:val="00656DBC"/>
    <w:rsid w:val="006A1C27"/>
    <w:rsid w:val="006B0FB3"/>
    <w:rsid w:val="006D1AF9"/>
    <w:rsid w:val="0071116D"/>
    <w:rsid w:val="00717CE3"/>
    <w:rsid w:val="00722E03"/>
    <w:rsid w:val="007C27B3"/>
    <w:rsid w:val="008013C8"/>
    <w:rsid w:val="00841BF5"/>
    <w:rsid w:val="00860CAA"/>
    <w:rsid w:val="00874EFB"/>
    <w:rsid w:val="008A2B8D"/>
    <w:rsid w:val="0094396C"/>
    <w:rsid w:val="009B0B4C"/>
    <w:rsid w:val="00A13A37"/>
    <w:rsid w:val="00A260CB"/>
    <w:rsid w:val="00A84B92"/>
    <w:rsid w:val="00AA14D0"/>
    <w:rsid w:val="00AD4EA8"/>
    <w:rsid w:val="00B266A9"/>
    <w:rsid w:val="00B40A4B"/>
    <w:rsid w:val="00B700F4"/>
    <w:rsid w:val="00B962E2"/>
    <w:rsid w:val="00BE4C94"/>
    <w:rsid w:val="00C61677"/>
    <w:rsid w:val="00CB74F0"/>
    <w:rsid w:val="00CC54E3"/>
    <w:rsid w:val="00CC6D3A"/>
    <w:rsid w:val="00D019FB"/>
    <w:rsid w:val="00D648B6"/>
    <w:rsid w:val="00DA3E38"/>
    <w:rsid w:val="00DA4EDE"/>
    <w:rsid w:val="00DE7FDA"/>
    <w:rsid w:val="00DF24E3"/>
    <w:rsid w:val="00E34F26"/>
    <w:rsid w:val="00E45590"/>
    <w:rsid w:val="00E763C9"/>
    <w:rsid w:val="00F02C73"/>
    <w:rsid w:val="00F07562"/>
    <w:rsid w:val="00F22E40"/>
    <w:rsid w:val="00F261BE"/>
    <w:rsid w:val="00FF0841"/>
    <w:rsid w:val="00FF74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0EE9"/>
  <w15:chartTrackingRefBased/>
  <w15:docId w15:val="{3648C185-C1E4-4A46-8329-51E91DE1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61677"/>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1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116D"/>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71116D"/>
    <w:rPr>
      <w:color w:val="0563C1" w:themeColor="hyperlink"/>
      <w:u w:val="single"/>
    </w:rPr>
  </w:style>
  <w:style w:type="character" w:customStyle="1" w:styleId="UnresolvedMention1">
    <w:name w:val="Unresolved Mention1"/>
    <w:basedOn w:val="DefaultParagraphFont"/>
    <w:uiPriority w:val="99"/>
    <w:semiHidden/>
    <w:unhideWhenUsed/>
    <w:rsid w:val="0071116D"/>
    <w:rPr>
      <w:color w:val="605E5C"/>
      <w:shd w:val="clear" w:color="auto" w:fill="E1DFDD"/>
    </w:rPr>
  </w:style>
  <w:style w:type="paragraph" w:styleId="BalloonText">
    <w:name w:val="Balloon Text"/>
    <w:basedOn w:val="Normal"/>
    <w:link w:val="BalloonTextChar"/>
    <w:uiPriority w:val="99"/>
    <w:semiHidden/>
    <w:unhideWhenUsed/>
    <w:rsid w:val="00E34F2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34F26"/>
    <w:rPr>
      <w:rFonts w:ascii="Times New Roman" w:hAnsi="Times New Roman" w:cs="Times New Roman"/>
      <w:sz w:val="18"/>
      <w:szCs w:val="18"/>
    </w:rPr>
  </w:style>
  <w:style w:type="paragraph" w:styleId="ListParagraph">
    <w:name w:val="List Paragraph"/>
    <w:basedOn w:val="Normal"/>
    <w:uiPriority w:val="34"/>
    <w:qFormat/>
    <w:rsid w:val="00C61677"/>
    <w:pPr>
      <w:ind w:left="720"/>
      <w:contextualSpacing/>
    </w:pPr>
  </w:style>
  <w:style w:type="character" w:customStyle="1" w:styleId="Heading2Char">
    <w:name w:val="Heading 2 Char"/>
    <w:basedOn w:val="DefaultParagraphFont"/>
    <w:link w:val="Heading2"/>
    <w:uiPriority w:val="9"/>
    <w:rsid w:val="00C61677"/>
    <w:rPr>
      <w:rFonts w:ascii="Times New Roman" w:eastAsia="Times New Roman" w:hAnsi="Times New Roman" w:cs="Times New Roman"/>
      <w:b/>
      <w:bCs/>
      <w:sz w:val="36"/>
      <w:szCs w:val="36"/>
      <w:lang w:eastAsia="en-GB"/>
    </w:rPr>
  </w:style>
  <w:style w:type="character" w:customStyle="1" w:styleId="s1">
    <w:name w:val="s1"/>
    <w:basedOn w:val="DefaultParagraphFont"/>
    <w:rsid w:val="0026773A"/>
  </w:style>
  <w:style w:type="character" w:styleId="FollowedHyperlink">
    <w:name w:val="FollowedHyperlink"/>
    <w:basedOn w:val="DefaultParagraphFont"/>
    <w:uiPriority w:val="99"/>
    <w:semiHidden/>
    <w:unhideWhenUsed/>
    <w:rsid w:val="000835CC"/>
    <w:rPr>
      <w:color w:val="954F72" w:themeColor="followedHyperlink"/>
      <w:u w:val="single"/>
    </w:rPr>
  </w:style>
  <w:style w:type="character" w:customStyle="1" w:styleId="apple-converted-space">
    <w:name w:val="apple-converted-space"/>
    <w:basedOn w:val="DefaultParagraphFont"/>
    <w:rsid w:val="00064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3911">
      <w:bodyDiv w:val="1"/>
      <w:marLeft w:val="0"/>
      <w:marRight w:val="0"/>
      <w:marTop w:val="0"/>
      <w:marBottom w:val="0"/>
      <w:divBdr>
        <w:top w:val="none" w:sz="0" w:space="0" w:color="auto"/>
        <w:left w:val="none" w:sz="0" w:space="0" w:color="auto"/>
        <w:bottom w:val="none" w:sz="0" w:space="0" w:color="auto"/>
        <w:right w:val="none" w:sz="0" w:space="0" w:color="auto"/>
      </w:divBdr>
      <w:divsChild>
        <w:div w:id="1226988727">
          <w:marLeft w:val="0"/>
          <w:marRight w:val="0"/>
          <w:marTop w:val="0"/>
          <w:marBottom w:val="0"/>
          <w:divBdr>
            <w:top w:val="none" w:sz="0" w:space="0" w:color="auto"/>
            <w:left w:val="none" w:sz="0" w:space="0" w:color="auto"/>
            <w:bottom w:val="none" w:sz="0" w:space="0" w:color="auto"/>
            <w:right w:val="none" w:sz="0" w:space="0" w:color="auto"/>
          </w:divBdr>
          <w:divsChild>
            <w:div w:id="325667343">
              <w:marLeft w:val="0"/>
              <w:marRight w:val="0"/>
              <w:marTop w:val="0"/>
              <w:marBottom w:val="0"/>
              <w:divBdr>
                <w:top w:val="none" w:sz="0" w:space="0" w:color="auto"/>
                <w:left w:val="none" w:sz="0" w:space="0" w:color="auto"/>
                <w:bottom w:val="none" w:sz="0" w:space="0" w:color="auto"/>
                <w:right w:val="none" w:sz="0" w:space="0" w:color="auto"/>
              </w:divBdr>
              <w:divsChild>
                <w:div w:id="955793206">
                  <w:marLeft w:val="0"/>
                  <w:marRight w:val="0"/>
                  <w:marTop w:val="0"/>
                  <w:marBottom w:val="0"/>
                  <w:divBdr>
                    <w:top w:val="none" w:sz="0" w:space="0" w:color="auto"/>
                    <w:left w:val="none" w:sz="0" w:space="0" w:color="auto"/>
                    <w:bottom w:val="none" w:sz="0" w:space="0" w:color="auto"/>
                    <w:right w:val="none" w:sz="0" w:space="0" w:color="auto"/>
                  </w:divBdr>
                  <w:divsChild>
                    <w:div w:id="11694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79757">
      <w:bodyDiv w:val="1"/>
      <w:marLeft w:val="0"/>
      <w:marRight w:val="0"/>
      <w:marTop w:val="0"/>
      <w:marBottom w:val="0"/>
      <w:divBdr>
        <w:top w:val="none" w:sz="0" w:space="0" w:color="auto"/>
        <w:left w:val="none" w:sz="0" w:space="0" w:color="auto"/>
        <w:bottom w:val="none" w:sz="0" w:space="0" w:color="auto"/>
        <w:right w:val="none" w:sz="0" w:space="0" w:color="auto"/>
      </w:divBdr>
      <w:divsChild>
        <w:div w:id="1530798549">
          <w:marLeft w:val="0"/>
          <w:marRight w:val="0"/>
          <w:marTop w:val="0"/>
          <w:marBottom w:val="0"/>
          <w:divBdr>
            <w:top w:val="none" w:sz="0" w:space="0" w:color="auto"/>
            <w:left w:val="none" w:sz="0" w:space="0" w:color="auto"/>
            <w:bottom w:val="none" w:sz="0" w:space="0" w:color="auto"/>
            <w:right w:val="none" w:sz="0" w:space="0" w:color="auto"/>
          </w:divBdr>
          <w:divsChild>
            <w:div w:id="1094130916">
              <w:marLeft w:val="0"/>
              <w:marRight w:val="0"/>
              <w:marTop w:val="0"/>
              <w:marBottom w:val="0"/>
              <w:divBdr>
                <w:top w:val="none" w:sz="0" w:space="0" w:color="auto"/>
                <w:left w:val="none" w:sz="0" w:space="0" w:color="auto"/>
                <w:bottom w:val="none" w:sz="0" w:space="0" w:color="auto"/>
                <w:right w:val="none" w:sz="0" w:space="0" w:color="auto"/>
              </w:divBdr>
              <w:divsChild>
                <w:div w:id="12914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440763">
      <w:bodyDiv w:val="1"/>
      <w:marLeft w:val="0"/>
      <w:marRight w:val="0"/>
      <w:marTop w:val="0"/>
      <w:marBottom w:val="0"/>
      <w:divBdr>
        <w:top w:val="none" w:sz="0" w:space="0" w:color="auto"/>
        <w:left w:val="none" w:sz="0" w:space="0" w:color="auto"/>
        <w:bottom w:val="none" w:sz="0" w:space="0" w:color="auto"/>
        <w:right w:val="none" w:sz="0" w:space="0" w:color="auto"/>
      </w:divBdr>
      <w:divsChild>
        <w:div w:id="720524158">
          <w:marLeft w:val="0"/>
          <w:marRight w:val="0"/>
          <w:marTop w:val="0"/>
          <w:marBottom w:val="0"/>
          <w:divBdr>
            <w:top w:val="none" w:sz="0" w:space="0" w:color="auto"/>
            <w:left w:val="none" w:sz="0" w:space="0" w:color="auto"/>
            <w:bottom w:val="none" w:sz="0" w:space="0" w:color="auto"/>
            <w:right w:val="none" w:sz="0" w:space="0" w:color="auto"/>
          </w:divBdr>
          <w:divsChild>
            <w:div w:id="510804941">
              <w:marLeft w:val="0"/>
              <w:marRight w:val="0"/>
              <w:marTop w:val="0"/>
              <w:marBottom w:val="0"/>
              <w:divBdr>
                <w:top w:val="none" w:sz="0" w:space="0" w:color="auto"/>
                <w:left w:val="none" w:sz="0" w:space="0" w:color="auto"/>
                <w:bottom w:val="none" w:sz="0" w:space="0" w:color="auto"/>
                <w:right w:val="none" w:sz="0" w:space="0" w:color="auto"/>
              </w:divBdr>
              <w:divsChild>
                <w:div w:id="19527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253124">
      <w:bodyDiv w:val="1"/>
      <w:marLeft w:val="0"/>
      <w:marRight w:val="0"/>
      <w:marTop w:val="0"/>
      <w:marBottom w:val="0"/>
      <w:divBdr>
        <w:top w:val="none" w:sz="0" w:space="0" w:color="auto"/>
        <w:left w:val="none" w:sz="0" w:space="0" w:color="auto"/>
        <w:bottom w:val="none" w:sz="0" w:space="0" w:color="auto"/>
        <w:right w:val="none" w:sz="0" w:space="0" w:color="auto"/>
      </w:divBdr>
    </w:div>
    <w:div w:id="448669056">
      <w:bodyDiv w:val="1"/>
      <w:marLeft w:val="0"/>
      <w:marRight w:val="0"/>
      <w:marTop w:val="0"/>
      <w:marBottom w:val="0"/>
      <w:divBdr>
        <w:top w:val="none" w:sz="0" w:space="0" w:color="auto"/>
        <w:left w:val="none" w:sz="0" w:space="0" w:color="auto"/>
        <w:bottom w:val="none" w:sz="0" w:space="0" w:color="auto"/>
        <w:right w:val="none" w:sz="0" w:space="0" w:color="auto"/>
      </w:divBdr>
      <w:divsChild>
        <w:div w:id="1699698661">
          <w:marLeft w:val="0"/>
          <w:marRight w:val="0"/>
          <w:marTop w:val="0"/>
          <w:marBottom w:val="0"/>
          <w:divBdr>
            <w:top w:val="none" w:sz="0" w:space="0" w:color="auto"/>
            <w:left w:val="none" w:sz="0" w:space="0" w:color="auto"/>
            <w:bottom w:val="none" w:sz="0" w:space="0" w:color="auto"/>
            <w:right w:val="none" w:sz="0" w:space="0" w:color="auto"/>
          </w:divBdr>
          <w:divsChild>
            <w:div w:id="1572932127">
              <w:marLeft w:val="0"/>
              <w:marRight w:val="0"/>
              <w:marTop w:val="0"/>
              <w:marBottom w:val="0"/>
              <w:divBdr>
                <w:top w:val="none" w:sz="0" w:space="0" w:color="auto"/>
                <w:left w:val="none" w:sz="0" w:space="0" w:color="auto"/>
                <w:bottom w:val="none" w:sz="0" w:space="0" w:color="auto"/>
                <w:right w:val="none" w:sz="0" w:space="0" w:color="auto"/>
              </w:divBdr>
              <w:divsChild>
                <w:div w:id="12496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726552">
      <w:bodyDiv w:val="1"/>
      <w:marLeft w:val="0"/>
      <w:marRight w:val="0"/>
      <w:marTop w:val="0"/>
      <w:marBottom w:val="0"/>
      <w:divBdr>
        <w:top w:val="none" w:sz="0" w:space="0" w:color="auto"/>
        <w:left w:val="none" w:sz="0" w:space="0" w:color="auto"/>
        <w:bottom w:val="none" w:sz="0" w:space="0" w:color="auto"/>
        <w:right w:val="none" w:sz="0" w:space="0" w:color="auto"/>
      </w:divBdr>
    </w:div>
    <w:div w:id="570428242">
      <w:bodyDiv w:val="1"/>
      <w:marLeft w:val="0"/>
      <w:marRight w:val="0"/>
      <w:marTop w:val="0"/>
      <w:marBottom w:val="0"/>
      <w:divBdr>
        <w:top w:val="none" w:sz="0" w:space="0" w:color="auto"/>
        <w:left w:val="none" w:sz="0" w:space="0" w:color="auto"/>
        <w:bottom w:val="none" w:sz="0" w:space="0" w:color="auto"/>
        <w:right w:val="none" w:sz="0" w:space="0" w:color="auto"/>
      </w:divBdr>
      <w:divsChild>
        <w:div w:id="1996369607">
          <w:marLeft w:val="0"/>
          <w:marRight w:val="0"/>
          <w:marTop w:val="0"/>
          <w:marBottom w:val="0"/>
          <w:divBdr>
            <w:top w:val="none" w:sz="0" w:space="0" w:color="auto"/>
            <w:left w:val="none" w:sz="0" w:space="0" w:color="auto"/>
            <w:bottom w:val="none" w:sz="0" w:space="0" w:color="auto"/>
            <w:right w:val="none" w:sz="0" w:space="0" w:color="auto"/>
          </w:divBdr>
          <w:divsChild>
            <w:div w:id="664668053">
              <w:marLeft w:val="0"/>
              <w:marRight w:val="0"/>
              <w:marTop w:val="0"/>
              <w:marBottom w:val="0"/>
              <w:divBdr>
                <w:top w:val="none" w:sz="0" w:space="0" w:color="auto"/>
                <w:left w:val="none" w:sz="0" w:space="0" w:color="auto"/>
                <w:bottom w:val="none" w:sz="0" w:space="0" w:color="auto"/>
                <w:right w:val="none" w:sz="0" w:space="0" w:color="auto"/>
              </w:divBdr>
              <w:divsChild>
                <w:div w:id="8959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726116">
      <w:bodyDiv w:val="1"/>
      <w:marLeft w:val="0"/>
      <w:marRight w:val="0"/>
      <w:marTop w:val="0"/>
      <w:marBottom w:val="0"/>
      <w:divBdr>
        <w:top w:val="none" w:sz="0" w:space="0" w:color="auto"/>
        <w:left w:val="none" w:sz="0" w:space="0" w:color="auto"/>
        <w:bottom w:val="none" w:sz="0" w:space="0" w:color="auto"/>
        <w:right w:val="none" w:sz="0" w:space="0" w:color="auto"/>
      </w:divBdr>
      <w:divsChild>
        <w:div w:id="15204767">
          <w:marLeft w:val="0"/>
          <w:marRight w:val="0"/>
          <w:marTop w:val="0"/>
          <w:marBottom w:val="0"/>
          <w:divBdr>
            <w:top w:val="none" w:sz="0" w:space="0" w:color="auto"/>
            <w:left w:val="none" w:sz="0" w:space="0" w:color="auto"/>
            <w:bottom w:val="none" w:sz="0" w:space="0" w:color="auto"/>
            <w:right w:val="none" w:sz="0" w:space="0" w:color="auto"/>
          </w:divBdr>
          <w:divsChild>
            <w:div w:id="251205350">
              <w:marLeft w:val="0"/>
              <w:marRight w:val="0"/>
              <w:marTop w:val="0"/>
              <w:marBottom w:val="0"/>
              <w:divBdr>
                <w:top w:val="none" w:sz="0" w:space="0" w:color="auto"/>
                <w:left w:val="none" w:sz="0" w:space="0" w:color="auto"/>
                <w:bottom w:val="none" w:sz="0" w:space="0" w:color="auto"/>
                <w:right w:val="none" w:sz="0" w:space="0" w:color="auto"/>
              </w:divBdr>
              <w:divsChild>
                <w:div w:id="1737167150">
                  <w:marLeft w:val="0"/>
                  <w:marRight w:val="0"/>
                  <w:marTop w:val="0"/>
                  <w:marBottom w:val="0"/>
                  <w:divBdr>
                    <w:top w:val="none" w:sz="0" w:space="0" w:color="auto"/>
                    <w:left w:val="none" w:sz="0" w:space="0" w:color="auto"/>
                    <w:bottom w:val="none" w:sz="0" w:space="0" w:color="auto"/>
                    <w:right w:val="none" w:sz="0" w:space="0" w:color="auto"/>
                  </w:divBdr>
                  <w:divsChild>
                    <w:div w:id="203110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934965">
      <w:bodyDiv w:val="1"/>
      <w:marLeft w:val="0"/>
      <w:marRight w:val="0"/>
      <w:marTop w:val="0"/>
      <w:marBottom w:val="0"/>
      <w:divBdr>
        <w:top w:val="none" w:sz="0" w:space="0" w:color="auto"/>
        <w:left w:val="none" w:sz="0" w:space="0" w:color="auto"/>
        <w:bottom w:val="none" w:sz="0" w:space="0" w:color="auto"/>
        <w:right w:val="none" w:sz="0" w:space="0" w:color="auto"/>
      </w:divBdr>
      <w:divsChild>
        <w:div w:id="124936687">
          <w:marLeft w:val="0"/>
          <w:marRight w:val="0"/>
          <w:marTop w:val="0"/>
          <w:marBottom w:val="0"/>
          <w:divBdr>
            <w:top w:val="none" w:sz="0" w:space="0" w:color="auto"/>
            <w:left w:val="none" w:sz="0" w:space="0" w:color="auto"/>
            <w:bottom w:val="none" w:sz="0" w:space="0" w:color="auto"/>
            <w:right w:val="none" w:sz="0" w:space="0" w:color="auto"/>
          </w:divBdr>
          <w:divsChild>
            <w:div w:id="712467189">
              <w:marLeft w:val="0"/>
              <w:marRight w:val="0"/>
              <w:marTop w:val="0"/>
              <w:marBottom w:val="0"/>
              <w:divBdr>
                <w:top w:val="none" w:sz="0" w:space="0" w:color="auto"/>
                <w:left w:val="none" w:sz="0" w:space="0" w:color="auto"/>
                <w:bottom w:val="none" w:sz="0" w:space="0" w:color="auto"/>
                <w:right w:val="none" w:sz="0" w:space="0" w:color="auto"/>
              </w:divBdr>
              <w:divsChild>
                <w:div w:id="61710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414218">
      <w:bodyDiv w:val="1"/>
      <w:marLeft w:val="0"/>
      <w:marRight w:val="0"/>
      <w:marTop w:val="0"/>
      <w:marBottom w:val="0"/>
      <w:divBdr>
        <w:top w:val="none" w:sz="0" w:space="0" w:color="auto"/>
        <w:left w:val="none" w:sz="0" w:space="0" w:color="auto"/>
        <w:bottom w:val="none" w:sz="0" w:space="0" w:color="auto"/>
        <w:right w:val="none" w:sz="0" w:space="0" w:color="auto"/>
      </w:divBdr>
    </w:div>
    <w:div w:id="1298023293">
      <w:bodyDiv w:val="1"/>
      <w:marLeft w:val="0"/>
      <w:marRight w:val="0"/>
      <w:marTop w:val="0"/>
      <w:marBottom w:val="0"/>
      <w:divBdr>
        <w:top w:val="none" w:sz="0" w:space="0" w:color="auto"/>
        <w:left w:val="none" w:sz="0" w:space="0" w:color="auto"/>
        <w:bottom w:val="none" w:sz="0" w:space="0" w:color="auto"/>
        <w:right w:val="none" w:sz="0" w:space="0" w:color="auto"/>
      </w:divBdr>
      <w:divsChild>
        <w:div w:id="788546243">
          <w:marLeft w:val="0"/>
          <w:marRight w:val="0"/>
          <w:marTop w:val="0"/>
          <w:marBottom w:val="0"/>
          <w:divBdr>
            <w:top w:val="none" w:sz="0" w:space="0" w:color="auto"/>
            <w:left w:val="none" w:sz="0" w:space="0" w:color="auto"/>
            <w:bottom w:val="none" w:sz="0" w:space="0" w:color="auto"/>
            <w:right w:val="none" w:sz="0" w:space="0" w:color="auto"/>
          </w:divBdr>
          <w:divsChild>
            <w:div w:id="1700280498">
              <w:marLeft w:val="0"/>
              <w:marRight w:val="0"/>
              <w:marTop w:val="0"/>
              <w:marBottom w:val="0"/>
              <w:divBdr>
                <w:top w:val="none" w:sz="0" w:space="0" w:color="auto"/>
                <w:left w:val="none" w:sz="0" w:space="0" w:color="auto"/>
                <w:bottom w:val="none" w:sz="0" w:space="0" w:color="auto"/>
                <w:right w:val="none" w:sz="0" w:space="0" w:color="auto"/>
              </w:divBdr>
              <w:divsChild>
                <w:div w:id="982999870">
                  <w:marLeft w:val="0"/>
                  <w:marRight w:val="0"/>
                  <w:marTop w:val="0"/>
                  <w:marBottom w:val="0"/>
                  <w:divBdr>
                    <w:top w:val="none" w:sz="0" w:space="0" w:color="auto"/>
                    <w:left w:val="none" w:sz="0" w:space="0" w:color="auto"/>
                    <w:bottom w:val="none" w:sz="0" w:space="0" w:color="auto"/>
                    <w:right w:val="none" w:sz="0" w:space="0" w:color="auto"/>
                  </w:divBdr>
                  <w:divsChild>
                    <w:div w:id="154031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35614">
      <w:bodyDiv w:val="1"/>
      <w:marLeft w:val="0"/>
      <w:marRight w:val="0"/>
      <w:marTop w:val="0"/>
      <w:marBottom w:val="0"/>
      <w:divBdr>
        <w:top w:val="none" w:sz="0" w:space="0" w:color="auto"/>
        <w:left w:val="none" w:sz="0" w:space="0" w:color="auto"/>
        <w:bottom w:val="none" w:sz="0" w:space="0" w:color="auto"/>
        <w:right w:val="none" w:sz="0" w:space="0" w:color="auto"/>
      </w:divBdr>
    </w:div>
    <w:div w:id="1371102710">
      <w:bodyDiv w:val="1"/>
      <w:marLeft w:val="0"/>
      <w:marRight w:val="0"/>
      <w:marTop w:val="0"/>
      <w:marBottom w:val="0"/>
      <w:divBdr>
        <w:top w:val="none" w:sz="0" w:space="0" w:color="auto"/>
        <w:left w:val="none" w:sz="0" w:space="0" w:color="auto"/>
        <w:bottom w:val="none" w:sz="0" w:space="0" w:color="auto"/>
        <w:right w:val="none" w:sz="0" w:space="0" w:color="auto"/>
      </w:divBdr>
    </w:div>
    <w:div w:id="1452474524">
      <w:bodyDiv w:val="1"/>
      <w:marLeft w:val="0"/>
      <w:marRight w:val="0"/>
      <w:marTop w:val="0"/>
      <w:marBottom w:val="0"/>
      <w:divBdr>
        <w:top w:val="none" w:sz="0" w:space="0" w:color="auto"/>
        <w:left w:val="none" w:sz="0" w:space="0" w:color="auto"/>
        <w:bottom w:val="none" w:sz="0" w:space="0" w:color="auto"/>
        <w:right w:val="none" w:sz="0" w:space="0" w:color="auto"/>
      </w:divBdr>
    </w:div>
    <w:div w:id="1616014841">
      <w:bodyDiv w:val="1"/>
      <w:marLeft w:val="0"/>
      <w:marRight w:val="0"/>
      <w:marTop w:val="0"/>
      <w:marBottom w:val="0"/>
      <w:divBdr>
        <w:top w:val="none" w:sz="0" w:space="0" w:color="auto"/>
        <w:left w:val="none" w:sz="0" w:space="0" w:color="auto"/>
        <w:bottom w:val="none" w:sz="0" w:space="0" w:color="auto"/>
        <w:right w:val="none" w:sz="0" w:space="0" w:color="auto"/>
      </w:divBdr>
    </w:div>
    <w:div w:id="1692609787">
      <w:bodyDiv w:val="1"/>
      <w:marLeft w:val="0"/>
      <w:marRight w:val="0"/>
      <w:marTop w:val="0"/>
      <w:marBottom w:val="0"/>
      <w:divBdr>
        <w:top w:val="none" w:sz="0" w:space="0" w:color="auto"/>
        <w:left w:val="none" w:sz="0" w:space="0" w:color="auto"/>
        <w:bottom w:val="none" w:sz="0" w:space="0" w:color="auto"/>
        <w:right w:val="none" w:sz="0" w:space="0" w:color="auto"/>
      </w:divBdr>
      <w:divsChild>
        <w:div w:id="295836062">
          <w:marLeft w:val="0"/>
          <w:marRight w:val="0"/>
          <w:marTop w:val="0"/>
          <w:marBottom w:val="0"/>
          <w:divBdr>
            <w:top w:val="none" w:sz="0" w:space="0" w:color="auto"/>
            <w:left w:val="none" w:sz="0" w:space="0" w:color="auto"/>
            <w:bottom w:val="none" w:sz="0" w:space="0" w:color="auto"/>
            <w:right w:val="none" w:sz="0" w:space="0" w:color="auto"/>
          </w:divBdr>
          <w:divsChild>
            <w:div w:id="1986466134">
              <w:marLeft w:val="0"/>
              <w:marRight w:val="0"/>
              <w:marTop w:val="0"/>
              <w:marBottom w:val="0"/>
              <w:divBdr>
                <w:top w:val="none" w:sz="0" w:space="0" w:color="auto"/>
                <w:left w:val="none" w:sz="0" w:space="0" w:color="auto"/>
                <w:bottom w:val="none" w:sz="0" w:space="0" w:color="auto"/>
                <w:right w:val="none" w:sz="0" w:space="0" w:color="auto"/>
              </w:divBdr>
              <w:divsChild>
                <w:div w:id="19584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477554">
      <w:bodyDiv w:val="1"/>
      <w:marLeft w:val="0"/>
      <w:marRight w:val="0"/>
      <w:marTop w:val="0"/>
      <w:marBottom w:val="0"/>
      <w:divBdr>
        <w:top w:val="none" w:sz="0" w:space="0" w:color="auto"/>
        <w:left w:val="none" w:sz="0" w:space="0" w:color="auto"/>
        <w:bottom w:val="none" w:sz="0" w:space="0" w:color="auto"/>
        <w:right w:val="none" w:sz="0" w:space="0" w:color="auto"/>
      </w:divBdr>
      <w:divsChild>
        <w:div w:id="1449272902">
          <w:marLeft w:val="0"/>
          <w:marRight w:val="0"/>
          <w:marTop w:val="0"/>
          <w:marBottom w:val="0"/>
          <w:divBdr>
            <w:top w:val="none" w:sz="0" w:space="0" w:color="auto"/>
            <w:left w:val="none" w:sz="0" w:space="0" w:color="auto"/>
            <w:bottom w:val="none" w:sz="0" w:space="0" w:color="auto"/>
            <w:right w:val="none" w:sz="0" w:space="0" w:color="auto"/>
          </w:divBdr>
          <w:divsChild>
            <w:div w:id="1275484242">
              <w:marLeft w:val="0"/>
              <w:marRight w:val="0"/>
              <w:marTop w:val="0"/>
              <w:marBottom w:val="0"/>
              <w:divBdr>
                <w:top w:val="none" w:sz="0" w:space="0" w:color="auto"/>
                <w:left w:val="none" w:sz="0" w:space="0" w:color="auto"/>
                <w:bottom w:val="none" w:sz="0" w:space="0" w:color="auto"/>
                <w:right w:val="none" w:sz="0" w:space="0" w:color="auto"/>
              </w:divBdr>
              <w:divsChild>
                <w:div w:id="91817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05914">
      <w:bodyDiv w:val="1"/>
      <w:marLeft w:val="0"/>
      <w:marRight w:val="0"/>
      <w:marTop w:val="0"/>
      <w:marBottom w:val="0"/>
      <w:divBdr>
        <w:top w:val="none" w:sz="0" w:space="0" w:color="auto"/>
        <w:left w:val="none" w:sz="0" w:space="0" w:color="auto"/>
        <w:bottom w:val="none" w:sz="0" w:space="0" w:color="auto"/>
        <w:right w:val="none" w:sz="0" w:space="0" w:color="auto"/>
      </w:divBdr>
      <w:divsChild>
        <w:div w:id="297541490">
          <w:marLeft w:val="0"/>
          <w:marRight w:val="0"/>
          <w:marTop w:val="0"/>
          <w:marBottom w:val="0"/>
          <w:divBdr>
            <w:top w:val="none" w:sz="0" w:space="0" w:color="auto"/>
            <w:left w:val="none" w:sz="0" w:space="0" w:color="auto"/>
            <w:bottom w:val="none" w:sz="0" w:space="0" w:color="auto"/>
            <w:right w:val="none" w:sz="0" w:space="0" w:color="auto"/>
          </w:divBdr>
          <w:divsChild>
            <w:div w:id="1726679058">
              <w:marLeft w:val="0"/>
              <w:marRight w:val="0"/>
              <w:marTop w:val="0"/>
              <w:marBottom w:val="0"/>
              <w:divBdr>
                <w:top w:val="none" w:sz="0" w:space="0" w:color="auto"/>
                <w:left w:val="none" w:sz="0" w:space="0" w:color="auto"/>
                <w:bottom w:val="none" w:sz="0" w:space="0" w:color="auto"/>
                <w:right w:val="none" w:sz="0" w:space="0" w:color="auto"/>
              </w:divBdr>
              <w:divsChild>
                <w:div w:id="23130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loretta.lees@le.ac.u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2.le.ac.uk/projects/estate-renewa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dx.doi.org/10.1177/0309132519830511" TargetMode="External"/><Relationship Id="rId5" Type="http://schemas.openxmlformats.org/officeDocument/2006/relationships/image" Target="media/image1.png"/><Relationship Id="rId15" Type="http://schemas.openxmlformats.org/officeDocument/2006/relationships/image" Target="media/image6.jpeg"/><Relationship Id="rId10" Type="http://schemas.openxmlformats.org/officeDocument/2006/relationships/hyperlink" Target="https://justspace.org.uk/" TargetMode="External"/><Relationship Id="rId4" Type="http://schemas.openxmlformats.org/officeDocument/2006/relationships/webSettings" Target="webSettings.xml"/><Relationship Id="rId9" Type="http://schemas.openxmlformats.org/officeDocument/2006/relationships/hyperlink" Target="https://londontenants.org/"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2040</Words>
  <Characters>11631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hubbard</dc:creator>
  <cp:keywords/>
  <dc:description/>
  <cp:lastModifiedBy>Lees, Loretta C. (Prof.)</cp:lastModifiedBy>
  <cp:revision>2</cp:revision>
  <dcterms:created xsi:type="dcterms:W3CDTF">2020-03-25T13:39:00Z</dcterms:created>
  <dcterms:modified xsi:type="dcterms:W3CDTF">2020-03-25T13:39:00Z</dcterms:modified>
</cp:coreProperties>
</file>