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F3CF0" w14:textId="1053A006" w:rsidR="007B7768" w:rsidRDefault="007B7768">
      <w:bookmarkStart w:id="0" w:name="_GoBack"/>
      <w:bookmarkEnd w:id="0"/>
    </w:p>
    <w:p w14:paraId="732ED108" w14:textId="354433A9" w:rsidR="00267CA4" w:rsidRDefault="00267CA4" w:rsidP="00FC3D3C">
      <w:pPr>
        <w:pStyle w:val="Heading2"/>
      </w:pPr>
      <w:r>
        <w:t>Data and data dictionary</w:t>
      </w:r>
    </w:p>
    <w:p w14:paraId="586A0125" w14:textId="75BAD1CA" w:rsidR="00267CA4" w:rsidRDefault="00267CA4"/>
    <w:p w14:paraId="4E64E231" w14:textId="1AF19075" w:rsidR="00FC3D3C" w:rsidRDefault="00FC3D3C" w:rsidP="00FC3D3C">
      <w:r>
        <w:t>Version 1.0</w:t>
      </w:r>
    </w:p>
    <w:p w14:paraId="403FA9A7" w14:textId="0140F08B" w:rsidR="00FC3D3C" w:rsidRDefault="00FC3D3C" w:rsidP="00FC3D3C">
      <w:r>
        <w:t>Date: 14 December 2020</w:t>
      </w:r>
    </w:p>
    <w:p w14:paraId="170FE168" w14:textId="3358B8F2" w:rsidR="00FC3D3C" w:rsidRDefault="00FC3D3C" w:rsidP="00FC3D3C"/>
    <w:p w14:paraId="6DBBFB72" w14:textId="5FAA4075" w:rsidR="00FC3D3C" w:rsidRDefault="00FC3D3C" w:rsidP="00FC3D3C"/>
    <w:p w14:paraId="2177AA4A" w14:textId="77777777" w:rsidR="00FC3D3C" w:rsidRDefault="00FC3D3C" w:rsidP="00FC3D3C"/>
    <w:p w14:paraId="310A0F38" w14:textId="4DC19E5D" w:rsidR="00FC3D3C" w:rsidRDefault="00FC3D3C" w:rsidP="00FC3D3C">
      <w:pPr>
        <w:pStyle w:val="Heading3"/>
      </w:pPr>
      <w:r>
        <w:t xml:space="preserve">Data </w:t>
      </w:r>
      <w:r w:rsidR="00FC58C8">
        <w:t>anonymisation</w:t>
      </w:r>
    </w:p>
    <w:p w14:paraId="38400684" w14:textId="77777777" w:rsidR="00FC3D3C" w:rsidRDefault="00FC3D3C" w:rsidP="00FC3D3C"/>
    <w:p w14:paraId="45D63B10" w14:textId="77777777" w:rsidR="00FC58C8" w:rsidRDefault="00FC3D3C" w:rsidP="00FC3D3C">
      <w:r>
        <w:t xml:space="preserve">Data are provided according to the study data </w:t>
      </w:r>
      <w:r w:rsidR="00C000D7">
        <w:t>disclosure plan</w:t>
      </w:r>
      <w:r>
        <w:t xml:space="preserve"> (version</w:t>
      </w:r>
      <w:r w:rsidR="00C000D7">
        <w:t xml:space="preserve"> 1.1, 6 December 2020</w:t>
      </w:r>
      <w:r>
        <w:t>)</w:t>
      </w:r>
      <w:r w:rsidR="00C000D7">
        <w:t>, lodged with the Health Research Authority</w:t>
      </w:r>
      <w:r w:rsidR="00FC58C8">
        <w:t xml:space="preserve"> (HRA)</w:t>
      </w:r>
      <w:r w:rsidR="00C000D7">
        <w:t xml:space="preserve">. </w:t>
      </w:r>
    </w:p>
    <w:p w14:paraId="345D4A68" w14:textId="77777777" w:rsidR="00FC58C8" w:rsidRDefault="00FC58C8" w:rsidP="00FC3D3C"/>
    <w:p w14:paraId="553DE754" w14:textId="14FDA74E" w:rsidR="00FC3D3C" w:rsidRDefault="00FC58C8" w:rsidP="00FC3D3C">
      <w:r>
        <w:t xml:space="preserve">The HRA advised that sharing an anonymised dataset from the study was possible despite the lack of consent from participants if </w:t>
      </w:r>
      <w:r>
        <w:rPr>
          <w:rFonts w:cstheme="minorHAnsi"/>
          <w:szCs w:val="22"/>
        </w:rPr>
        <w:t xml:space="preserve">this was in the public interest and if </w:t>
      </w:r>
      <w:r w:rsidRPr="006F2921">
        <w:rPr>
          <w:rFonts w:cstheme="minorHAnsi"/>
          <w:szCs w:val="22"/>
        </w:rPr>
        <w:t xml:space="preserve">key </w:t>
      </w:r>
      <w:r>
        <w:rPr>
          <w:rFonts w:cstheme="minorHAnsi"/>
          <w:szCs w:val="22"/>
        </w:rPr>
        <w:t xml:space="preserve">data </w:t>
      </w:r>
      <w:r w:rsidRPr="006F2921">
        <w:rPr>
          <w:rFonts w:cstheme="minorHAnsi"/>
          <w:szCs w:val="22"/>
        </w:rPr>
        <w:t>governance principles were followed.</w:t>
      </w:r>
    </w:p>
    <w:p w14:paraId="76DAB616" w14:textId="3F885D4F" w:rsidR="00E6410E" w:rsidRDefault="00E6410E" w:rsidP="00FC3D3C"/>
    <w:p w14:paraId="6D706827" w14:textId="03F7596D" w:rsidR="00E6410E" w:rsidRDefault="00E6410E" w:rsidP="00FC3D3C">
      <w:r>
        <w:t xml:space="preserve">The purpose of deposition is a commitment to scientific transparency and to allow other researchers to replicate findings to the greatest extent possible compatible with sharing of </w:t>
      </w:r>
      <w:r w:rsidR="00FC58C8">
        <w:t>anonymised</w:t>
      </w:r>
      <w:r>
        <w:t xml:space="preserve"> data. </w:t>
      </w:r>
      <w:r w:rsidR="00FC58C8">
        <w:t xml:space="preserve">A separate principle of data minimisation has also been respected, </w:t>
      </w:r>
      <w:proofErr w:type="gramStart"/>
      <w:r w:rsidR="00FC58C8">
        <w:t>i.e.</w:t>
      </w:r>
      <w:proofErr w:type="gramEnd"/>
      <w:r w:rsidR="00FC58C8">
        <w:t xml:space="preserve"> </w:t>
      </w:r>
      <w:r w:rsidR="00FC58C8" w:rsidRPr="006F2921">
        <w:rPr>
          <w:rFonts w:cstheme="minorHAnsi"/>
          <w:szCs w:val="22"/>
        </w:rPr>
        <w:t xml:space="preserve">deposit of the smallest amount of data that achieves the objectives whilst protecting participants. </w:t>
      </w:r>
      <w:r w:rsidR="00FC58C8">
        <w:rPr>
          <w:rFonts w:cstheme="minorHAnsi"/>
          <w:szCs w:val="22"/>
        </w:rPr>
        <w:t xml:space="preserve">Combining these two principles requires us to deposit the minimum data that allows replication of the most findings in our analyses whilst absolutely preserving the identity </w:t>
      </w:r>
      <w:r w:rsidR="006204A5">
        <w:rPr>
          <w:rFonts w:cstheme="minorHAnsi"/>
          <w:szCs w:val="22"/>
        </w:rPr>
        <w:t>of participants</w:t>
      </w:r>
      <w:r w:rsidR="00FC58C8">
        <w:rPr>
          <w:rFonts w:cstheme="minorHAnsi"/>
          <w:szCs w:val="22"/>
        </w:rPr>
        <w:t>.</w:t>
      </w:r>
    </w:p>
    <w:p w14:paraId="6BCE969D" w14:textId="6F74FF51" w:rsidR="00FC58C8" w:rsidRDefault="00FC58C8" w:rsidP="00FC3D3C"/>
    <w:p w14:paraId="271212E3" w14:textId="77777777" w:rsidR="006204A5" w:rsidRPr="006F2921" w:rsidRDefault="006204A5" w:rsidP="006204A5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 xml:space="preserve">The process of anonymisation and deposit was guided by the following documents. </w:t>
      </w:r>
    </w:p>
    <w:p w14:paraId="7B6B43F6" w14:textId="77777777" w:rsidR="006204A5" w:rsidRPr="006F2921" w:rsidRDefault="006204A5" w:rsidP="006204A5">
      <w:pPr>
        <w:rPr>
          <w:rFonts w:cstheme="minorHAnsi"/>
          <w:szCs w:val="22"/>
        </w:rPr>
      </w:pPr>
    </w:p>
    <w:p w14:paraId="5D1B28BB" w14:textId="77777777" w:rsidR="006204A5" w:rsidRPr="006F2921" w:rsidRDefault="006204A5" w:rsidP="006204A5">
      <w:pPr>
        <w:pStyle w:val="ListParagraph"/>
        <w:numPr>
          <w:ilvl w:val="0"/>
          <w:numId w:val="4"/>
        </w:num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 xml:space="preserve">Elliot et al. The Anonymization Decision-Making Framework. UKAN, University of Manchester, 2016.   </w:t>
      </w:r>
      <w:hyperlink r:id="rId5" w:history="1">
        <w:r w:rsidRPr="006F2921">
          <w:rPr>
            <w:rStyle w:val="Hyperlink"/>
            <w:rFonts w:cstheme="minorHAnsi"/>
            <w:szCs w:val="22"/>
          </w:rPr>
          <w:t>https://ukanon.net/wp-content/uploads/2015/05/The-Anonymisation-Decision-making-Framework.pdf</w:t>
        </w:r>
      </w:hyperlink>
    </w:p>
    <w:p w14:paraId="75F66B37" w14:textId="77777777" w:rsidR="006204A5" w:rsidRPr="006F2921" w:rsidRDefault="006204A5" w:rsidP="006204A5">
      <w:pPr>
        <w:pStyle w:val="ListParagraph"/>
        <w:rPr>
          <w:rFonts w:cstheme="minorHAnsi"/>
          <w:szCs w:val="22"/>
        </w:rPr>
      </w:pPr>
    </w:p>
    <w:p w14:paraId="097C22A8" w14:textId="77777777" w:rsidR="006204A5" w:rsidRPr="006F2921" w:rsidRDefault="006204A5" w:rsidP="006204A5">
      <w:pPr>
        <w:pStyle w:val="ListParagraph"/>
        <w:numPr>
          <w:ilvl w:val="0"/>
          <w:numId w:val="4"/>
        </w:num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 xml:space="preserve">Microdata Handling and Security: Guide to Good Practice. UK Data Archive, University of Essex Version 6.0, 9 Feb 2017 </w:t>
      </w:r>
      <w:hyperlink r:id="rId6" w:history="1">
        <w:r w:rsidRPr="006F2921">
          <w:rPr>
            <w:rStyle w:val="Hyperlink"/>
            <w:rFonts w:cstheme="minorHAnsi"/>
            <w:szCs w:val="22"/>
          </w:rPr>
          <w:t>https://ukdataservice.ac.uk/media/604725/cd171-microdatahandling.pdf</w:t>
        </w:r>
      </w:hyperlink>
      <w:r w:rsidRPr="006F2921">
        <w:rPr>
          <w:rFonts w:cstheme="minorHAnsi"/>
          <w:szCs w:val="22"/>
        </w:rPr>
        <w:t xml:space="preserve"> </w:t>
      </w:r>
    </w:p>
    <w:p w14:paraId="7A4A3C4D" w14:textId="77777777" w:rsidR="006204A5" w:rsidRPr="006F2921" w:rsidRDefault="006204A5" w:rsidP="006204A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CF85BCC" w14:textId="77777777" w:rsidR="006204A5" w:rsidRPr="006F2921" w:rsidRDefault="006204A5" w:rsidP="006204A5">
      <w:pPr>
        <w:pStyle w:val="ListParagraph"/>
        <w:numPr>
          <w:ilvl w:val="0"/>
          <w:numId w:val="4"/>
        </w:num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 xml:space="preserve"> V. Van den </w:t>
      </w:r>
      <w:proofErr w:type="spellStart"/>
      <w:r w:rsidRPr="006F2921">
        <w:rPr>
          <w:rFonts w:cstheme="minorHAnsi"/>
          <w:szCs w:val="22"/>
        </w:rPr>
        <w:t>Eynden</w:t>
      </w:r>
      <w:proofErr w:type="spellEnd"/>
      <w:r w:rsidRPr="006F2921">
        <w:rPr>
          <w:rFonts w:cstheme="minorHAnsi"/>
          <w:szCs w:val="22"/>
        </w:rPr>
        <w:t xml:space="preserve">, K. </w:t>
      </w:r>
      <w:proofErr w:type="spellStart"/>
      <w:r w:rsidRPr="006F2921">
        <w:rPr>
          <w:rFonts w:cstheme="minorHAnsi"/>
          <w:szCs w:val="22"/>
        </w:rPr>
        <w:t>Schreckenberg</w:t>
      </w:r>
      <w:proofErr w:type="spellEnd"/>
      <w:r w:rsidRPr="006F2921">
        <w:rPr>
          <w:rFonts w:cstheme="minorHAnsi"/>
          <w:szCs w:val="22"/>
        </w:rPr>
        <w:t xml:space="preserve">, L. </w:t>
      </w:r>
      <w:proofErr w:type="spellStart"/>
      <w:r w:rsidRPr="006F2921">
        <w:rPr>
          <w:rFonts w:cstheme="minorHAnsi"/>
          <w:szCs w:val="22"/>
        </w:rPr>
        <w:t>Corti</w:t>
      </w:r>
      <w:proofErr w:type="spellEnd"/>
      <w:r w:rsidRPr="006F2921">
        <w:rPr>
          <w:rFonts w:cstheme="minorHAnsi"/>
          <w:szCs w:val="22"/>
        </w:rPr>
        <w:t xml:space="preserve">. Sharing social data in multidisciplinary, </w:t>
      </w:r>
      <w:proofErr w:type="spellStart"/>
      <w:r w:rsidRPr="006F2921">
        <w:rPr>
          <w:rFonts w:cstheme="minorHAnsi"/>
          <w:szCs w:val="22"/>
        </w:rPr>
        <w:t>multistakeholder</w:t>
      </w:r>
      <w:proofErr w:type="spellEnd"/>
      <w:r w:rsidRPr="006F2921">
        <w:rPr>
          <w:rFonts w:cstheme="minorHAnsi"/>
          <w:szCs w:val="22"/>
        </w:rPr>
        <w:t xml:space="preserve"> research: Best practice guide for researchers. UK Data Service and ESPA, ESPA Working Paper Series No: 001 / December 2015; ISSN 20589875. </w:t>
      </w:r>
      <w:hyperlink r:id="rId7" w:history="1">
        <w:r w:rsidRPr="006F2921">
          <w:rPr>
            <w:rStyle w:val="Hyperlink"/>
            <w:rFonts w:cstheme="minorHAnsi"/>
            <w:szCs w:val="22"/>
          </w:rPr>
          <w:t>http://www.espa.ac.uk/files/espa/Sharing%20social%20data.pdf</w:t>
        </w:r>
      </w:hyperlink>
    </w:p>
    <w:p w14:paraId="2EE66479" w14:textId="77777777" w:rsidR="006204A5" w:rsidRPr="006F2921" w:rsidRDefault="006204A5" w:rsidP="006204A5">
      <w:pPr>
        <w:pStyle w:val="ListParagraph"/>
        <w:rPr>
          <w:rFonts w:cstheme="minorHAnsi"/>
          <w:szCs w:val="22"/>
        </w:rPr>
      </w:pPr>
    </w:p>
    <w:p w14:paraId="57A934BF" w14:textId="77777777" w:rsidR="006204A5" w:rsidRPr="006F2921" w:rsidRDefault="006204A5" w:rsidP="006204A5">
      <w:pPr>
        <w:pStyle w:val="ListParagraph"/>
        <w:numPr>
          <w:ilvl w:val="0"/>
          <w:numId w:val="4"/>
        </w:numPr>
        <w:rPr>
          <w:rFonts w:cstheme="minorHAnsi"/>
          <w:szCs w:val="22"/>
        </w:rPr>
      </w:pPr>
      <w:r w:rsidRPr="006F2921">
        <w:rPr>
          <w:rFonts w:cstheme="minorHAnsi"/>
          <w:color w:val="303030"/>
          <w:szCs w:val="22"/>
          <w:shd w:val="clear" w:color="auto" w:fill="FFFFFF"/>
        </w:rPr>
        <w:t xml:space="preserve">Tsai AC, </w:t>
      </w:r>
      <w:proofErr w:type="spellStart"/>
      <w:r w:rsidRPr="006F2921">
        <w:rPr>
          <w:rFonts w:cstheme="minorHAnsi"/>
          <w:color w:val="303030"/>
          <w:szCs w:val="22"/>
          <w:shd w:val="clear" w:color="auto" w:fill="FFFFFF"/>
        </w:rPr>
        <w:t>Kohrt</w:t>
      </w:r>
      <w:proofErr w:type="spellEnd"/>
      <w:r w:rsidRPr="006F2921">
        <w:rPr>
          <w:rFonts w:cstheme="minorHAnsi"/>
          <w:color w:val="303030"/>
          <w:szCs w:val="22"/>
          <w:shd w:val="clear" w:color="auto" w:fill="FFFFFF"/>
        </w:rPr>
        <w:t xml:space="preserve"> BA, Matthews LT, et al. Promises and pitfalls of data sharing in qualitative research. </w:t>
      </w:r>
      <w:r w:rsidRPr="006F2921">
        <w:rPr>
          <w:rFonts w:cstheme="minorHAnsi"/>
          <w:i/>
          <w:iCs/>
          <w:color w:val="303030"/>
          <w:szCs w:val="22"/>
        </w:rPr>
        <w:t>Soc Sci Med</w:t>
      </w:r>
      <w:r w:rsidRPr="006F2921">
        <w:rPr>
          <w:rFonts w:cstheme="minorHAnsi"/>
          <w:color w:val="303030"/>
          <w:szCs w:val="22"/>
          <w:shd w:val="clear" w:color="auto" w:fill="FFFFFF"/>
        </w:rPr>
        <w:t xml:space="preserve">. </w:t>
      </w:r>
      <w:proofErr w:type="gramStart"/>
      <w:r w:rsidRPr="006F2921">
        <w:rPr>
          <w:rFonts w:cstheme="minorHAnsi"/>
          <w:color w:val="303030"/>
          <w:szCs w:val="22"/>
          <w:shd w:val="clear" w:color="auto" w:fill="FFFFFF"/>
        </w:rPr>
        <w:t>2016;169:191</w:t>
      </w:r>
      <w:proofErr w:type="gramEnd"/>
      <w:r w:rsidRPr="006F2921">
        <w:rPr>
          <w:rFonts w:cstheme="minorHAnsi"/>
          <w:color w:val="303030"/>
          <w:szCs w:val="22"/>
          <w:shd w:val="clear" w:color="auto" w:fill="FFFFFF"/>
        </w:rPr>
        <w:t xml:space="preserve">-198. </w:t>
      </w:r>
      <w:proofErr w:type="gramStart"/>
      <w:r w:rsidRPr="006F2921">
        <w:rPr>
          <w:rFonts w:cstheme="minorHAnsi"/>
          <w:color w:val="303030"/>
          <w:szCs w:val="22"/>
          <w:shd w:val="clear" w:color="auto" w:fill="FFFFFF"/>
        </w:rPr>
        <w:t>doi:10.1016/j.socscimed</w:t>
      </w:r>
      <w:proofErr w:type="gramEnd"/>
      <w:r w:rsidRPr="006F2921">
        <w:rPr>
          <w:rFonts w:cstheme="minorHAnsi"/>
          <w:color w:val="303030"/>
          <w:szCs w:val="22"/>
          <w:shd w:val="clear" w:color="auto" w:fill="FFFFFF"/>
        </w:rPr>
        <w:t>.2016.08.004</w:t>
      </w:r>
    </w:p>
    <w:p w14:paraId="11596579" w14:textId="77777777" w:rsidR="006204A5" w:rsidRPr="006F2921" w:rsidRDefault="006204A5" w:rsidP="006204A5">
      <w:pPr>
        <w:pStyle w:val="ListParagraph"/>
        <w:rPr>
          <w:rFonts w:cstheme="minorHAnsi"/>
          <w:szCs w:val="22"/>
        </w:rPr>
      </w:pPr>
    </w:p>
    <w:p w14:paraId="2D967D85" w14:textId="77777777" w:rsidR="006204A5" w:rsidRPr="006F2921" w:rsidRDefault="006204A5" w:rsidP="006204A5">
      <w:pPr>
        <w:pStyle w:val="ListParagraph"/>
        <w:numPr>
          <w:ilvl w:val="0"/>
          <w:numId w:val="4"/>
        </w:num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UCL guidance on Anonymisation and Pseudonymisation</w:t>
      </w:r>
    </w:p>
    <w:p w14:paraId="015A1164" w14:textId="77777777" w:rsidR="006204A5" w:rsidRPr="006F2921" w:rsidRDefault="006204A5" w:rsidP="006204A5">
      <w:pPr>
        <w:ind w:left="360"/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 xml:space="preserve"> </w:t>
      </w:r>
      <w:r w:rsidRPr="006F2921">
        <w:rPr>
          <w:rFonts w:cstheme="minorHAnsi"/>
          <w:szCs w:val="22"/>
        </w:rPr>
        <w:fldChar w:fldCharType="begin"/>
      </w:r>
      <w:r w:rsidRPr="006F2921">
        <w:rPr>
          <w:rFonts w:cstheme="minorHAnsi"/>
          <w:szCs w:val="22"/>
        </w:rPr>
        <w:instrText xml:space="preserve"> HYPERLINK "https://www.ucl.ac.uk/data-protection/guidance-staff-students-and-researchers/practical-data-protection-guidance-notices/anonymisation-and" </w:instrText>
      </w:r>
      <w:r w:rsidRPr="006F2921">
        <w:rPr>
          <w:rFonts w:cstheme="minorHAnsi"/>
          <w:szCs w:val="22"/>
        </w:rPr>
        <w:fldChar w:fldCharType="separate"/>
      </w:r>
      <w:r w:rsidRPr="006F2921">
        <w:rPr>
          <w:rStyle w:val="Hyperlink"/>
          <w:rFonts w:cstheme="minorHAnsi"/>
          <w:szCs w:val="22"/>
        </w:rPr>
        <w:t>https://www.ucl.ac.uk/data-protection/guidance-staff-students-and-researchers/practical-data-protection-guidance-notices/anonymisation-and</w:t>
      </w:r>
      <w:r w:rsidRPr="006F2921">
        <w:rPr>
          <w:rStyle w:val="Hyperlink"/>
          <w:rFonts w:cstheme="minorHAnsi"/>
          <w:szCs w:val="22"/>
        </w:rPr>
        <w:fldChar w:fldCharType="end"/>
      </w:r>
      <w:r w:rsidRPr="006F2921">
        <w:rPr>
          <w:rFonts w:cstheme="minorHAnsi"/>
          <w:szCs w:val="22"/>
        </w:rPr>
        <w:t xml:space="preserve"> </w:t>
      </w:r>
    </w:p>
    <w:p w14:paraId="7759D409" w14:textId="77777777" w:rsidR="006204A5" w:rsidRPr="006F2921" w:rsidRDefault="006204A5" w:rsidP="006204A5">
      <w:pPr>
        <w:rPr>
          <w:rFonts w:cstheme="minorHAnsi"/>
          <w:szCs w:val="22"/>
        </w:rPr>
      </w:pPr>
    </w:p>
    <w:p w14:paraId="4C284BA4" w14:textId="77777777" w:rsidR="006204A5" w:rsidRPr="006F2921" w:rsidRDefault="006204A5" w:rsidP="006204A5">
      <w:pPr>
        <w:pStyle w:val="ListParagraph"/>
        <w:numPr>
          <w:ilvl w:val="0"/>
          <w:numId w:val="4"/>
        </w:numPr>
        <w:rPr>
          <w:rFonts w:cstheme="minorHAnsi"/>
          <w:color w:val="303030"/>
          <w:szCs w:val="22"/>
          <w:shd w:val="clear" w:color="auto" w:fill="FFFFFF"/>
        </w:rPr>
      </w:pPr>
      <w:r w:rsidRPr="006F2921">
        <w:rPr>
          <w:rFonts w:cstheme="minorHAnsi"/>
          <w:color w:val="303030"/>
          <w:szCs w:val="22"/>
          <w:shd w:val="clear" w:color="auto" w:fill="FFFFFF"/>
        </w:rPr>
        <w:t xml:space="preserve">Branson J, Good N, Chen JW, Monge W, Probst C, El </w:t>
      </w:r>
      <w:proofErr w:type="spellStart"/>
      <w:r w:rsidRPr="006F2921">
        <w:rPr>
          <w:rFonts w:cstheme="minorHAnsi"/>
          <w:color w:val="303030"/>
          <w:szCs w:val="22"/>
          <w:shd w:val="clear" w:color="auto" w:fill="FFFFFF"/>
        </w:rPr>
        <w:t>Emam</w:t>
      </w:r>
      <w:proofErr w:type="spellEnd"/>
      <w:r w:rsidRPr="006F2921">
        <w:rPr>
          <w:rFonts w:cstheme="minorHAnsi"/>
          <w:color w:val="303030"/>
          <w:szCs w:val="22"/>
          <w:shd w:val="clear" w:color="auto" w:fill="FFFFFF"/>
        </w:rPr>
        <w:t xml:space="preserve"> K. Evaluating the re-identification risk of a clinical study report anonymized under EMA Policy 0070 and Health Canada Regulations. Trials. 2020;21(1):200. Published 2020 Feb 18. doi:10.1186/s13063-020-4120-y</w:t>
      </w:r>
      <w:r>
        <w:rPr>
          <w:rFonts w:cstheme="minorHAnsi"/>
          <w:color w:val="303030"/>
          <w:szCs w:val="22"/>
          <w:shd w:val="clear" w:color="auto" w:fill="FFFFFF"/>
        </w:rPr>
        <w:t xml:space="preserve"> </w:t>
      </w:r>
    </w:p>
    <w:p w14:paraId="16747C6A" w14:textId="40EAA706" w:rsidR="00FC58C8" w:rsidRDefault="00FC58C8" w:rsidP="00FC3D3C"/>
    <w:p w14:paraId="13B9389F" w14:textId="48094941" w:rsidR="00FC58C8" w:rsidRDefault="006204A5" w:rsidP="00FC3D3C">
      <w:r>
        <w:lastRenderedPageBreak/>
        <w:t xml:space="preserve">We further conducted a </w:t>
      </w:r>
      <w:r w:rsidR="00FC58C8">
        <w:t xml:space="preserve">Motivated </w:t>
      </w:r>
      <w:r>
        <w:t>I</w:t>
      </w:r>
      <w:r w:rsidR="00FC58C8">
        <w:t xml:space="preserve">ntruder </w:t>
      </w:r>
      <w:r>
        <w:t>T</w:t>
      </w:r>
      <w:r w:rsidR="00FC58C8">
        <w:t>est</w:t>
      </w:r>
      <w:r>
        <w:t xml:space="preserve">, as recommended by </w:t>
      </w:r>
      <w:r w:rsidRPr="006204A5">
        <w:t>Trevor Peacock (</w:t>
      </w:r>
      <w:r>
        <w:rPr>
          <w:rFonts w:cstheme="minorHAnsi"/>
          <w:szCs w:val="22"/>
        </w:rPr>
        <w:t xml:space="preserve">Head of </w:t>
      </w:r>
      <w:r w:rsidRPr="006F2921">
        <w:rPr>
          <w:rFonts w:cstheme="minorHAnsi"/>
          <w:szCs w:val="22"/>
        </w:rPr>
        <w:t>Information Security</w:t>
      </w:r>
      <w:r>
        <w:rPr>
          <w:rFonts w:cstheme="minorHAnsi"/>
          <w:szCs w:val="22"/>
        </w:rPr>
        <w:t xml:space="preserve"> at University College London</w:t>
      </w:r>
      <w:r w:rsidRPr="006204A5">
        <w:t>) and also follow</w:t>
      </w:r>
      <w:r>
        <w:t>ing</w:t>
      </w:r>
      <w:r w:rsidRPr="006204A5">
        <w:t xml:space="preserve"> Branson et al. (2020). Testing identified there were large amounts of data in the public domain from news media and social media identifying individuals</w:t>
      </w:r>
      <w:r>
        <w:t xml:space="preserve"> in the UK</w:t>
      </w:r>
      <w:r w:rsidRPr="006204A5">
        <w:t xml:space="preserve"> who had similar treatment to that given in the study during approximately the same dates. </w:t>
      </w:r>
      <w:r>
        <w:t xml:space="preserve">The motivated intruder test was not successful in de-identifying participants. </w:t>
      </w:r>
    </w:p>
    <w:p w14:paraId="274C2F09" w14:textId="30B53FBE" w:rsidR="006204A5" w:rsidRDefault="006204A5" w:rsidP="00FC3D3C"/>
    <w:p w14:paraId="38EC97F4" w14:textId="6DD1DF44" w:rsidR="00E6410E" w:rsidRDefault="006204A5" w:rsidP="00FC3D3C">
      <w:r>
        <w:t xml:space="preserve">All participants in the study have been notified in writing that these data are being deposited and offered the opportunity to withdraw their data. </w:t>
      </w:r>
      <w:r w:rsidR="00FC58C8">
        <w:rPr>
          <w:rFonts w:cstheme="minorHAnsi"/>
          <w:szCs w:val="22"/>
        </w:rPr>
        <w:t xml:space="preserve">At the time of deposit (December 2020), no participants had noted they wished to withdraw their data. </w:t>
      </w:r>
    </w:p>
    <w:p w14:paraId="1B0F1B0F" w14:textId="5DC96A4B" w:rsidR="00267CA4" w:rsidRDefault="00267CA4"/>
    <w:p w14:paraId="31C3BDDF" w14:textId="1BE1CA25" w:rsidR="00C000D7" w:rsidRPr="006F2921" w:rsidRDefault="00E6410E" w:rsidP="00C000D7">
      <w:pPr>
        <w:rPr>
          <w:rFonts w:cstheme="minorHAnsi"/>
          <w:szCs w:val="22"/>
        </w:rPr>
      </w:pPr>
      <w:r>
        <w:rPr>
          <w:rFonts w:cstheme="minorHAnsi"/>
          <w:szCs w:val="22"/>
        </w:rPr>
        <w:t>T</w:t>
      </w:r>
      <w:r w:rsidR="00C000D7" w:rsidRPr="006F2921">
        <w:rPr>
          <w:rFonts w:cstheme="minorHAnsi"/>
          <w:szCs w:val="22"/>
        </w:rPr>
        <w:t xml:space="preserve">he data from the study </w:t>
      </w:r>
      <w:r>
        <w:rPr>
          <w:rFonts w:cstheme="minorHAnsi"/>
          <w:szCs w:val="22"/>
        </w:rPr>
        <w:t>have been</w:t>
      </w:r>
      <w:r w:rsidR="00C000D7" w:rsidRPr="006F2921">
        <w:rPr>
          <w:rFonts w:cstheme="minorHAnsi"/>
          <w:szCs w:val="22"/>
        </w:rPr>
        <w:t xml:space="preserve"> deposited according to the following guidelines:</w:t>
      </w:r>
    </w:p>
    <w:p w14:paraId="3D57DCB1" w14:textId="77777777" w:rsidR="00C000D7" w:rsidRPr="006F2921" w:rsidRDefault="00C000D7" w:rsidP="00C000D7">
      <w:pPr>
        <w:rPr>
          <w:rFonts w:cstheme="minorHAnsi"/>
          <w:szCs w:val="22"/>
        </w:rPr>
      </w:pPr>
    </w:p>
    <w:p w14:paraId="6EBA537B" w14:textId="4A4F9F15" w:rsidR="00C000D7" w:rsidRPr="006F2921" w:rsidRDefault="00C000D7" w:rsidP="00C000D7">
      <w:pPr>
        <w:rPr>
          <w:rFonts w:cstheme="minorHAnsi"/>
          <w:i/>
          <w:iCs/>
          <w:szCs w:val="22"/>
        </w:rPr>
      </w:pPr>
      <w:r w:rsidRPr="006F2921">
        <w:rPr>
          <w:rFonts w:cstheme="minorHAnsi"/>
          <w:i/>
          <w:iCs/>
          <w:szCs w:val="22"/>
        </w:rPr>
        <w:t xml:space="preserve">1.  All personal identification data and potentially sensitive personal and demographic data </w:t>
      </w:r>
      <w:r w:rsidR="006204A5">
        <w:rPr>
          <w:rFonts w:cstheme="minorHAnsi"/>
          <w:i/>
          <w:iCs/>
          <w:szCs w:val="22"/>
        </w:rPr>
        <w:t>have been</w:t>
      </w:r>
      <w:r w:rsidRPr="006F2921">
        <w:rPr>
          <w:rFonts w:cstheme="minorHAnsi"/>
          <w:i/>
          <w:iCs/>
          <w:szCs w:val="22"/>
        </w:rPr>
        <w:t xml:space="preserve"> removed. </w:t>
      </w:r>
    </w:p>
    <w:p w14:paraId="7D218613" w14:textId="77777777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Items to be removed will include:</w:t>
      </w:r>
    </w:p>
    <w:p w14:paraId="0A21726E" w14:textId="77777777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a. personal identifiers e.g.  name, date of birth</w:t>
      </w:r>
    </w:p>
    <w:p w14:paraId="402F8C40" w14:textId="77777777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b. ethnicity and family structure</w:t>
      </w:r>
    </w:p>
    <w:p w14:paraId="7B24461E" w14:textId="77777777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c. all data relating to recruitment or times or dates of clinic attendances.</w:t>
      </w:r>
    </w:p>
    <w:p w14:paraId="39A2E90E" w14:textId="078D7316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 xml:space="preserve">d. age: </w:t>
      </w:r>
      <w:r>
        <w:rPr>
          <w:rFonts w:cstheme="minorHAnsi"/>
          <w:szCs w:val="22"/>
        </w:rPr>
        <w:t>note</w:t>
      </w:r>
      <w:r w:rsidRPr="006F2921">
        <w:rPr>
          <w:rFonts w:cstheme="minorHAnsi"/>
          <w:szCs w:val="22"/>
        </w:rPr>
        <w:t xml:space="preserve"> the restricted age-range (12-15 at recruitment) meant that </w:t>
      </w:r>
      <w:r w:rsidR="006204A5">
        <w:rPr>
          <w:rFonts w:cstheme="minorHAnsi"/>
          <w:szCs w:val="22"/>
        </w:rPr>
        <w:t xml:space="preserve">obscuring of age through </w:t>
      </w:r>
      <w:r>
        <w:rPr>
          <w:rFonts w:cstheme="minorHAnsi"/>
          <w:szCs w:val="22"/>
        </w:rPr>
        <w:t>age-</w:t>
      </w:r>
      <w:r w:rsidRPr="006F2921">
        <w:rPr>
          <w:rFonts w:cstheme="minorHAnsi"/>
          <w:szCs w:val="22"/>
        </w:rPr>
        <w:t>banding was not possible.</w:t>
      </w:r>
    </w:p>
    <w:p w14:paraId="39D3972D" w14:textId="77777777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e. birth-assigned sex</w:t>
      </w:r>
      <w:r>
        <w:rPr>
          <w:rFonts w:cstheme="minorHAnsi"/>
          <w:szCs w:val="22"/>
        </w:rPr>
        <w:t xml:space="preserve">. </w:t>
      </w:r>
    </w:p>
    <w:p w14:paraId="2033AC0D" w14:textId="77777777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 xml:space="preserve">Note that a new pseudo identifier for each participant will be created </w:t>
      </w:r>
      <w:r>
        <w:rPr>
          <w:rFonts w:cstheme="minorHAnsi"/>
          <w:szCs w:val="22"/>
        </w:rPr>
        <w:t>in the deposited dataset</w:t>
      </w:r>
      <w:r w:rsidRPr="006F2921">
        <w:rPr>
          <w:rFonts w:cstheme="minorHAnsi"/>
          <w:szCs w:val="22"/>
        </w:rPr>
        <w:t xml:space="preserve">. </w:t>
      </w:r>
    </w:p>
    <w:p w14:paraId="795C3933" w14:textId="77777777" w:rsidR="00C000D7" w:rsidRPr="006F2921" w:rsidRDefault="00C000D7" w:rsidP="00C000D7">
      <w:pPr>
        <w:rPr>
          <w:rFonts w:cstheme="minorHAnsi"/>
          <w:szCs w:val="22"/>
        </w:rPr>
      </w:pPr>
    </w:p>
    <w:p w14:paraId="620B487F" w14:textId="0093BE82" w:rsidR="00C000D7" w:rsidRPr="006F2921" w:rsidRDefault="00C000D7" w:rsidP="00C000D7">
      <w:pPr>
        <w:rPr>
          <w:rFonts w:cstheme="minorHAnsi"/>
          <w:i/>
          <w:iCs/>
          <w:szCs w:val="22"/>
        </w:rPr>
      </w:pPr>
      <w:r w:rsidRPr="006F2921">
        <w:rPr>
          <w:rFonts w:cstheme="minorHAnsi"/>
          <w:i/>
          <w:iCs/>
          <w:szCs w:val="22"/>
        </w:rPr>
        <w:t xml:space="preserve">2. All treatment and medical information </w:t>
      </w:r>
      <w:r w:rsidR="006204A5">
        <w:rPr>
          <w:rFonts w:cstheme="minorHAnsi"/>
          <w:i/>
          <w:iCs/>
          <w:szCs w:val="22"/>
        </w:rPr>
        <w:t>have been</w:t>
      </w:r>
      <w:r w:rsidRPr="006F2921">
        <w:rPr>
          <w:rFonts w:cstheme="minorHAnsi"/>
          <w:i/>
          <w:iCs/>
          <w:szCs w:val="22"/>
        </w:rPr>
        <w:t xml:space="preserve"> removed </w:t>
      </w:r>
    </w:p>
    <w:p w14:paraId="65E90A6C" w14:textId="77777777" w:rsidR="00C000D7" w:rsidRPr="006F2921" w:rsidRDefault="00C000D7" w:rsidP="00C000D7">
      <w:pPr>
        <w:rPr>
          <w:rFonts w:cstheme="minorHAnsi"/>
          <w:szCs w:val="22"/>
        </w:rPr>
      </w:pPr>
      <w:r>
        <w:rPr>
          <w:rFonts w:cstheme="minorHAnsi"/>
          <w:szCs w:val="22"/>
        </w:rPr>
        <w:t>T</w:t>
      </w:r>
      <w:r w:rsidRPr="006F2921">
        <w:rPr>
          <w:rFonts w:cstheme="minorHAnsi"/>
          <w:szCs w:val="22"/>
        </w:rPr>
        <w:t>here is a risk that data on timing of clinic or investigation visits, treatment decisions</w:t>
      </w:r>
      <w:r>
        <w:rPr>
          <w:rFonts w:cstheme="minorHAnsi"/>
          <w:szCs w:val="22"/>
        </w:rPr>
        <w:t>, side effects</w:t>
      </w:r>
      <w:r w:rsidRPr="006F2921">
        <w:rPr>
          <w:rFonts w:cstheme="minorHAnsi"/>
          <w:szCs w:val="22"/>
        </w:rPr>
        <w:t xml:space="preserve"> and fertility issues may lead to identification. </w:t>
      </w:r>
      <w:r>
        <w:rPr>
          <w:rFonts w:cstheme="minorHAnsi"/>
          <w:szCs w:val="22"/>
        </w:rPr>
        <w:t>Further, a</w:t>
      </w:r>
      <w:r w:rsidRPr="006F2921">
        <w:rPr>
          <w:rFonts w:cstheme="minorHAnsi"/>
          <w:szCs w:val="22"/>
        </w:rPr>
        <w:t xml:space="preserve">ll subjects received GnRHa at (essentially) the same dose and thus treatment data are not necessary to understand the outcomes of treatment. </w:t>
      </w:r>
    </w:p>
    <w:p w14:paraId="3841CCB8" w14:textId="77777777" w:rsidR="00C000D7" w:rsidRPr="006F2921" w:rsidRDefault="00C000D7" w:rsidP="00C000D7">
      <w:pPr>
        <w:rPr>
          <w:rFonts w:cstheme="minorHAnsi"/>
          <w:szCs w:val="22"/>
        </w:rPr>
      </w:pPr>
    </w:p>
    <w:p w14:paraId="4F576F82" w14:textId="067CA8DC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We therefore remove</w:t>
      </w:r>
      <w:r w:rsidR="006204A5">
        <w:rPr>
          <w:rFonts w:cstheme="minorHAnsi"/>
          <w:szCs w:val="22"/>
        </w:rPr>
        <w:t>d</w:t>
      </w:r>
      <w:r w:rsidRPr="006F2921">
        <w:rPr>
          <w:rFonts w:cstheme="minorHAnsi"/>
          <w:szCs w:val="22"/>
        </w:rPr>
        <w:t xml:space="preserve"> the following data:</w:t>
      </w:r>
    </w:p>
    <w:p w14:paraId="685D9EB3" w14:textId="77777777" w:rsidR="00C000D7" w:rsidRPr="006F2921" w:rsidRDefault="00C000D7" w:rsidP="00C000D7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Timing of clinic visits or medical investigations</w:t>
      </w:r>
    </w:p>
    <w:p w14:paraId="6A9E1603" w14:textId="77777777" w:rsidR="00C000D7" w:rsidRPr="006F2921" w:rsidRDefault="00C000D7" w:rsidP="00C000D7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Treatment decisions, time off treatment, any data on fertility issues. This includes the decision to start cross-sex hormones (as 1 subject did not start cross-sex hormones)</w:t>
      </w:r>
    </w:p>
    <w:p w14:paraId="4DBF5AE3" w14:textId="77777777" w:rsidR="00C000D7" w:rsidRDefault="00C000D7" w:rsidP="00C000D7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karyotype, hormone levels and other venepuncture data</w:t>
      </w:r>
    </w:p>
    <w:p w14:paraId="410EA296" w14:textId="77777777" w:rsidR="00C000D7" w:rsidRPr="006F2921" w:rsidRDefault="00C000D7" w:rsidP="00C000D7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data on side effects / adverse events</w:t>
      </w:r>
    </w:p>
    <w:p w14:paraId="69803273" w14:textId="77777777" w:rsidR="00C000D7" w:rsidRPr="006F2921" w:rsidRDefault="00C000D7" w:rsidP="00C000D7">
      <w:pPr>
        <w:rPr>
          <w:rFonts w:cstheme="minorHAnsi"/>
          <w:szCs w:val="22"/>
        </w:rPr>
      </w:pPr>
    </w:p>
    <w:p w14:paraId="761C5D6F" w14:textId="69644A0C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 xml:space="preserve">Note that all timing in the deposited data </w:t>
      </w:r>
      <w:proofErr w:type="gramStart"/>
      <w:r w:rsidR="006204A5">
        <w:rPr>
          <w:rFonts w:cstheme="minorHAnsi"/>
          <w:szCs w:val="22"/>
        </w:rPr>
        <w:t>are</w:t>
      </w:r>
      <w:proofErr w:type="gramEnd"/>
      <w:r w:rsidRPr="006F2921">
        <w:rPr>
          <w:rFonts w:cstheme="minorHAnsi"/>
          <w:szCs w:val="22"/>
        </w:rPr>
        <w:t xml:space="preserve"> standardised to baseline and 12, 36 and 48 months in follow-up, conforming to the analyses undertaken and removing risk of identification through timing.  </w:t>
      </w:r>
    </w:p>
    <w:p w14:paraId="39396E99" w14:textId="77777777" w:rsidR="00C000D7" w:rsidRPr="006F2921" w:rsidRDefault="00C000D7" w:rsidP="00C000D7">
      <w:pPr>
        <w:rPr>
          <w:rFonts w:cstheme="minorHAnsi"/>
          <w:szCs w:val="22"/>
        </w:rPr>
      </w:pPr>
    </w:p>
    <w:p w14:paraId="6B54C669" w14:textId="77777777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i/>
          <w:iCs/>
          <w:szCs w:val="22"/>
        </w:rPr>
        <w:t>3. Data from the semi-structured interviews will not be deposited</w:t>
      </w:r>
    </w:p>
    <w:p w14:paraId="2E4C9A63" w14:textId="77777777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 xml:space="preserve">This is because of the </w:t>
      </w:r>
      <w:r>
        <w:rPr>
          <w:rFonts w:cstheme="minorHAnsi"/>
          <w:szCs w:val="22"/>
        </w:rPr>
        <w:t xml:space="preserve">higher </w:t>
      </w:r>
      <w:r w:rsidRPr="006F2921">
        <w:rPr>
          <w:rFonts w:cstheme="minorHAnsi"/>
          <w:szCs w:val="22"/>
        </w:rPr>
        <w:t xml:space="preserve">risk of disclosure and identification from qualitative data (Tsai, 2016). </w:t>
      </w:r>
    </w:p>
    <w:p w14:paraId="4BCBA5B3" w14:textId="77777777" w:rsidR="00C000D7" w:rsidRPr="006F2921" w:rsidRDefault="00C000D7" w:rsidP="00C000D7">
      <w:pPr>
        <w:rPr>
          <w:rFonts w:cstheme="minorHAnsi"/>
          <w:szCs w:val="22"/>
        </w:rPr>
      </w:pPr>
    </w:p>
    <w:p w14:paraId="5EA0A6C8" w14:textId="77777777" w:rsidR="00C000D7" w:rsidRPr="006F2921" w:rsidRDefault="00C000D7" w:rsidP="00C000D7">
      <w:pPr>
        <w:rPr>
          <w:rFonts w:cstheme="minorHAnsi"/>
          <w:i/>
          <w:iCs/>
          <w:szCs w:val="22"/>
        </w:rPr>
      </w:pPr>
      <w:r w:rsidRPr="006F2921">
        <w:rPr>
          <w:rFonts w:cstheme="minorHAnsi"/>
          <w:i/>
          <w:iCs/>
          <w:szCs w:val="22"/>
        </w:rPr>
        <w:t>4. Outcome data will be deposited as standardised data only</w:t>
      </w:r>
    </w:p>
    <w:p w14:paraId="542B2FEE" w14:textId="6C4718B6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 xml:space="preserve">Outcome data </w:t>
      </w:r>
      <w:r w:rsidR="00A94D39">
        <w:rPr>
          <w:rFonts w:cstheme="minorHAnsi"/>
          <w:szCs w:val="22"/>
        </w:rPr>
        <w:t>are</w:t>
      </w:r>
      <w:r w:rsidRPr="006F2921">
        <w:rPr>
          <w:rFonts w:cstheme="minorHAnsi"/>
          <w:szCs w:val="22"/>
        </w:rPr>
        <w:t xml:space="preserve"> released as standardized data </w:t>
      </w:r>
      <w:proofErr w:type="gramStart"/>
      <w:r w:rsidRPr="006F2921">
        <w:rPr>
          <w:rFonts w:cstheme="minorHAnsi"/>
          <w:szCs w:val="22"/>
        </w:rPr>
        <w:t>i.e.</w:t>
      </w:r>
      <w:proofErr w:type="gramEnd"/>
      <w:r w:rsidRPr="006F2921">
        <w:rPr>
          <w:rFonts w:cstheme="minorHAnsi"/>
          <w:szCs w:val="22"/>
        </w:rPr>
        <w:t xml:space="preserve"> data standardised for age and</w:t>
      </w:r>
      <w:r>
        <w:rPr>
          <w:rFonts w:cstheme="minorHAnsi"/>
          <w:szCs w:val="22"/>
        </w:rPr>
        <w:t>/or</w:t>
      </w:r>
      <w:r w:rsidRPr="006F2921">
        <w:rPr>
          <w:rFonts w:cstheme="minorHAnsi"/>
          <w:szCs w:val="22"/>
        </w:rPr>
        <w:t xml:space="preserve"> sex.</w:t>
      </w:r>
      <w:r>
        <w:rPr>
          <w:rFonts w:cstheme="minorHAnsi"/>
          <w:szCs w:val="22"/>
        </w:rPr>
        <w:t xml:space="preserve"> Data used in the project were standardised in this way where possible.</w:t>
      </w:r>
      <w:r w:rsidRPr="006F2921">
        <w:rPr>
          <w:rFonts w:cstheme="minorHAnsi"/>
          <w:szCs w:val="22"/>
        </w:rPr>
        <w:t xml:space="preserve"> This is to avoid potential identification through more extreme raw scores, as standardised scores are one step removed from the individual. </w:t>
      </w:r>
      <w:r>
        <w:rPr>
          <w:rFonts w:cstheme="minorHAnsi"/>
          <w:szCs w:val="22"/>
        </w:rPr>
        <w:t xml:space="preserve">We will not release data that cannot be standardised </w:t>
      </w:r>
      <w:proofErr w:type="gramStart"/>
      <w:r>
        <w:rPr>
          <w:rFonts w:cstheme="minorHAnsi"/>
          <w:szCs w:val="22"/>
        </w:rPr>
        <w:t>i.e.</w:t>
      </w:r>
      <w:proofErr w:type="gramEnd"/>
      <w:r>
        <w:rPr>
          <w:rFonts w:cstheme="minorHAnsi"/>
          <w:szCs w:val="22"/>
        </w:rPr>
        <w:t xml:space="preserve"> where appropriate normative and standardisation data do not exist. </w:t>
      </w:r>
      <w:r w:rsidRPr="006F2921">
        <w:rPr>
          <w:rFonts w:cstheme="minorHAnsi"/>
          <w:szCs w:val="22"/>
        </w:rPr>
        <w:t xml:space="preserve">We will not deposit item-level data </w:t>
      </w:r>
      <w:r>
        <w:rPr>
          <w:rFonts w:cstheme="minorHAnsi"/>
          <w:szCs w:val="22"/>
        </w:rPr>
        <w:t>(</w:t>
      </w:r>
      <w:proofErr w:type="gramStart"/>
      <w:r>
        <w:rPr>
          <w:rFonts w:cstheme="minorHAnsi"/>
          <w:szCs w:val="22"/>
        </w:rPr>
        <w:t>i.e.</w:t>
      </w:r>
      <w:proofErr w:type="gramEnd"/>
      <w:r>
        <w:rPr>
          <w:rFonts w:cstheme="minorHAnsi"/>
          <w:szCs w:val="22"/>
        </w:rPr>
        <w:t xml:space="preserve"> the items that make up psychological scales) </w:t>
      </w:r>
      <w:r w:rsidRPr="006F2921">
        <w:rPr>
          <w:rFonts w:cstheme="minorHAnsi"/>
          <w:szCs w:val="22"/>
        </w:rPr>
        <w:t xml:space="preserve">as these hold potential for </w:t>
      </w:r>
      <w:r>
        <w:rPr>
          <w:rFonts w:cstheme="minorHAnsi"/>
          <w:szCs w:val="22"/>
        </w:rPr>
        <w:t>re-</w:t>
      </w:r>
      <w:r w:rsidRPr="006F2921">
        <w:rPr>
          <w:rFonts w:cstheme="minorHAnsi"/>
          <w:szCs w:val="22"/>
        </w:rPr>
        <w:t>identification</w:t>
      </w:r>
      <w:r>
        <w:rPr>
          <w:rFonts w:cstheme="minorHAnsi"/>
          <w:szCs w:val="22"/>
        </w:rPr>
        <w:t xml:space="preserve"> (e.g. participant personal stories and medical histories may be available online through the media or social media). </w:t>
      </w:r>
    </w:p>
    <w:p w14:paraId="17DA9F2C" w14:textId="77777777" w:rsidR="00C000D7" w:rsidRPr="006F2921" w:rsidRDefault="00C000D7" w:rsidP="00C000D7">
      <w:pPr>
        <w:rPr>
          <w:rFonts w:cstheme="minorHAnsi"/>
          <w:szCs w:val="22"/>
        </w:rPr>
      </w:pPr>
    </w:p>
    <w:p w14:paraId="39190911" w14:textId="6C07FFEF" w:rsidR="00C000D7" w:rsidRPr="006F2921" w:rsidRDefault="00C000D7" w:rsidP="00C000D7">
      <w:p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Data deposited consist of:</w:t>
      </w:r>
    </w:p>
    <w:p w14:paraId="107D9FDB" w14:textId="77777777" w:rsidR="00C000D7" w:rsidRPr="006F2921" w:rsidRDefault="00C000D7" w:rsidP="00C000D7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 xml:space="preserve">standardised psychological scale scores </w:t>
      </w:r>
      <w:proofErr w:type="gramStart"/>
      <w:r w:rsidRPr="006F2921">
        <w:rPr>
          <w:rFonts w:cstheme="minorHAnsi"/>
          <w:szCs w:val="22"/>
        </w:rPr>
        <w:t>i.e.</w:t>
      </w:r>
      <w:proofErr w:type="gramEnd"/>
      <w:r w:rsidRPr="006F2921">
        <w:rPr>
          <w:rFonts w:cstheme="minorHAnsi"/>
          <w:szCs w:val="22"/>
        </w:rPr>
        <w:t xml:space="preserve"> t-scores and z-scores</w:t>
      </w:r>
    </w:p>
    <w:p w14:paraId="3E6A3D65" w14:textId="77777777" w:rsidR="00C000D7" w:rsidRPr="006F2921" w:rsidRDefault="00C000D7" w:rsidP="00C000D7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standardised bone mineral density z-scores</w:t>
      </w:r>
    </w:p>
    <w:p w14:paraId="0CC2254F" w14:textId="77777777" w:rsidR="00C000D7" w:rsidRPr="006F2921" w:rsidRDefault="00C000D7" w:rsidP="00C000D7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6F2921">
        <w:rPr>
          <w:rFonts w:cstheme="minorHAnsi"/>
          <w:szCs w:val="22"/>
        </w:rPr>
        <w:t>standardised height, weight and BMI z-scores</w:t>
      </w:r>
    </w:p>
    <w:p w14:paraId="0F1E0478" w14:textId="77777777" w:rsidR="00C000D7" w:rsidRDefault="00C000D7" w:rsidP="00C000D7">
      <w:pPr>
        <w:rPr>
          <w:rFonts w:cstheme="minorHAnsi"/>
          <w:szCs w:val="22"/>
        </w:rPr>
      </w:pPr>
    </w:p>
    <w:p w14:paraId="0D9E2EFD" w14:textId="77777777" w:rsidR="00C000D7" w:rsidRDefault="00C000D7" w:rsidP="00C000D7">
      <w:pPr>
        <w:rPr>
          <w:rFonts w:cstheme="minorHAnsi"/>
          <w:szCs w:val="22"/>
        </w:rPr>
      </w:pPr>
    </w:p>
    <w:p w14:paraId="087D46A7" w14:textId="37E7D83F" w:rsidR="00C000D7" w:rsidRPr="002212C3" w:rsidRDefault="00C000D7" w:rsidP="00C000D7">
      <w:pPr>
        <w:rPr>
          <w:rFonts w:cstheme="minorHAnsi"/>
          <w:i/>
          <w:iCs/>
          <w:szCs w:val="22"/>
        </w:rPr>
      </w:pPr>
      <w:r w:rsidRPr="002212C3">
        <w:rPr>
          <w:rFonts w:cstheme="minorHAnsi"/>
          <w:i/>
          <w:iCs/>
          <w:szCs w:val="22"/>
        </w:rPr>
        <w:t xml:space="preserve">5. Variables with n&lt;8 </w:t>
      </w:r>
      <w:r w:rsidR="00204911">
        <w:rPr>
          <w:rFonts w:cstheme="minorHAnsi"/>
          <w:i/>
          <w:iCs/>
          <w:szCs w:val="22"/>
        </w:rPr>
        <w:t>have been</w:t>
      </w:r>
      <w:r w:rsidRPr="002212C3">
        <w:rPr>
          <w:rFonts w:cstheme="minorHAnsi"/>
          <w:i/>
          <w:iCs/>
          <w:szCs w:val="22"/>
        </w:rPr>
        <w:t xml:space="preserve"> removed</w:t>
      </w:r>
    </w:p>
    <w:p w14:paraId="490C249F" w14:textId="1D8984A6" w:rsidR="00C000D7" w:rsidRDefault="00C000D7" w:rsidP="00C000D7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 our published paper, we did not report data from small cells </w:t>
      </w:r>
      <w:proofErr w:type="gramStart"/>
      <w:r>
        <w:rPr>
          <w:rFonts w:cstheme="minorHAnsi"/>
          <w:szCs w:val="22"/>
        </w:rPr>
        <w:t>i.e.</w:t>
      </w:r>
      <w:proofErr w:type="gramEnd"/>
      <w:r>
        <w:rPr>
          <w:rFonts w:cstheme="minorHAnsi"/>
          <w:szCs w:val="22"/>
        </w:rPr>
        <w:t xml:space="preserve"> where </w:t>
      </w:r>
      <w:r w:rsidRPr="002212C3">
        <w:rPr>
          <w:rFonts w:cstheme="minorHAnsi"/>
          <w:szCs w:val="22"/>
        </w:rPr>
        <w:t>sample size was less than 8</w:t>
      </w:r>
      <w:r>
        <w:rPr>
          <w:rFonts w:cstheme="minorHAnsi"/>
          <w:szCs w:val="22"/>
        </w:rPr>
        <w:t xml:space="preserve">. For the same reasons we </w:t>
      </w:r>
      <w:r w:rsidR="00204911">
        <w:rPr>
          <w:rFonts w:cstheme="minorHAnsi"/>
          <w:szCs w:val="22"/>
        </w:rPr>
        <w:t>do not</w:t>
      </w:r>
      <w:r>
        <w:rPr>
          <w:rFonts w:cstheme="minorHAnsi"/>
          <w:szCs w:val="22"/>
        </w:rPr>
        <w:t xml:space="preserve"> deposit these variables. </w:t>
      </w:r>
      <w:proofErr w:type="gramStart"/>
      <w:r>
        <w:rPr>
          <w:rFonts w:cstheme="minorHAnsi"/>
          <w:szCs w:val="22"/>
        </w:rPr>
        <w:t>Clearly</w:t>
      </w:r>
      <w:proofErr w:type="gramEnd"/>
      <w:r>
        <w:rPr>
          <w:rFonts w:cstheme="minorHAnsi"/>
          <w:szCs w:val="22"/>
        </w:rPr>
        <w:t xml:space="preserve"> they are not required for replication of analyses.  </w:t>
      </w:r>
    </w:p>
    <w:p w14:paraId="17AEC1C4" w14:textId="77777777" w:rsidR="00FC3D3C" w:rsidRDefault="00FC3D3C"/>
    <w:p w14:paraId="62074E1A" w14:textId="04CEF2E2" w:rsidR="00267CA4" w:rsidRDefault="00267CA4"/>
    <w:p w14:paraId="0AEA6DCF" w14:textId="77777777" w:rsidR="00FC3D3C" w:rsidRDefault="00FC3D3C" w:rsidP="00FC3D3C">
      <w:pPr>
        <w:pStyle w:val="Heading3"/>
      </w:pPr>
      <w:r>
        <w:t>File</w:t>
      </w:r>
    </w:p>
    <w:p w14:paraId="6F45C6FE" w14:textId="77777777" w:rsidR="00FC3D3C" w:rsidRDefault="00FC3D3C"/>
    <w:p w14:paraId="5F090261" w14:textId="7CF7E2EF" w:rsidR="00FC3D3C" w:rsidRDefault="00FC3D3C">
      <w:r>
        <w:t>The dataset is contained in a single Stata file, version 11/12</w:t>
      </w:r>
    </w:p>
    <w:p w14:paraId="4CC9ECC0" w14:textId="798C5A63" w:rsidR="00FC3D3C" w:rsidRDefault="00FC3D3C"/>
    <w:p w14:paraId="64E5ED9C" w14:textId="6365B96C" w:rsidR="00FC3D3C" w:rsidRDefault="00FC3D3C" w:rsidP="00FC3D3C">
      <w:pPr>
        <w:pStyle w:val="Heading3"/>
      </w:pPr>
      <w:r>
        <w:t>Version</w:t>
      </w:r>
    </w:p>
    <w:p w14:paraId="18748399" w14:textId="53B7225F" w:rsidR="00FC3D3C" w:rsidRDefault="00FC3D3C">
      <w:r w:rsidRPr="00204911">
        <w:rPr>
          <w:i/>
          <w:iCs/>
        </w:rPr>
        <w:t xml:space="preserve">GD public dataset deposited </w:t>
      </w:r>
      <w:proofErr w:type="gramStart"/>
      <w:r w:rsidRPr="00204911">
        <w:rPr>
          <w:i/>
          <w:iCs/>
        </w:rPr>
        <w:t>v1.0.dta</w:t>
      </w:r>
      <w:r>
        <w:t xml:space="preserve"> </w:t>
      </w:r>
      <w:r w:rsidR="00204911">
        <w:t xml:space="preserve"> -</w:t>
      </w:r>
      <w:proofErr w:type="gramEnd"/>
      <w:r w:rsidR="00204911">
        <w:t xml:space="preserve"> </w:t>
      </w:r>
      <w:r>
        <w:t xml:space="preserve">deposited on 14 December 2020. </w:t>
      </w:r>
    </w:p>
    <w:p w14:paraId="37B9D78C" w14:textId="6F8EE7E7" w:rsidR="00FC3D3C" w:rsidRDefault="00FC3D3C"/>
    <w:p w14:paraId="58638526" w14:textId="77777777" w:rsidR="00FC3D3C" w:rsidRDefault="00FC3D3C"/>
    <w:p w14:paraId="671D93C7" w14:textId="77777777" w:rsidR="00FC3D3C" w:rsidRDefault="00FC3D3C" w:rsidP="00FC3D3C">
      <w:pPr>
        <w:pStyle w:val="Heading3"/>
      </w:pPr>
      <w:r>
        <w:t>Variables</w:t>
      </w:r>
    </w:p>
    <w:p w14:paraId="4B6F7FA5" w14:textId="1E82A064" w:rsidR="00FC3D3C" w:rsidRDefault="00204911">
      <w:r>
        <w:t xml:space="preserve">All variables are numeric. </w:t>
      </w:r>
      <w:r w:rsidR="00FC3D3C">
        <w:t>The label for each variable is self-explanatory. In terms of time, data are provided for baseline (before treatment), and follow-up at 12, 24 and 36 months. These are shown as follows:</w:t>
      </w:r>
    </w:p>
    <w:p w14:paraId="6F3BF3C2" w14:textId="0F80BAE8" w:rsidR="00267CA4" w:rsidRDefault="00267CA4" w:rsidP="00FC3D3C">
      <w:pPr>
        <w:pStyle w:val="ListParagraph"/>
        <w:numPr>
          <w:ilvl w:val="0"/>
          <w:numId w:val="1"/>
        </w:numPr>
      </w:pPr>
      <w:r>
        <w:t>Baseline: before starting treatment.  All baseline variables have the suffice ‘b’</w:t>
      </w:r>
    </w:p>
    <w:p w14:paraId="1B2D15A3" w14:textId="1E0988DD" w:rsidR="00267CA4" w:rsidRDefault="00267CA4" w:rsidP="00FC3D3C">
      <w:pPr>
        <w:pStyle w:val="ListParagraph"/>
        <w:numPr>
          <w:ilvl w:val="0"/>
          <w:numId w:val="1"/>
        </w:numPr>
      </w:pPr>
      <w:r>
        <w:t>Follow-up: This occurred at 12, 24 and 36 months. Each of these variables has the suffix 12m, 24m or 36m as appropriate.</w:t>
      </w:r>
    </w:p>
    <w:p w14:paraId="6ED446CC" w14:textId="144FE011" w:rsidR="00267CA4" w:rsidRDefault="00267CA4"/>
    <w:p w14:paraId="5753A771" w14:textId="22FD3E77" w:rsidR="00204911" w:rsidRDefault="00204911">
      <w:r>
        <w:t>For details of the included data and scales see our deposited preprint (</w:t>
      </w:r>
      <w:hyperlink r:id="rId8" w:history="1">
        <w:r w:rsidR="003D4ADC" w:rsidRPr="00753FE7">
          <w:rPr>
            <w:rStyle w:val="Hyperlink"/>
          </w:rPr>
          <w:t>https://www.medrxiv.org/content/10.1101/2020.12.01.20241653v1</w:t>
        </w:r>
      </w:hyperlink>
      <w:r w:rsidR="003D4ADC">
        <w:t xml:space="preserve">) </w:t>
      </w:r>
      <w:r>
        <w:t>or published paper</w:t>
      </w:r>
      <w:r w:rsidR="003D4ADC">
        <w:t xml:space="preserve"> (to be updated when published)</w:t>
      </w:r>
      <w:r>
        <w:t xml:space="preserve">. </w:t>
      </w:r>
    </w:p>
    <w:p w14:paraId="1B143206" w14:textId="70CFDCE7" w:rsidR="00204911" w:rsidRDefault="00204911"/>
    <w:p w14:paraId="715A8A1E" w14:textId="77E67B92" w:rsidR="00204911" w:rsidRDefault="00204911">
      <w:r>
        <w:t xml:space="preserve">Variables deposited: </w:t>
      </w:r>
    </w:p>
    <w:p w14:paraId="508F36A0" w14:textId="212F66F4" w:rsidR="00204911" w:rsidRDefault="00204911"/>
    <w:p w14:paraId="328D556A" w14:textId="77777777" w:rsidR="00204911" w:rsidRDefault="00204911"/>
    <w:tbl>
      <w:tblPr>
        <w:tblW w:w="10360" w:type="dxa"/>
        <w:tblLook w:val="04A0" w:firstRow="1" w:lastRow="0" w:firstColumn="1" w:lastColumn="0" w:noHBand="0" w:noVBand="1"/>
      </w:tblPr>
      <w:tblGrid>
        <w:gridCol w:w="5200"/>
        <w:gridCol w:w="540"/>
        <w:gridCol w:w="4620"/>
      </w:tblGrid>
      <w:tr w:rsidR="00EE3699" w:rsidRPr="00EE3699" w14:paraId="086DF774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B3040" w14:textId="77777777" w:rsidR="00EE3699" w:rsidRPr="00EE3699" w:rsidRDefault="00EE3699" w:rsidP="00EE3699">
            <w:pPr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i/>
                <w:iCs/>
                <w:color w:val="000000"/>
                <w:sz w:val="24"/>
              </w:rPr>
              <w:t>variable label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6C97C" w14:textId="77777777" w:rsidR="00EE3699" w:rsidRPr="00EE3699" w:rsidRDefault="00EE3699" w:rsidP="00EE3699">
            <w:pPr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C89C4" w14:textId="77777777" w:rsidR="00EE3699" w:rsidRPr="00EE3699" w:rsidRDefault="00EE3699" w:rsidP="00EE3699">
            <w:pPr>
              <w:rPr>
                <w:rFonts w:ascii="Calibri" w:hAnsi="Calibri" w:cs="Calibri"/>
                <w:i/>
                <w:iCs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i/>
                <w:iCs/>
                <w:color w:val="000000"/>
                <w:sz w:val="24"/>
              </w:rPr>
              <w:t>variable</w:t>
            </w:r>
          </w:p>
        </w:tc>
      </w:tr>
      <w:tr w:rsidR="00EE3699" w:rsidRPr="00EE3699" w14:paraId="4AEFFA14" w14:textId="77777777" w:rsidTr="00EE3699">
        <w:trPr>
          <w:trHeight w:val="320"/>
        </w:trPr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C90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pseudo identifier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BC2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380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id</w:t>
            </w:r>
          </w:p>
        </w:tc>
      </w:tr>
      <w:tr w:rsidR="00EE3699" w:rsidRPr="00EE3699" w14:paraId="0D62242A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BA5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 BMD z-score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823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CBF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spinezb</w:t>
            </w:r>
            <w:proofErr w:type="spellEnd"/>
          </w:p>
        </w:tc>
      </w:tr>
      <w:tr w:rsidR="00EE3699" w:rsidRPr="00EE3699" w14:paraId="2A6CEDEB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0E8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 BMD z-score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8F3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E49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hipzb</w:t>
            </w:r>
            <w:proofErr w:type="spellEnd"/>
          </w:p>
        </w:tc>
      </w:tr>
      <w:tr w:rsidR="00EE3699" w:rsidRPr="00EE3699" w14:paraId="3AC5E72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218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 BMD z-score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BA4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93F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spinez12m</w:t>
            </w:r>
          </w:p>
        </w:tc>
      </w:tr>
      <w:tr w:rsidR="00EE3699" w:rsidRPr="00EE3699" w14:paraId="238FF2C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E7F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 BMD z-score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FD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F59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hipz12m</w:t>
            </w:r>
          </w:p>
        </w:tc>
      </w:tr>
      <w:tr w:rsidR="00EE3699" w:rsidRPr="00EE3699" w14:paraId="06D5B66E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BFD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 BMD z-score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59E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884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spinez24m</w:t>
            </w:r>
          </w:p>
        </w:tc>
      </w:tr>
      <w:tr w:rsidR="00EE3699" w:rsidRPr="00EE3699" w14:paraId="29C6F37D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B0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 BMD z-score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DBF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E80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hipz24m</w:t>
            </w:r>
          </w:p>
        </w:tc>
      </w:tr>
      <w:tr w:rsidR="00EE3699" w:rsidRPr="00EE3699" w14:paraId="33055AAD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CE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 BMD z-score 36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33C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42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spinez36m</w:t>
            </w:r>
          </w:p>
        </w:tc>
      </w:tr>
      <w:tr w:rsidR="00EE3699" w:rsidRPr="00EE3699" w14:paraId="7796632A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715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 BMD z-score 36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164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B5C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hipz36m</w:t>
            </w:r>
          </w:p>
        </w:tc>
      </w:tr>
      <w:tr w:rsidR="00EE3699" w:rsidRPr="00EE3699" w14:paraId="2A029B46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343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 height-adjusted BMD z-score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533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222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spinehazzb</w:t>
            </w:r>
            <w:proofErr w:type="spellEnd"/>
          </w:p>
        </w:tc>
      </w:tr>
      <w:tr w:rsidR="00EE3699" w:rsidRPr="00EE3699" w14:paraId="715D73D9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832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lastRenderedPageBreak/>
              <w:t>spine height-adjusted BMD z-score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536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0B5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spinehazz12m</w:t>
            </w:r>
          </w:p>
        </w:tc>
      </w:tr>
      <w:tr w:rsidR="00EE3699" w:rsidRPr="00EE3699" w14:paraId="508922E9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3FF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 height-adjusted BMD z-score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FBE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0C4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spinehazz24m</w:t>
            </w:r>
          </w:p>
        </w:tc>
      </w:tr>
      <w:tr w:rsidR="00EE3699" w:rsidRPr="00EE3699" w14:paraId="7754F0FB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2F0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 height-adjusted BMD z-score 36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902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721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spinehazz36m</w:t>
            </w:r>
          </w:p>
        </w:tc>
      </w:tr>
      <w:tr w:rsidR="00EE3699" w:rsidRPr="00EE3699" w14:paraId="4FC2BC41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C23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 height-adjusted BMD z-score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D40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04A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hiphazzb</w:t>
            </w:r>
            <w:proofErr w:type="spellEnd"/>
          </w:p>
        </w:tc>
      </w:tr>
      <w:tr w:rsidR="00EE3699" w:rsidRPr="00EE3699" w14:paraId="3A61FCFA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D7A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 height-adjusted BMD z-score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5F1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D63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hiphazz12m</w:t>
            </w:r>
          </w:p>
        </w:tc>
      </w:tr>
      <w:tr w:rsidR="00EE3699" w:rsidRPr="00EE3699" w14:paraId="7409AF44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E13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 height-adjusted BMD z-score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692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CDE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hiphazz24m</w:t>
            </w:r>
          </w:p>
        </w:tc>
      </w:tr>
      <w:tr w:rsidR="00EE3699" w:rsidRPr="00EE3699" w14:paraId="56035CAC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54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 height-adjusted BMD z-score 36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2AB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F7F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hiphazz36m</w:t>
            </w:r>
          </w:p>
        </w:tc>
      </w:tr>
      <w:tr w:rsidR="00EE3699" w:rsidRPr="00EE3699" w14:paraId="15DCC036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0BF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height z-score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3E7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6F9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zhtb</w:t>
            </w:r>
            <w:proofErr w:type="spellEnd"/>
          </w:p>
        </w:tc>
      </w:tr>
      <w:tr w:rsidR="00EE3699" w:rsidRPr="00EE3699" w14:paraId="66836C99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8E9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weight z-score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034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EB9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zwtb</w:t>
            </w:r>
            <w:proofErr w:type="spellEnd"/>
          </w:p>
        </w:tc>
      </w:tr>
      <w:tr w:rsidR="00EE3699" w:rsidRPr="00EE3699" w14:paraId="6B06BDC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0FA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BMI z-score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A2D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64D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zbmib</w:t>
            </w:r>
            <w:proofErr w:type="spellEnd"/>
          </w:p>
        </w:tc>
      </w:tr>
      <w:tr w:rsidR="00EE3699" w:rsidRPr="00EE3699" w14:paraId="2FBB976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AF0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height z-score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9E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36C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zht12m</w:t>
            </w:r>
          </w:p>
        </w:tc>
      </w:tr>
      <w:tr w:rsidR="00EE3699" w:rsidRPr="00EE3699" w14:paraId="2A12DFE4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66B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weight z-score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50D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3F5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zwt12m</w:t>
            </w:r>
          </w:p>
        </w:tc>
      </w:tr>
      <w:tr w:rsidR="00EE3699" w:rsidRPr="00EE3699" w14:paraId="7B548D5D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030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BMI z-score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C4D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2BE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zbmi12m</w:t>
            </w:r>
          </w:p>
        </w:tc>
      </w:tr>
      <w:tr w:rsidR="00EE3699" w:rsidRPr="00EE3699" w14:paraId="793FFBF5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356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height z-score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E3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0E5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zht24m</w:t>
            </w:r>
          </w:p>
        </w:tc>
      </w:tr>
      <w:tr w:rsidR="00EE3699" w:rsidRPr="00EE3699" w14:paraId="30C52B59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F19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weight z-score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3D5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2CB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zwt24m</w:t>
            </w:r>
          </w:p>
        </w:tc>
      </w:tr>
      <w:tr w:rsidR="00EE3699" w:rsidRPr="00EE3699" w14:paraId="1075D739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C34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BMI z-score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913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EDC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zbmi24m</w:t>
            </w:r>
          </w:p>
        </w:tc>
      </w:tr>
      <w:tr w:rsidR="00EE3699" w:rsidRPr="00EE3699" w14:paraId="267F5965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61F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height z-score 36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829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AAF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zht36m</w:t>
            </w:r>
          </w:p>
        </w:tc>
      </w:tr>
      <w:tr w:rsidR="00EE3699" w:rsidRPr="00EE3699" w14:paraId="215195E0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34F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weight z-score 36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715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06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zwt36m</w:t>
            </w:r>
          </w:p>
        </w:tc>
      </w:tr>
      <w:tr w:rsidR="00EE3699" w:rsidRPr="00EE3699" w14:paraId="6E6ABCD7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790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BMI z-score 36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0CC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5B0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zbmi36m</w:t>
            </w:r>
          </w:p>
        </w:tc>
      </w:tr>
      <w:tr w:rsidR="00EE3699" w:rsidRPr="00EE3699" w14:paraId="51E24C11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6A1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Total t-score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89B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DC0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YSR_b_Total_Tscore</w:t>
            </w:r>
            <w:proofErr w:type="spellEnd"/>
          </w:p>
        </w:tc>
      </w:tr>
      <w:tr w:rsidR="00EE3699" w:rsidRPr="00EE3699" w14:paraId="0EEF9DD4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F93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External t-score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D44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0E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YSR_b_External_Tscore</w:t>
            </w:r>
            <w:proofErr w:type="spellEnd"/>
          </w:p>
        </w:tc>
      </w:tr>
      <w:tr w:rsidR="00EE3699" w:rsidRPr="00EE3699" w14:paraId="4E5CCEA3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8BA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Internal t-score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7ED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7FE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YSR_b_Internal_Tscore</w:t>
            </w:r>
            <w:proofErr w:type="spellEnd"/>
          </w:p>
        </w:tc>
      </w:tr>
      <w:tr w:rsidR="00EE3699" w:rsidRPr="00EE3699" w14:paraId="41428C49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2B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Total t-score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E9E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228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CBCL_b_Total_Tscore</w:t>
            </w:r>
            <w:proofErr w:type="spellEnd"/>
          </w:p>
        </w:tc>
      </w:tr>
      <w:tr w:rsidR="00EE3699" w:rsidRPr="00EE3699" w14:paraId="56C137B6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992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External t-score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FFD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4A5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CBCL_b_External_Tscore</w:t>
            </w:r>
            <w:proofErr w:type="spellEnd"/>
          </w:p>
        </w:tc>
      </w:tr>
      <w:tr w:rsidR="00EE3699" w:rsidRPr="00EE3699" w14:paraId="1689547D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12D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Internal t-score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88A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EC0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CBCL_b_Internal_Tscore</w:t>
            </w:r>
            <w:proofErr w:type="spellEnd"/>
          </w:p>
        </w:tc>
      </w:tr>
      <w:tr w:rsidR="00EE3699" w:rsidRPr="00EE3699" w14:paraId="37E60ACF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7D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Total t-score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9BE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A97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YSR_12m_Total_Tscore</w:t>
            </w:r>
          </w:p>
        </w:tc>
      </w:tr>
      <w:tr w:rsidR="00EE3699" w:rsidRPr="00EE3699" w14:paraId="6B9F497E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7E5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External t-score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B2F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5BA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YSR_12m_External_Tscore</w:t>
            </w:r>
          </w:p>
        </w:tc>
      </w:tr>
      <w:tr w:rsidR="00EE3699" w:rsidRPr="00EE3699" w14:paraId="578BF1E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649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Internal t-score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5AB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9C8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YSR_12m_Internal_Tscore</w:t>
            </w:r>
          </w:p>
        </w:tc>
      </w:tr>
      <w:tr w:rsidR="00EE3699" w:rsidRPr="00EE3699" w14:paraId="002DE888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5B3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Total t-score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5CD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74A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CBCL_12m_Total_Tscore</w:t>
            </w:r>
          </w:p>
        </w:tc>
      </w:tr>
      <w:tr w:rsidR="00EE3699" w:rsidRPr="00EE3699" w14:paraId="13BD996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6B0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External t-score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635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901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CBCL_12m_External_Tscore</w:t>
            </w:r>
          </w:p>
        </w:tc>
      </w:tr>
      <w:tr w:rsidR="00EE3699" w:rsidRPr="00EE3699" w14:paraId="26A62C6B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25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Internal t-score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02D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73F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CBCL_12m_Internal_Tscore</w:t>
            </w:r>
          </w:p>
        </w:tc>
      </w:tr>
      <w:tr w:rsidR="00EE3699" w:rsidRPr="00EE3699" w14:paraId="4F1BA7E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C3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Internal t-score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794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821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CBCL_Internal_Tscore_24m</w:t>
            </w:r>
          </w:p>
        </w:tc>
      </w:tr>
      <w:tr w:rsidR="00EE3699" w:rsidRPr="00EE3699" w14:paraId="6DC1A37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5D8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External t-score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928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611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CBCL_External_Tscore_24m</w:t>
            </w:r>
          </w:p>
        </w:tc>
      </w:tr>
      <w:tr w:rsidR="00EE3699" w:rsidRPr="00EE3699" w14:paraId="17FEF76B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4DA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Total t-score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595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054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CBCL_Total_Tscore_24m</w:t>
            </w:r>
          </w:p>
        </w:tc>
      </w:tr>
      <w:tr w:rsidR="00EE3699" w:rsidRPr="00EE3699" w14:paraId="22536D7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850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Internal t-score 36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6B5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A8B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CBCL_Internal_Tscore_36m</w:t>
            </w:r>
          </w:p>
        </w:tc>
      </w:tr>
      <w:tr w:rsidR="00EE3699" w:rsidRPr="00EE3699" w14:paraId="1DE3EB8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81E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External t-score 36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A24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5C4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CBCL_External_Tscore_36m</w:t>
            </w:r>
          </w:p>
        </w:tc>
      </w:tr>
      <w:tr w:rsidR="00EE3699" w:rsidRPr="00EE3699" w14:paraId="155B422F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9A4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 Total t-score 36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EE5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30D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CBCL_Total_Tscore_36m</w:t>
            </w:r>
          </w:p>
        </w:tc>
      </w:tr>
      <w:tr w:rsidR="00EE3699" w:rsidRPr="00EE3699" w14:paraId="3FE5D441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C0A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Internal t-score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3CE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38C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YSR_Internal_Tscore_24m</w:t>
            </w:r>
          </w:p>
        </w:tc>
      </w:tr>
      <w:tr w:rsidR="00EE3699" w:rsidRPr="00EE3699" w14:paraId="10938769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90A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External t-score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956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AED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YSR_External_Tscore_24m</w:t>
            </w:r>
          </w:p>
        </w:tc>
      </w:tr>
      <w:tr w:rsidR="00EE3699" w:rsidRPr="00EE3699" w14:paraId="7FECFACE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930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Total t-score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0D4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0F1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YSR_Total_Tscore_24m</w:t>
            </w:r>
          </w:p>
        </w:tc>
      </w:tr>
      <w:tr w:rsidR="00EE3699" w:rsidRPr="00EE3699" w14:paraId="7A23EC45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A5C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total z-score Australia reference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71C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C3F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zaustYSRb</w:t>
            </w:r>
            <w:proofErr w:type="spellEnd"/>
          </w:p>
        </w:tc>
      </w:tr>
      <w:tr w:rsidR="00EE3699" w:rsidRPr="00EE3699" w14:paraId="6AC90AB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FCB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total z-score Netherlands reference baseline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D6D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DDB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znethYSRb</w:t>
            </w:r>
            <w:proofErr w:type="spellEnd"/>
          </w:p>
        </w:tc>
      </w:tr>
      <w:tr w:rsidR="00EE3699" w:rsidRPr="00EE3699" w14:paraId="56BB3B85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335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total z-score Australia reference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7BC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914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zaustYSR12m</w:t>
            </w:r>
          </w:p>
        </w:tc>
      </w:tr>
      <w:tr w:rsidR="00EE3699" w:rsidRPr="00EE3699" w14:paraId="76F040D6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438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lastRenderedPageBreak/>
              <w:t>YSR total z-score Netherlands reference 12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15D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A33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znethYSR12m</w:t>
            </w:r>
          </w:p>
        </w:tc>
      </w:tr>
      <w:tr w:rsidR="00EE3699" w:rsidRPr="00EE3699" w14:paraId="170A5FDF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3E3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total z-score Australia reference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849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C4B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zaustYSR24m</w:t>
            </w:r>
          </w:p>
        </w:tc>
      </w:tr>
      <w:tr w:rsidR="00EE3699" w:rsidRPr="00EE3699" w14:paraId="26903077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BB1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YSR total z-score Netherlands reference 24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DD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17A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znethYSR24m</w:t>
            </w:r>
          </w:p>
        </w:tc>
      </w:tr>
      <w:tr w:rsidR="00EE3699" w:rsidRPr="00EE3699" w14:paraId="25E0DABB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08D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1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DA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27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KSParent_b_subscale1</w:t>
            </w:r>
          </w:p>
        </w:tc>
      </w:tr>
      <w:tr w:rsidR="00EE3699" w:rsidRPr="00EE3699" w14:paraId="7A79A9B8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0DC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2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517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C32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KSParent_b_subscale2</w:t>
            </w:r>
          </w:p>
        </w:tc>
      </w:tr>
      <w:tr w:rsidR="00EE3699" w:rsidRPr="00EE3699" w14:paraId="70FFC381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E4C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3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F76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9C2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KSParent_b_subscale3</w:t>
            </w:r>
          </w:p>
        </w:tc>
      </w:tr>
      <w:tr w:rsidR="00EE3699" w:rsidRPr="00EE3699" w14:paraId="152D2177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0F1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4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EBE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9F8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KSParent_b_subscale4</w:t>
            </w:r>
          </w:p>
        </w:tc>
      </w:tr>
      <w:tr w:rsidR="00EE3699" w:rsidRPr="00EE3699" w14:paraId="7F09806D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8BC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5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17F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AA3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KSParent_b_subscale5</w:t>
            </w:r>
          </w:p>
        </w:tc>
      </w:tr>
      <w:tr w:rsidR="00EE3699" w:rsidRPr="00EE3699" w14:paraId="3296043B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D96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6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E50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7E7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KSParent_b_subscale6</w:t>
            </w:r>
          </w:p>
        </w:tc>
      </w:tr>
      <w:tr w:rsidR="00EE3699" w:rsidRPr="00EE3699" w14:paraId="535126AF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07F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7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2A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C39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KSParent_b_subscale7</w:t>
            </w:r>
          </w:p>
        </w:tc>
      </w:tr>
      <w:tr w:rsidR="00EE3699" w:rsidRPr="00EE3699" w14:paraId="40369929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F59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8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AE6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0FC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KSParent_b_subscale8</w:t>
            </w:r>
          </w:p>
        </w:tc>
      </w:tr>
      <w:tr w:rsidR="00EE3699" w:rsidRPr="00EE3699" w14:paraId="14BB2FB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944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9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841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CB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KSParent_b_subscale9</w:t>
            </w:r>
          </w:p>
        </w:tc>
      </w:tr>
      <w:tr w:rsidR="00EE3699" w:rsidRPr="00EE3699" w14:paraId="1AF9EA2A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72C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10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9E6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76C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KSParent_b_subscale10</w:t>
            </w:r>
          </w:p>
        </w:tc>
      </w:tr>
      <w:tr w:rsidR="00EE3699" w:rsidRPr="00EE3699" w14:paraId="324EA927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002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1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FF0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9D5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KSParent_12m_subscale1</w:t>
            </w:r>
          </w:p>
        </w:tc>
      </w:tr>
      <w:tr w:rsidR="00EE3699" w:rsidRPr="00EE3699" w14:paraId="38AAFC9F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0D6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2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1A0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F07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KSParent_12m_subscale2</w:t>
            </w:r>
          </w:p>
        </w:tc>
      </w:tr>
      <w:tr w:rsidR="00EE3699" w:rsidRPr="00EE3699" w14:paraId="0369CDA4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3A5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3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595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9BB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KSParent_12m_subscale3</w:t>
            </w:r>
          </w:p>
        </w:tc>
      </w:tr>
      <w:tr w:rsidR="00EE3699" w:rsidRPr="00EE3699" w14:paraId="55E2CEAD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B54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4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BD6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1D9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KSParent_12m_subscale4</w:t>
            </w:r>
          </w:p>
        </w:tc>
      </w:tr>
      <w:tr w:rsidR="00EE3699" w:rsidRPr="00EE3699" w14:paraId="50A2BB5E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96F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5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677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138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KSParent_12m_subscale5</w:t>
            </w:r>
          </w:p>
        </w:tc>
      </w:tr>
      <w:tr w:rsidR="00EE3699" w:rsidRPr="00EE3699" w14:paraId="5B078793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EE2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6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77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F86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KSParent_12m_subscale6</w:t>
            </w:r>
          </w:p>
        </w:tc>
      </w:tr>
      <w:tr w:rsidR="00EE3699" w:rsidRPr="00EE3699" w14:paraId="2ED3D4FF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F6A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7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663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4E5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KSParent_12m_subscale7</w:t>
            </w:r>
          </w:p>
        </w:tc>
      </w:tr>
      <w:tr w:rsidR="00EE3699" w:rsidRPr="00EE3699" w14:paraId="31C1E502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0FA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8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664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9A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KSParent_12m_subscale8</w:t>
            </w:r>
          </w:p>
        </w:tc>
      </w:tr>
      <w:tr w:rsidR="00EE3699" w:rsidRPr="00EE3699" w14:paraId="3C690627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44A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9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7E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1E6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KSParent_12m_subscale9</w:t>
            </w:r>
          </w:p>
        </w:tc>
      </w:tr>
      <w:tr w:rsidR="00EE3699" w:rsidRPr="00EE3699" w14:paraId="57933FDC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D5B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10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B01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3D6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KSParent_12m_subscale10</w:t>
            </w:r>
          </w:p>
        </w:tc>
      </w:tr>
      <w:tr w:rsidR="00EE3699" w:rsidRPr="00EE3699" w14:paraId="3020A11B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BCC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1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00A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B34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KSChild_b_subscale1</w:t>
            </w:r>
          </w:p>
        </w:tc>
      </w:tr>
      <w:tr w:rsidR="00EE3699" w:rsidRPr="00EE3699" w14:paraId="6C40551E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5B6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2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788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6FE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KSChild_b_subscale2</w:t>
            </w:r>
          </w:p>
        </w:tc>
      </w:tr>
      <w:tr w:rsidR="00EE3699" w:rsidRPr="00EE3699" w14:paraId="473AADCC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514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3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70C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2CE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KSChild_b_subscale3</w:t>
            </w:r>
          </w:p>
        </w:tc>
      </w:tr>
      <w:tr w:rsidR="00EE3699" w:rsidRPr="00EE3699" w14:paraId="580E8165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40E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4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B6E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C09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KSChild_b_subscale4</w:t>
            </w:r>
          </w:p>
        </w:tc>
      </w:tr>
      <w:tr w:rsidR="00EE3699" w:rsidRPr="00EE3699" w14:paraId="7CE0587D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F02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5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210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ABA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KSChild_b_subscale5</w:t>
            </w:r>
          </w:p>
        </w:tc>
      </w:tr>
      <w:tr w:rsidR="00EE3699" w:rsidRPr="00EE3699" w14:paraId="33E5663B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B02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6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25B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50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KSChild_b_subscale6</w:t>
            </w:r>
          </w:p>
        </w:tc>
      </w:tr>
      <w:tr w:rsidR="00EE3699" w:rsidRPr="00EE3699" w14:paraId="190D9F77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C7C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7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3B6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08F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KSChild_b_subscale7</w:t>
            </w:r>
          </w:p>
        </w:tc>
      </w:tr>
      <w:tr w:rsidR="00EE3699" w:rsidRPr="00EE3699" w14:paraId="2D8DCDEF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4BA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8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508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351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KSChild_b_subscale8</w:t>
            </w:r>
          </w:p>
        </w:tc>
      </w:tr>
      <w:tr w:rsidR="00EE3699" w:rsidRPr="00EE3699" w14:paraId="1616E189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192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9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948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26A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KSChild_b_subscale9</w:t>
            </w:r>
          </w:p>
        </w:tc>
      </w:tr>
      <w:tr w:rsidR="00EE3699" w:rsidRPr="00EE3699" w14:paraId="2C2BFF1F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0AD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10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3A7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8E3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KSChild_b_subscale10</w:t>
            </w:r>
          </w:p>
        </w:tc>
      </w:tr>
      <w:tr w:rsidR="00EE3699" w:rsidRPr="00EE3699" w14:paraId="2261AEC1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0DA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1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546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92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KSChild_12m_subscale1</w:t>
            </w:r>
          </w:p>
        </w:tc>
      </w:tr>
      <w:tr w:rsidR="00EE3699" w:rsidRPr="00EE3699" w14:paraId="31B49788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F03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2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459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929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KSChild_12m_subscale2</w:t>
            </w:r>
          </w:p>
        </w:tc>
      </w:tr>
      <w:tr w:rsidR="00EE3699" w:rsidRPr="00EE3699" w14:paraId="0617F75E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17F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3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5D95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0AE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KSChild_12m_subscale3</w:t>
            </w:r>
          </w:p>
        </w:tc>
      </w:tr>
      <w:tr w:rsidR="00EE3699" w:rsidRPr="00EE3699" w14:paraId="333C3DB6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48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4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246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7F5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KSChild_12m_subscale4</w:t>
            </w:r>
          </w:p>
        </w:tc>
      </w:tr>
      <w:tr w:rsidR="00EE3699" w:rsidRPr="00EE3699" w14:paraId="5CD0A23A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4F8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5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A54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C9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KSChild_12m_subscale5</w:t>
            </w:r>
          </w:p>
        </w:tc>
      </w:tr>
      <w:tr w:rsidR="00EE3699" w:rsidRPr="00EE3699" w14:paraId="3C5535D0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7A3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6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6B9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45C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KSChild_12m_subscale6</w:t>
            </w:r>
          </w:p>
        </w:tc>
      </w:tr>
      <w:tr w:rsidR="00EE3699" w:rsidRPr="00EE3699" w14:paraId="03FD090E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3C9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7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200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AF1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KSChild_12m_subscale7</w:t>
            </w:r>
          </w:p>
        </w:tc>
      </w:tr>
      <w:tr w:rsidR="00EE3699" w:rsidRPr="00EE3699" w14:paraId="37003FEE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047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8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899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441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KSChild_12m_subscale8</w:t>
            </w:r>
          </w:p>
        </w:tc>
      </w:tr>
      <w:tr w:rsidR="00EE3699" w:rsidRPr="00EE3699" w14:paraId="4E4AD8AD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5BB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9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3AB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644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KSChild_12m_subscale9</w:t>
            </w:r>
          </w:p>
        </w:tc>
      </w:tr>
      <w:tr w:rsidR="00EE3699" w:rsidRPr="00EE3699" w14:paraId="4A10B6A4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395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10 12m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A0C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56D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KSChild_12m_subscale10</w:t>
            </w:r>
          </w:p>
        </w:tc>
      </w:tr>
      <w:tr w:rsidR="00EE3699" w:rsidRPr="00EE3699" w14:paraId="3D6A8C2D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912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lastRenderedPageBreak/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1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AF9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DC8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KSChild_24m_subscale1</w:t>
            </w:r>
          </w:p>
        </w:tc>
      </w:tr>
      <w:tr w:rsidR="00EE3699" w:rsidRPr="00EE3699" w14:paraId="4975E82B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5F5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2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0B1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8F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KSChild_24m_subscale2</w:t>
            </w:r>
          </w:p>
        </w:tc>
      </w:tr>
      <w:tr w:rsidR="00EE3699" w:rsidRPr="00EE3699" w14:paraId="159EBCB9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994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3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1D7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B5F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KSChild_24m_subscale3</w:t>
            </w:r>
          </w:p>
        </w:tc>
      </w:tr>
      <w:tr w:rsidR="00EE3699" w:rsidRPr="00EE3699" w14:paraId="5D7C6016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CAD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4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83F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DAD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KSChild_24m_subscale4</w:t>
            </w:r>
          </w:p>
        </w:tc>
      </w:tr>
      <w:tr w:rsidR="00EE3699" w:rsidRPr="00EE3699" w14:paraId="4490CC27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15D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5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B26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E6B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KSChild_24m_subscale5</w:t>
            </w:r>
          </w:p>
        </w:tc>
      </w:tr>
      <w:tr w:rsidR="00EE3699" w:rsidRPr="00EE3699" w14:paraId="70C3076C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CD9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6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B52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4B1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KSChild_24m_subscale6</w:t>
            </w:r>
          </w:p>
        </w:tc>
      </w:tr>
      <w:tr w:rsidR="00EE3699" w:rsidRPr="00EE3699" w14:paraId="121BEA51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B86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7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8FD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73C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KSChild_24m_subscale7</w:t>
            </w:r>
          </w:p>
        </w:tc>
      </w:tr>
      <w:tr w:rsidR="00EE3699" w:rsidRPr="00EE3699" w14:paraId="3D2D1BDF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DD3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8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A01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62E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KSChild_24m_subscale8</w:t>
            </w:r>
          </w:p>
        </w:tc>
      </w:tr>
      <w:tr w:rsidR="00EE3699" w:rsidRPr="00EE3699" w14:paraId="7C566EE4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FB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9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8F6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6FC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KSChild_24m_subscale9</w:t>
            </w:r>
          </w:p>
        </w:tc>
      </w:tr>
      <w:tr w:rsidR="00EE3699" w:rsidRPr="00EE3699" w14:paraId="60143807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5F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Child subscale 10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B91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90C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KSChild_24m_subscale10</w:t>
            </w:r>
          </w:p>
        </w:tc>
      </w:tr>
      <w:tr w:rsidR="00EE3699" w:rsidRPr="00EE3699" w14:paraId="2160C726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54CA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1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809B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8F2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KSParent_24m_subscale1</w:t>
            </w:r>
          </w:p>
        </w:tc>
      </w:tr>
      <w:tr w:rsidR="00EE3699" w:rsidRPr="00EE3699" w14:paraId="5154C7BC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AE5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2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CF31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5C4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KSParent_24m_subscale2</w:t>
            </w:r>
          </w:p>
        </w:tc>
      </w:tr>
      <w:tr w:rsidR="00EE3699" w:rsidRPr="00EE3699" w14:paraId="20E14B63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51E3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3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3C1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3B42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KSParent_24m_subscale3</w:t>
            </w:r>
          </w:p>
        </w:tc>
      </w:tr>
      <w:tr w:rsidR="00EE3699" w:rsidRPr="00EE3699" w14:paraId="3C2C1AC0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EAD4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4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CD5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367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KSParent_24m_subscale4</w:t>
            </w:r>
          </w:p>
        </w:tc>
      </w:tr>
      <w:tr w:rsidR="00EE3699" w:rsidRPr="00EE3699" w14:paraId="1995E34B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FA3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5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C7E0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C98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KSParent_24m_subscale5</w:t>
            </w:r>
          </w:p>
        </w:tc>
      </w:tr>
      <w:tr w:rsidR="00EE3699" w:rsidRPr="00EE3699" w14:paraId="768DBE10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692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6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936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E0C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KSParent_24m_subscale6</w:t>
            </w:r>
          </w:p>
        </w:tc>
      </w:tr>
      <w:tr w:rsidR="00EE3699" w:rsidRPr="00EE3699" w14:paraId="5C326FE7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67BF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7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CEA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7BF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KSParent_24m_subscale7</w:t>
            </w:r>
          </w:p>
        </w:tc>
      </w:tr>
      <w:tr w:rsidR="00EE3699" w:rsidRPr="00EE3699" w14:paraId="6DCF4593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C65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8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ADC7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91A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KSParent_24m_subscale8</w:t>
            </w:r>
          </w:p>
        </w:tc>
      </w:tr>
      <w:tr w:rsidR="00EE3699" w:rsidRPr="00EE3699" w14:paraId="6B5B5560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020D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9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8B0E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8C3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KSParent_24m_subscale9</w:t>
            </w:r>
          </w:p>
        </w:tc>
      </w:tr>
      <w:tr w:rsidR="00EE3699" w:rsidRPr="00EE3699" w14:paraId="1888EFAC" w14:textId="77777777" w:rsidTr="00EE3699">
        <w:trPr>
          <w:trHeight w:val="3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28A8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E3699">
              <w:rPr>
                <w:rFonts w:ascii="Calibri" w:hAnsi="Calibri" w:cs="Calibri"/>
                <w:color w:val="000000"/>
                <w:sz w:val="24"/>
              </w:rPr>
              <w:t>Kidscreen</w:t>
            </w:r>
            <w:proofErr w:type="spellEnd"/>
            <w:r w:rsidRPr="00EE3699">
              <w:rPr>
                <w:rFonts w:ascii="Calibri" w:hAnsi="Calibri" w:cs="Calibri"/>
                <w:color w:val="000000"/>
                <w:sz w:val="24"/>
              </w:rPr>
              <w:t xml:space="preserve"> Parent subscale 10 24m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7459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4076" w14:textId="77777777" w:rsidR="00EE3699" w:rsidRPr="00EE3699" w:rsidRDefault="00EE3699" w:rsidP="00EE3699">
            <w:pPr>
              <w:rPr>
                <w:rFonts w:ascii="Calibri" w:hAnsi="Calibri" w:cs="Calibri"/>
                <w:color w:val="000000"/>
                <w:sz w:val="24"/>
              </w:rPr>
            </w:pPr>
            <w:r w:rsidRPr="00EE3699">
              <w:rPr>
                <w:rFonts w:ascii="Calibri" w:hAnsi="Calibri" w:cs="Calibri"/>
                <w:color w:val="000000"/>
                <w:sz w:val="24"/>
              </w:rPr>
              <w:t>KSParent_24m_subscale10</w:t>
            </w:r>
          </w:p>
        </w:tc>
      </w:tr>
    </w:tbl>
    <w:p w14:paraId="74365917" w14:textId="77777777" w:rsidR="00EE3699" w:rsidRDefault="00EE3699"/>
    <w:sectPr w:rsidR="00EE3699" w:rsidSect="003547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2A34"/>
    <w:multiLevelType w:val="hybridMultilevel"/>
    <w:tmpl w:val="148A3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E18"/>
    <w:multiLevelType w:val="hybridMultilevel"/>
    <w:tmpl w:val="688A0C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927FE"/>
    <w:multiLevelType w:val="hybridMultilevel"/>
    <w:tmpl w:val="6386899A"/>
    <w:lvl w:ilvl="0" w:tplc="776E46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64B7F"/>
    <w:multiLevelType w:val="hybridMultilevel"/>
    <w:tmpl w:val="216CA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4"/>
    <w:rsid w:val="000001A9"/>
    <w:rsid w:val="00001382"/>
    <w:rsid w:val="00003C6B"/>
    <w:rsid w:val="00022E1C"/>
    <w:rsid w:val="0003102D"/>
    <w:rsid w:val="0003172B"/>
    <w:rsid w:val="00032A13"/>
    <w:rsid w:val="000507CC"/>
    <w:rsid w:val="00051600"/>
    <w:rsid w:val="00054068"/>
    <w:rsid w:val="00055502"/>
    <w:rsid w:val="00061741"/>
    <w:rsid w:val="00081F00"/>
    <w:rsid w:val="00083773"/>
    <w:rsid w:val="00090188"/>
    <w:rsid w:val="000C18B9"/>
    <w:rsid w:val="000C37E9"/>
    <w:rsid w:val="000C5FEB"/>
    <w:rsid w:val="000D56E3"/>
    <w:rsid w:val="000E51AE"/>
    <w:rsid w:val="000E6141"/>
    <w:rsid w:val="000E6B59"/>
    <w:rsid w:val="000E6C56"/>
    <w:rsid w:val="000F7D7A"/>
    <w:rsid w:val="00103C2F"/>
    <w:rsid w:val="00120F75"/>
    <w:rsid w:val="0012261C"/>
    <w:rsid w:val="0012420E"/>
    <w:rsid w:val="001253EF"/>
    <w:rsid w:val="00127D69"/>
    <w:rsid w:val="00140E9D"/>
    <w:rsid w:val="0014558F"/>
    <w:rsid w:val="001524E3"/>
    <w:rsid w:val="00154F48"/>
    <w:rsid w:val="0015670F"/>
    <w:rsid w:val="00160C47"/>
    <w:rsid w:val="001731AC"/>
    <w:rsid w:val="00176624"/>
    <w:rsid w:val="00177132"/>
    <w:rsid w:val="00184C32"/>
    <w:rsid w:val="00184FC0"/>
    <w:rsid w:val="001A088B"/>
    <w:rsid w:val="001B2766"/>
    <w:rsid w:val="001D2450"/>
    <w:rsid w:val="001E13E2"/>
    <w:rsid w:val="001E2C13"/>
    <w:rsid w:val="001E2C96"/>
    <w:rsid w:val="00203ADD"/>
    <w:rsid w:val="00204911"/>
    <w:rsid w:val="002052C5"/>
    <w:rsid w:val="002126E1"/>
    <w:rsid w:val="00213C5A"/>
    <w:rsid w:val="00224DEC"/>
    <w:rsid w:val="002518FB"/>
    <w:rsid w:val="00262467"/>
    <w:rsid w:val="00263862"/>
    <w:rsid w:val="00267CA4"/>
    <w:rsid w:val="0027000B"/>
    <w:rsid w:val="0027681D"/>
    <w:rsid w:val="002958E1"/>
    <w:rsid w:val="002A0FF0"/>
    <w:rsid w:val="002A2D79"/>
    <w:rsid w:val="002B6326"/>
    <w:rsid w:val="002B736B"/>
    <w:rsid w:val="002D7646"/>
    <w:rsid w:val="002E69BD"/>
    <w:rsid w:val="002F1B6C"/>
    <w:rsid w:val="002F4CA7"/>
    <w:rsid w:val="003043DE"/>
    <w:rsid w:val="0030482C"/>
    <w:rsid w:val="00304BD9"/>
    <w:rsid w:val="00304DDE"/>
    <w:rsid w:val="003070AF"/>
    <w:rsid w:val="00311C14"/>
    <w:rsid w:val="003172FF"/>
    <w:rsid w:val="003377BB"/>
    <w:rsid w:val="00353185"/>
    <w:rsid w:val="00354781"/>
    <w:rsid w:val="00357EF3"/>
    <w:rsid w:val="00360A78"/>
    <w:rsid w:val="00362F14"/>
    <w:rsid w:val="00370E50"/>
    <w:rsid w:val="00373D28"/>
    <w:rsid w:val="003800D4"/>
    <w:rsid w:val="00391E73"/>
    <w:rsid w:val="003A57E3"/>
    <w:rsid w:val="003B5E60"/>
    <w:rsid w:val="003C361A"/>
    <w:rsid w:val="003C6906"/>
    <w:rsid w:val="003D4ADC"/>
    <w:rsid w:val="003E038D"/>
    <w:rsid w:val="003E0FA0"/>
    <w:rsid w:val="003E1755"/>
    <w:rsid w:val="003F2E12"/>
    <w:rsid w:val="003F62B9"/>
    <w:rsid w:val="00404967"/>
    <w:rsid w:val="00412CAE"/>
    <w:rsid w:val="00424429"/>
    <w:rsid w:val="00432971"/>
    <w:rsid w:val="00434769"/>
    <w:rsid w:val="00447FE7"/>
    <w:rsid w:val="004501FD"/>
    <w:rsid w:val="00454514"/>
    <w:rsid w:val="0046076D"/>
    <w:rsid w:val="00462A2F"/>
    <w:rsid w:val="004802DF"/>
    <w:rsid w:val="00484A5B"/>
    <w:rsid w:val="00487886"/>
    <w:rsid w:val="004A0EB7"/>
    <w:rsid w:val="004C4F90"/>
    <w:rsid w:val="004D3435"/>
    <w:rsid w:val="004D3B73"/>
    <w:rsid w:val="004E375C"/>
    <w:rsid w:val="004E6E64"/>
    <w:rsid w:val="00504DC6"/>
    <w:rsid w:val="005051D0"/>
    <w:rsid w:val="0051652F"/>
    <w:rsid w:val="00531675"/>
    <w:rsid w:val="00534AB5"/>
    <w:rsid w:val="00537407"/>
    <w:rsid w:val="00541146"/>
    <w:rsid w:val="0055253E"/>
    <w:rsid w:val="00552EA1"/>
    <w:rsid w:val="005767B9"/>
    <w:rsid w:val="00587D4B"/>
    <w:rsid w:val="0059523B"/>
    <w:rsid w:val="00595D91"/>
    <w:rsid w:val="00597BBA"/>
    <w:rsid w:val="005A4356"/>
    <w:rsid w:val="005B1FB6"/>
    <w:rsid w:val="005C1165"/>
    <w:rsid w:val="005E0630"/>
    <w:rsid w:val="005E30AE"/>
    <w:rsid w:val="005E335C"/>
    <w:rsid w:val="005E4CB0"/>
    <w:rsid w:val="00602546"/>
    <w:rsid w:val="006204A5"/>
    <w:rsid w:val="0064353D"/>
    <w:rsid w:val="00651ECA"/>
    <w:rsid w:val="00654E4F"/>
    <w:rsid w:val="00666EC9"/>
    <w:rsid w:val="00673740"/>
    <w:rsid w:val="00675BE2"/>
    <w:rsid w:val="00675FD4"/>
    <w:rsid w:val="00693952"/>
    <w:rsid w:val="00695F79"/>
    <w:rsid w:val="00696C18"/>
    <w:rsid w:val="006B4FE3"/>
    <w:rsid w:val="006B795D"/>
    <w:rsid w:val="006C30BF"/>
    <w:rsid w:val="006C333D"/>
    <w:rsid w:val="006C7856"/>
    <w:rsid w:val="006D409A"/>
    <w:rsid w:val="006D707F"/>
    <w:rsid w:val="006E2CD9"/>
    <w:rsid w:val="006F0C6D"/>
    <w:rsid w:val="007038A1"/>
    <w:rsid w:val="00703F33"/>
    <w:rsid w:val="00706512"/>
    <w:rsid w:val="00710A02"/>
    <w:rsid w:val="00714453"/>
    <w:rsid w:val="0073536B"/>
    <w:rsid w:val="0073649A"/>
    <w:rsid w:val="007444DE"/>
    <w:rsid w:val="0074467A"/>
    <w:rsid w:val="00764412"/>
    <w:rsid w:val="00773C44"/>
    <w:rsid w:val="00781C3E"/>
    <w:rsid w:val="007832FC"/>
    <w:rsid w:val="007A568A"/>
    <w:rsid w:val="007A6834"/>
    <w:rsid w:val="007B233A"/>
    <w:rsid w:val="007B3052"/>
    <w:rsid w:val="007B7768"/>
    <w:rsid w:val="007C0C4F"/>
    <w:rsid w:val="007C137A"/>
    <w:rsid w:val="007C4C56"/>
    <w:rsid w:val="007D0E01"/>
    <w:rsid w:val="007E24A5"/>
    <w:rsid w:val="007E25D7"/>
    <w:rsid w:val="007F5DB1"/>
    <w:rsid w:val="00800FCF"/>
    <w:rsid w:val="0080428C"/>
    <w:rsid w:val="00813CD7"/>
    <w:rsid w:val="00823671"/>
    <w:rsid w:val="00837F8C"/>
    <w:rsid w:val="00851912"/>
    <w:rsid w:val="00853B78"/>
    <w:rsid w:val="008557FE"/>
    <w:rsid w:val="00857C12"/>
    <w:rsid w:val="00870BF4"/>
    <w:rsid w:val="00875B46"/>
    <w:rsid w:val="00881825"/>
    <w:rsid w:val="00883DD0"/>
    <w:rsid w:val="00885A9F"/>
    <w:rsid w:val="00892A65"/>
    <w:rsid w:val="00894B6E"/>
    <w:rsid w:val="008B54F8"/>
    <w:rsid w:val="008E3545"/>
    <w:rsid w:val="008E6A5D"/>
    <w:rsid w:val="008F4742"/>
    <w:rsid w:val="0091697E"/>
    <w:rsid w:val="00920103"/>
    <w:rsid w:val="00920946"/>
    <w:rsid w:val="00923311"/>
    <w:rsid w:val="009408CF"/>
    <w:rsid w:val="009444B3"/>
    <w:rsid w:val="00946424"/>
    <w:rsid w:val="00956B43"/>
    <w:rsid w:val="00956BDA"/>
    <w:rsid w:val="00977F18"/>
    <w:rsid w:val="00981AB7"/>
    <w:rsid w:val="00990E1E"/>
    <w:rsid w:val="00994FA9"/>
    <w:rsid w:val="009978F5"/>
    <w:rsid w:val="009A4DE0"/>
    <w:rsid w:val="009B3127"/>
    <w:rsid w:val="009B3BE4"/>
    <w:rsid w:val="009B63C1"/>
    <w:rsid w:val="009B7279"/>
    <w:rsid w:val="009C500E"/>
    <w:rsid w:val="009C5616"/>
    <w:rsid w:val="009C6186"/>
    <w:rsid w:val="009C620F"/>
    <w:rsid w:val="009C7D2F"/>
    <w:rsid w:val="009D2441"/>
    <w:rsid w:val="009D2476"/>
    <w:rsid w:val="009E2489"/>
    <w:rsid w:val="009E4ACD"/>
    <w:rsid w:val="00A12A92"/>
    <w:rsid w:val="00A17EAE"/>
    <w:rsid w:val="00A2030F"/>
    <w:rsid w:val="00A334FE"/>
    <w:rsid w:val="00A33955"/>
    <w:rsid w:val="00A43206"/>
    <w:rsid w:val="00A455EF"/>
    <w:rsid w:val="00A4565A"/>
    <w:rsid w:val="00A47AA6"/>
    <w:rsid w:val="00A60466"/>
    <w:rsid w:val="00A70735"/>
    <w:rsid w:val="00A70E21"/>
    <w:rsid w:val="00A736C2"/>
    <w:rsid w:val="00A767E8"/>
    <w:rsid w:val="00A82D76"/>
    <w:rsid w:val="00A836EF"/>
    <w:rsid w:val="00A843DA"/>
    <w:rsid w:val="00A8672C"/>
    <w:rsid w:val="00A86D44"/>
    <w:rsid w:val="00A94D39"/>
    <w:rsid w:val="00AA1B77"/>
    <w:rsid w:val="00AA3AF9"/>
    <w:rsid w:val="00AA4400"/>
    <w:rsid w:val="00AB3E0B"/>
    <w:rsid w:val="00AB4913"/>
    <w:rsid w:val="00AC298C"/>
    <w:rsid w:val="00AE1063"/>
    <w:rsid w:val="00AE16F5"/>
    <w:rsid w:val="00AF2E6F"/>
    <w:rsid w:val="00AF6441"/>
    <w:rsid w:val="00B066FC"/>
    <w:rsid w:val="00B067D9"/>
    <w:rsid w:val="00B076E6"/>
    <w:rsid w:val="00B12E36"/>
    <w:rsid w:val="00B20C6D"/>
    <w:rsid w:val="00B3120B"/>
    <w:rsid w:val="00B36419"/>
    <w:rsid w:val="00B3652F"/>
    <w:rsid w:val="00B367DD"/>
    <w:rsid w:val="00B51A39"/>
    <w:rsid w:val="00B95937"/>
    <w:rsid w:val="00BA3093"/>
    <w:rsid w:val="00BA48CF"/>
    <w:rsid w:val="00BA5353"/>
    <w:rsid w:val="00BB0C15"/>
    <w:rsid w:val="00BB3E4F"/>
    <w:rsid w:val="00BB4242"/>
    <w:rsid w:val="00BC2871"/>
    <w:rsid w:val="00BC5F0D"/>
    <w:rsid w:val="00BD1AE4"/>
    <w:rsid w:val="00BD5AFE"/>
    <w:rsid w:val="00BD68D6"/>
    <w:rsid w:val="00BE3B9B"/>
    <w:rsid w:val="00BE797A"/>
    <w:rsid w:val="00BF25D2"/>
    <w:rsid w:val="00BF3715"/>
    <w:rsid w:val="00C000D7"/>
    <w:rsid w:val="00C01B46"/>
    <w:rsid w:val="00C148EA"/>
    <w:rsid w:val="00C25240"/>
    <w:rsid w:val="00C2622D"/>
    <w:rsid w:val="00C45095"/>
    <w:rsid w:val="00C556F5"/>
    <w:rsid w:val="00C62AA4"/>
    <w:rsid w:val="00C64F61"/>
    <w:rsid w:val="00C84D06"/>
    <w:rsid w:val="00C8619B"/>
    <w:rsid w:val="00C932E0"/>
    <w:rsid w:val="00CA0633"/>
    <w:rsid w:val="00CA36DA"/>
    <w:rsid w:val="00CA7DD0"/>
    <w:rsid w:val="00CB01A3"/>
    <w:rsid w:val="00CB5CCD"/>
    <w:rsid w:val="00CB6B7E"/>
    <w:rsid w:val="00CC10C3"/>
    <w:rsid w:val="00CC4D09"/>
    <w:rsid w:val="00CC6E3F"/>
    <w:rsid w:val="00CD4380"/>
    <w:rsid w:val="00CF25C6"/>
    <w:rsid w:val="00D004BE"/>
    <w:rsid w:val="00D03791"/>
    <w:rsid w:val="00D45E1F"/>
    <w:rsid w:val="00D62789"/>
    <w:rsid w:val="00D71949"/>
    <w:rsid w:val="00D76FE8"/>
    <w:rsid w:val="00D84DA2"/>
    <w:rsid w:val="00D85362"/>
    <w:rsid w:val="00D9541D"/>
    <w:rsid w:val="00D9659D"/>
    <w:rsid w:val="00DA4068"/>
    <w:rsid w:val="00DA7E32"/>
    <w:rsid w:val="00DB1494"/>
    <w:rsid w:val="00DC3CE2"/>
    <w:rsid w:val="00DE4161"/>
    <w:rsid w:val="00DE79F3"/>
    <w:rsid w:val="00E3499F"/>
    <w:rsid w:val="00E37EB0"/>
    <w:rsid w:val="00E464A1"/>
    <w:rsid w:val="00E63E3B"/>
    <w:rsid w:val="00E6410E"/>
    <w:rsid w:val="00E72561"/>
    <w:rsid w:val="00E737BD"/>
    <w:rsid w:val="00E74C5A"/>
    <w:rsid w:val="00E85A30"/>
    <w:rsid w:val="00E9767C"/>
    <w:rsid w:val="00EA2911"/>
    <w:rsid w:val="00EA5607"/>
    <w:rsid w:val="00EB41FE"/>
    <w:rsid w:val="00EC4C2E"/>
    <w:rsid w:val="00EE3699"/>
    <w:rsid w:val="00EF4D45"/>
    <w:rsid w:val="00F24933"/>
    <w:rsid w:val="00F3330F"/>
    <w:rsid w:val="00F37A0A"/>
    <w:rsid w:val="00F41F8A"/>
    <w:rsid w:val="00F43A33"/>
    <w:rsid w:val="00F515DD"/>
    <w:rsid w:val="00F564E6"/>
    <w:rsid w:val="00F5713A"/>
    <w:rsid w:val="00F618E1"/>
    <w:rsid w:val="00F62195"/>
    <w:rsid w:val="00F64200"/>
    <w:rsid w:val="00F76E7E"/>
    <w:rsid w:val="00F824C0"/>
    <w:rsid w:val="00F846AE"/>
    <w:rsid w:val="00F87E78"/>
    <w:rsid w:val="00F95870"/>
    <w:rsid w:val="00FC3D3C"/>
    <w:rsid w:val="00FC3FBB"/>
    <w:rsid w:val="00FC4BA3"/>
    <w:rsid w:val="00FC58C8"/>
    <w:rsid w:val="00FD78D7"/>
    <w:rsid w:val="00FE413E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C3FB"/>
  <w14:defaultImageDpi w14:val="32767"/>
  <w15:chartTrackingRefBased/>
  <w15:docId w15:val="{3B4CA56B-C19B-F84B-85E0-30F3CF1D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2E12"/>
    <w:rPr>
      <w:rFonts w:cs="Times New Roman"/>
      <w:sz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1B46"/>
    <w:pPr>
      <w:keepNext/>
      <w:keepLines/>
      <w:spacing w:before="480" w:line="480" w:lineRule="auto"/>
      <w:outlineLvl w:val="0"/>
    </w:pPr>
    <w:rPr>
      <w:rFonts w:eastAsiaTheme="majorEastAsia"/>
      <w:b/>
      <w:bCs/>
      <w:color w:val="767171" w:themeColor="background2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906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3B3838" w:themeColor="background2" w:themeShade="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906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color w:val="3B3838" w:themeColor="background2" w:themeShade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9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B3838" w:themeColor="background2" w:themeShade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0B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C6906"/>
    <w:rPr>
      <w:rFonts w:asciiTheme="majorHAnsi" w:eastAsiaTheme="majorEastAsia" w:hAnsiTheme="majorHAnsi" w:cstheme="majorBidi"/>
      <w:color w:val="3B3838" w:themeColor="background2" w:themeShade="4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C6906"/>
    <w:rPr>
      <w:rFonts w:asciiTheme="majorHAnsi" w:eastAsiaTheme="majorEastAsia" w:hAnsiTheme="majorHAnsi" w:cstheme="majorBidi"/>
      <w:color w:val="3B3838" w:themeColor="background2" w:themeShade="4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01B46"/>
    <w:rPr>
      <w:rFonts w:eastAsiaTheme="majorEastAsia" w:cs="Times New Roman"/>
      <w:b/>
      <w:bCs/>
      <w:color w:val="767171" w:themeColor="background2" w:themeShade="8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6906"/>
    <w:rPr>
      <w:rFonts w:asciiTheme="majorHAnsi" w:eastAsiaTheme="majorEastAsia" w:hAnsiTheme="majorHAnsi" w:cstheme="majorBidi"/>
      <w:i/>
      <w:iCs/>
      <w:color w:val="3B3838" w:themeColor="background2" w:themeShade="40"/>
      <w:sz w:val="22"/>
    </w:rPr>
  </w:style>
  <w:style w:type="paragraph" w:styleId="ListParagraph">
    <w:name w:val="List Paragraph"/>
    <w:basedOn w:val="Normal"/>
    <w:uiPriority w:val="34"/>
    <w:qFormat/>
    <w:rsid w:val="00FC3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4A5"/>
    <w:rPr>
      <w:color w:val="0563C1" w:themeColor="hyperlink"/>
      <w:u w:val="single"/>
    </w:rPr>
  </w:style>
  <w:style w:type="paragraph" w:customStyle="1" w:styleId="Default">
    <w:name w:val="Default"/>
    <w:rsid w:val="006204A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6204A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D4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rxiv.org/content/10.1101/2020.12.01.20241653v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pa.ac.uk/files/espa/Sharing%20social%20da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dataservice.ac.uk/media/604725/cd171-microdatahandling.pdf" TargetMode="External"/><Relationship Id="rId5" Type="http://schemas.openxmlformats.org/officeDocument/2006/relationships/hyperlink" Target="https://ukanon.net/wp-content/uploads/2015/05/The-Anonymisation-Decision-making-Framework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2013</Words>
  <Characters>11378</Characters>
  <Application>Microsoft Office Word</Application>
  <DocSecurity>0</DocSecurity>
  <Lines>367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Viner, Russell</dc:creator>
  <cp:keywords/>
  <dc:description/>
  <cp:lastModifiedBy>Viner, Russell</cp:lastModifiedBy>
  <cp:revision>8</cp:revision>
  <dcterms:created xsi:type="dcterms:W3CDTF">2020-12-14T10:42:00Z</dcterms:created>
  <dcterms:modified xsi:type="dcterms:W3CDTF">2020-12-14T17:18:00Z</dcterms:modified>
</cp:coreProperties>
</file>