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B3" w:rsidRPr="00FA369E" w:rsidRDefault="00E342B3" w:rsidP="00E342B3">
      <w:pPr>
        <w:spacing w:line="360" w:lineRule="auto"/>
        <w:jc w:val="center"/>
        <w:rPr>
          <w:rFonts w:eastAsiaTheme="minorEastAsia"/>
          <w:b/>
          <w:lang w:eastAsia="en-GB"/>
        </w:rPr>
      </w:pPr>
      <w:bookmarkStart w:id="0" w:name="_GoBack"/>
      <w:bookmarkEnd w:id="0"/>
      <w:r w:rsidRPr="00FA369E">
        <w:rPr>
          <w:rFonts w:eastAsiaTheme="minorEastAsia"/>
          <w:b/>
          <w:lang w:eastAsia="en-GB"/>
        </w:rPr>
        <w:t>Information Sheet</w:t>
      </w:r>
    </w:p>
    <w:p w:rsidR="00E342B3" w:rsidRPr="00FA369E" w:rsidRDefault="00E342B3" w:rsidP="00E342B3">
      <w:pPr>
        <w:spacing w:line="360" w:lineRule="auto"/>
        <w:jc w:val="center"/>
        <w:rPr>
          <w:rFonts w:eastAsiaTheme="minorEastAsia"/>
          <w:b/>
          <w:lang w:eastAsia="en-GB"/>
        </w:rPr>
      </w:pPr>
    </w:p>
    <w:p w:rsidR="00E342B3" w:rsidRPr="00FA369E" w:rsidRDefault="00E342B3" w:rsidP="00E342B3">
      <w:pPr>
        <w:jc w:val="center"/>
        <w:rPr>
          <w:b/>
        </w:rPr>
      </w:pPr>
      <w:r w:rsidRPr="00FA369E">
        <w:rPr>
          <w:b/>
        </w:rPr>
        <w:t>T</w:t>
      </w:r>
      <w:r w:rsidRPr="00FA369E">
        <w:rPr>
          <w:b/>
          <w:noProof/>
        </w:rPr>
        <w:t>emporal discounting and subjective distance judgments in children</w:t>
      </w:r>
    </w:p>
    <w:p w:rsidR="00E342B3" w:rsidRPr="00FA369E" w:rsidRDefault="00E342B3" w:rsidP="00E342B3">
      <w:pPr>
        <w:jc w:val="center"/>
        <w:rPr>
          <w:b/>
          <w:highlight w:val="yellow"/>
        </w:rPr>
      </w:pPr>
    </w:p>
    <w:p w:rsidR="00E342B3" w:rsidRPr="00AA253C" w:rsidRDefault="00E342B3" w:rsidP="00E342B3">
      <w:r w:rsidRPr="00AA253C">
        <w:t>Your child is being asked to take part in a study looking at how children’s ability to imagine future events is related to the decisions that they make. Before you give your child permission to take part it is important for you to understand why the research is being done and what it will involve. Please take time to read the following information and do not hesitate to contact us should you require any further details.</w:t>
      </w:r>
    </w:p>
    <w:p w:rsidR="00E342B3" w:rsidRPr="004D1710" w:rsidRDefault="00E342B3" w:rsidP="00E342B3">
      <w:pPr>
        <w:rPr>
          <w:highlight w:val="yellow"/>
        </w:rPr>
      </w:pPr>
    </w:p>
    <w:p w:rsidR="00E342B3" w:rsidRPr="00AA253C" w:rsidRDefault="00E342B3" w:rsidP="00E342B3">
      <w:pPr>
        <w:rPr>
          <w:b/>
        </w:rPr>
      </w:pPr>
      <w:r w:rsidRPr="00AA253C">
        <w:rPr>
          <w:b/>
        </w:rPr>
        <w:t>What is the purpose of this study?</w:t>
      </w:r>
    </w:p>
    <w:p w:rsidR="00E342B3" w:rsidRPr="00AA253C" w:rsidRDefault="00E342B3" w:rsidP="00E342B3">
      <w:r w:rsidRPr="00AA253C">
        <w:t xml:space="preserve">The study will </w:t>
      </w:r>
      <w:r>
        <w:t xml:space="preserve">examine children’s thinking about the future and how it relates to their decision making. We are interested to see whether children who imagine the future in greater detail make better future decisions. In addition we want to see if imagining the future in greater detail improves future decision making by making the future events feel closer to the present. </w:t>
      </w:r>
      <w:r w:rsidRPr="00AA253C">
        <w:t xml:space="preserve">We are studying this in </w:t>
      </w:r>
      <w:r>
        <w:t>middle and late childhood</w:t>
      </w:r>
      <w:r w:rsidRPr="00AA253C">
        <w:t xml:space="preserve"> </w:t>
      </w:r>
      <w:r>
        <w:t xml:space="preserve">(7-11 year old’s) </w:t>
      </w:r>
      <w:r w:rsidRPr="00AA253C">
        <w:t>because we know that thinking about the future improve</w:t>
      </w:r>
      <w:r>
        <w:t>s</w:t>
      </w:r>
      <w:r w:rsidRPr="00AA253C">
        <w:t xml:space="preserve"> across this age group and we suspect that once children can properly imagine the future they become better at</w:t>
      </w:r>
      <w:r>
        <w:t xml:space="preserve"> </w:t>
      </w:r>
      <w:r w:rsidRPr="00296D8B">
        <w:t>future-oriented decision making</w:t>
      </w:r>
      <w:r>
        <w:t xml:space="preserve">. </w:t>
      </w:r>
    </w:p>
    <w:p w:rsidR="00E342B3" w:rsidRPr="004D1710" w:rsidRDefault="00E342B3" w:rsidP="00E342B3">
      <w:pPr>
        <w:rPr>
          <w:highlight w:val="yellow"/>
        </w:rPr>
      </w:pPr>
    </w:p>
    <w:p w:rsidR="00E342B3" w:rsidRPr="0024687C" w:rsidRDefault="00E342B3" w:rsidP="00E342B3">
      <w:r w:rsidRPr="0024687C">
        <w:rPr>
          <w:b/>
        </w:rPr>
        <w:t>What will the study involve?</w:t>
      </w:r>
      <w:r w:rsidRPr="00CD0DAF">
        <w:t xml:space="preserve"> </w:t>
      </w:r>
      <w:r w:rsidRPr="0024687C">
        <w:t xml:space="preserve">Children will be asked to complete five short tasks: </w:t>
      </w:r>
    </w:p>
    <w:p w:rsidR="00E342B3" w:rsidRPr="0024687C" w:rsidRDefault="00E342B3" w:rsidP="00E342B3">
      <w:pPr>
        <w:pStyle w:val="ListParagraph"/>
        <w:numPr>
          <w:ilvl w:val="0"/>
          <w:numId w:val="1"/>
        </w:numPr>
      </w:pPr>
      <w:r w:rsidRPr="0024687C">
        <w:t xml:space="preserve">The first is a delay of gratification task, in which children will be offered the choice between a small immediate reward (e.g. one sticker now) and larger delayed reward (five stickers tomorrow). </w:t>
      </w:r>
    </w:p>
    <w:p w:rsidR="00E342B3" w:rsidRPr="0024687C" w:rsidRDefault="00E342B3" w:rsidP="00E342B3">
      <w:pPr>
        <w:pStyle w:val="ListParagraph"/>
        <w:numPr>
          <w:ilvl w:val="0"/>
          <w:numId w:val="1"/>
        </w:numPr>
      </w:pPr>
      <w:r w:rsidRPr="0024687C">
        <w:rPr>
          <w:rFonts w:eastAsiaTheme="minorEastAsia"/>
        </w:rPr>
        <w:t>The next task is also a delay of gratification task. It differs from the first, however, in that it involves imaginary rewards only. Children will play a computer game in which they choose between a small hypothetical sum of money available now and a larger hypothetical sum available later</w:t>
      </w:r>
      <w:r w:rsidRPr="0024687C">
        <w:t xml:space="preserve">. </w:t>
      </w:r>
    </w:p>
    <w:p w:rsidR="00E342B3" w:rsidRPr="0024687C" w:rsidRDefault="00E342B3" w:rsidP="00E342B3">
      <w:pPr>
        <w:pStyle w:val="ListParagraph"/>
        <w:numPr>
          <w:ilvl w:val="0"/>
          <w:numId w:val="1"/>
        </w:numPr>
      </w:pPr>
      <w:r w:rsidRPr="0024687C">
        <w:t xml:space="preserve">In the third task, children will complete a computer-based task in which they have to </w:t>
      </w:r>
      <w:r w:rsidRPr="0024687C">
        <w:rPr>
          <w:color w:val="000000"/>
        </w:rPr>
        <w:t xml:space="preserve">pull a bar across a computer screen to unravel a “length of string” to indicate how far in the future a certain time point feels. </w:t>
      </w:r>
    </w:p>
    <w:p w:rsidR="00E342B3" w:rsidRPr="0024687C" w:rsidRDefault="00E342B3" w:rsidP="00E342B3">
      <w:pPr>
        <w:pStyle w:val="ListParagraph"/>
        <w:numPr>
          <w:ilvl w:val="0"/>
          <w:numId w:val="1"/>
        </w:numPr>
      </w:pPr>
      <w:r w:rsidRPr="0024687C">
        <w:rPr>
          <w:color w:val="000000"/>
        </w:rPr>
        <w:t xml:space="preserve">Children will also </w:t>
      </w:r>
      <w:r w:rsidRPr="0024687C">
        <w:rPr>
          <w:rFonts w:eastAsiaTheme="minorEastAsia"/>
        </w:rPr>
        <w:t xml:space="preserve">be asked to </w:t>
      </w:r>
      <w:r w:rsidRPr="0024687C">
        <w:rPr>
          <w:color w:val="000000"/>
        </w:rPr>
        <w:t>generate descriptions of possible future events in response to cue words (with their responses recorded on a Dictaphone), as well as rating both the vividness of the event and the ease at which the event came to mind.</w:t>
      </w:r>
      <w:r w:rsidRPr="0024687C">
        <w:t xml:space="preserve"> </w:t>
      </w:r>
    </w:p>
    <w:p w:rsidR="00E342B3" w:rsidRPr="0024687C" w:rsidRDefault="00E342B3" w:rsidP="00E342B3">
      <w:pPr>
        <w:pStyle w:val="ListParagraph"/>
        <w:numPr>
          <w:ilvl w:val="0"/>
          <w:numId w:val="1"/>
        </w:numPr>
      </w:pPr>
      <w:r w:rsidRPr="0024687C">
        <w:t>The final task will be a short test of vocabulary and spatial skills.</w:t>
      </w:r>
    </w:p>
    <w:p w:rsidR="00E342B3" w:rsidRPr="0024687C" w:rsidRDefault="00E342B3" w:rsidP="00E342B3">
      <w:pPr>
        <w:rPr>
          <w:b/>
        </w:rPr>
      </w:pPr>
    </w:p>
    <w:p w:rsidR="00E342B3" w:rsidRPr="0024687C" w:rsidRDefault="00E342B3" w:rsidP="00E342B3"/>
    <w:p w:rsidR="00E342B3" w:rsidRPr="0024687C" w:rsidRDefault="00E342B3" w:rsidP="00E342B3">
      <w:pPr>
        <w:rPr>
          <w:b/>
        </w:rPr>
      </w:pPr>
      <w:r w:rsidRPr="0024687C">
        <w:rPr>
          <w:b/>
        </w:rPr>
        <w:t>What sort of rewards will children receive?</w:t>
      </w:r>
    </w:p>
    <w:p w:rsidR="00E342B3" w:rsidRPr="0024687C" w:rsidRDefault="00E342B3" w:rsidP="00E342B3">
      <w:r w:rsidRPr="0024687C">
        <w:t>Children will receive either one or five ‘jelly snake’ sweets in the course of the Delay of Gratification task. These sweets are produced by the Natural Confectionary Company and contain only natural colours and flavourings. A full list of ingredients is attached. Children will also receive a stationery set, some stickers and some trading cards.</w:t>
      </w:r>
    </w:p>
    <w:p w:rsidR="00E342B3" w:rsidRPr="004D1710" w:rsidRDefault="00E342B3" w:rsidP="00E342B3">
      <w:pPr>
        <w:rPr>
          <w:highlight w:val="yellow"/>
        </w:rPr>
      </w:pPr>
    </w:p>
    <w:p w:rsidR="00E342B3" w:rsidRPr="00940D7F" w:rsidRDefault="00E342B3" w:rsidP="00E342B3">
      <w:pPr>
        <w:rPr>
          <w:b/>
        </w:rPr>
      </w:pPr>
      <w:r w:rsidRPr="00940D7F">
        <w:rPr>
          <w:b/>
        </w:rPr>
        <w:t>Where will the study take place?</w:t>
      </w:r>
    </w:p>
    <w:p w:rsidR="00E342B3" w:rsidRPr="004D1710" w:rsidRDefault="00E342B3" w:rsidP="00E342B3">
      <w:pPr>
        <w:rPr>
          <w:highlight w:val="yellow"/>
        </w:rPr>
      </w:pPr>
      <w:r w:rsidRPr="00940D7F">
        <w:t xml:space="preserve">The study will take place in your child’s school on a date agreed with their teacher. The study will be conducted by Dr Patrick Burns (Postdoctoral Research Fellow) and </w:t>
      </w:r>
      <w:r>
        <w:t xml:space="preserve">Mr </w:t>
      </w:r>
      <w:r w:rsidRPr="00940D7F">
        <w:t xml:space="preserve">Patrick O’Connor (Research Assistant), from Queen’s University Belfast, both of whom have an enhanced Access NI clearance. </w:t>
      </w:r>
      <w:r w:rsidRPr="0024687C">
        <w:t xml:space="preserve">The study will be completed in two sessions across two consecutive days. Children will complete tasks 1-3 in the first session and tasks 4-5 in the </w:t>
      </w:r>
      <w:r w:rsidRPr="0024687C">
        <w:lastRenderedPageBreak/>
        <w:t>second session. Each of these remaining sessions will take approximately 20-30 minutes to complete.</w:t>
      </w:r>
    </w:p>
    <w:p w:rsidR="00E342B3" w:rsidRPr="004D1710" w:rsidRDefault="00E342B3" w:rsidP="00E342B3">
      <w:pPr>
        <w:rPr>
          <w:highlight w:val="yellow"/>
        </w:rPr>
      </w:pPr>
    </w:p>
    <w:p w:rsidR="00E342B3" w:rsidRPr="00940D7F" w:rsidRDefault="00E342B3" w:rsidP="00E342B3">
      <w:pPr>
        <w:rPr>
          <w:b/>
        </w:rPr>
      </w:pPr>
      <w:r w:rsidRPr="00940D7F">
        <w:rPr>
          <w:b/>
        </w:rPr>
        <w:t>Will my child’s data be kept confidential?</w:t>
      </w:r>
    </w:p>
    <w:p w:rsidR="00E342B3" w:rsidRPr="00940D7F" w:rsidRDefault="00E342B3" w:rsidP="00E342B3">
      <w:r w:rsidRPr="00940D7F">
        <w:t xml:space="preserve">All data gathered will </w:t>
      </w:r>
      <w:r>
        <w:t>be anonymised</w:t>
      </w:r>
      <w:r w:rsidRPr="00940D7F">
        <w:t>. As an assurance of this, each child’s data will be stored under a participant number rather than their own name.</w:t>
      </w:r>
      <w:r>
        <w:t xml:space="preserve"> Once we have completed our study an anonymised copy of the data will be available to other scientists. </w:t>
      </w:r>
    </w:p>
    <w:p w:rsidR="00E342B3" w:rsidRPr="004D1710" w:rsidRDefault="00E342B3" w:rsidP="00E342B3">
      <w:pPr>
        <w:rPr>
          <w:highlight w:val="yellow"/>
        </w:rPr>
      </w:pPr>
    </w:p>
    <w:p w:rsidR="00E342B3" w:rsidRPr="00940D7F" w:rsidRDefault="00E342B3" w:rsidP="00E342B3">
      <w:pPr>
        <w:rPr>
          <w:b/>
        </w:rPr>
      </w:pPr>
      <w:r w:rsidRPr="00940D7F">
        <w:rPr>
          <w:b/>
        </w:rPr>
        <w:t>What if my child decides they do not want to complete the study?</w:t>
      </w:r>
    </w:p>
    <w:p w:rsidR="00E342B3" w:rsidRPr="00940D7F" w:rsidRDefault="00E342B3" w:rsidP="00E342B3">
      <w:r w:rsidRPr="00940D7F">
        <w:t>Your child has the right to withdraw from the study at any time, and we will explain this to your child. All data collected prior to withdrawal will be deleted. You can also decide to withdraw your child’s data from the study</w:t>
      </w:r>
      <w:r>
        <w:t>, simply by emailing or writing to us,</w:t>
      </w:r>
      <w:r w:rsidRPr="00940D7F">
        <w:t xml:space="preserve"> at any point up until two months after the date of testing.</w:t>
      </w:r>
    </w:p>
    <w:p w:rsidR="00E342B3" w:rsidRPr="00940D7F" w:rsidRDefault="00E342B3" w:rsidP="00E342B3"/>
    <w:p w:rsidR="00E342B3" w:rsidRPr="00940D7F" w:rsidRDefault="00E342B3" w:rsidP="00E342B3"/>
    <w:p w:rsidR="00E342B3" w:rsidRDefault="00E342B3" w:rsidP="00E342B3">
      <w:r>
        <w:t xml:space="preserve">Upon completion of the study we will send a summary of our results to you via your child’s school. </w:t>
      </w:r>
    </w:p>
    <w:p w:rsidR="00E342B3" w:rsidRPr="00940D7F" w:rsidRDefault="00E342B3" w:rsidP="00E342B3">
      <w:r w:rsidRPr="00940D7F">
        <w:t>If you have any further queries, please do not hesitate to contact either of us:</w:t>
      </w:r>
    </w:p>
    <w:p w:rsidR="00E342B3" w:rsidRPr="00940D7F" w:rsidRDefault="00E342B3" w:rsidP="00E342B3">
      <w:pPr>
        <w:pStyle w:val="NormalWeb"/>
        <w:shd w:val="clear" w:color="auto" w:fill="FFFFFF"/>
        <w:spacing w:before="0" w:beforeAutospacing="0" w:after="0" w:afterAutospacing="0"/>
      </w:pPr>
    </w:p>
    <w:p w:rsidR="00E342B3" w:rsidRPr="00940D7F" w:rsidRDefault="00E342B3" w:rsidP="00E342B3">
      <w:pPr>
        <w:pStyle w:val="NormalWeb"/>
        <w:shd w:val="clear" w:color="auto" w:fill="FFFFFF"/>
        <w:spacing w:before="0" w:beforeAutospacing="0" w:after="0" w:afterAutospacing="0"/>
        <w:rPr>
          <w:color w:val="000000"/>
        </w:rPr>
      </w:pPr>
      <w:r w:rsidRPr="00940D7F">
        <w:t>Professor Teresa McCormack</w:t>
      </w:r>
      <w:r w:rsidRPr="00940D7F">
        <w:tab/>
      </w:r>
      <w:r w:rsidRPr="00940D7F">
        <w:tab/>
      </w:r>
      <w:r w:rsidRPr="00940D7F">
        <w:tab/>
      </w:r>
      <w:r w:rsidRPr="00940D7F">
        <w:tab/>
        <w:t>Dr Patrick Burns</w:t>
      </w:r>
      <w:r w:rsidRPr="00940D7F">
        <w:br/>
      </w:r>
      <w:r w:rsidRPr="00940D7F">
        <w:rPr>
          <w:color w:val="000000"/>
        </w:rPr>
        <w:t xml:space="preserve">School of Psychology, </w:t>
      </w:r>
      <w:r w:rsidRPr="00940D7F">
        <w:rPr>
          <w:color w:val="000000"/>
        </w:rPr>
        <w:tab/>
      </w:r>
      <w:r w:rsidRPr="00940D7F">
        <w:rPr>
          <w:color w:val="000000"/>
        </w:rPr>
        <w:tab/>
      </w:r>
      <w:r w:rsidRPr="00940D7F">
        <w:rPr>
          <w:color w:val="000000"/>
        </w:rPr>
        <w:tab/>
      </w:r>
      <w:r w:rsidRPr="00940D7F">
        <w:rPr>
          <w:color w:val="000000"/>
        </w:rPr>
        <w:tab/>
        <w:t>School of Psychology,</w:t>
      </w:r>
    </w:p>
    <w:p w:rsidR="00E342B3" w:rsidRPr="00940D7F" w:rsidRDefault="00E342B3" w:rsidP="00E342B3">
      <w:pPr>
        <w:pStyle w:val="NormalWeb"/>
        <w:shd w:val="clear" w:color="auto" w:fill="FFFFFF"/>
        <w:spacing w:before="0" w:beforeAutospacing="0" w:after="0" w:afterAutospacing="0"/>
        <w:rPr>
          <w:color w:val="000000"/>
        </w:rPr>
      </w:pPr>
      <w:r w:rsidRPr="00940D7F">
        <w:rPr>
          <w:color w:val="000000"/>
        </w:rPr>
        <w:t>Queen's University Belfast,</w:t>
      </w:r>
      <w:r w:rsidRPr="00940D7F">
        <w:rPr>
          <w:color w:val="000000"/>
        </w:rPr>
        <w:tab/>
      </w:r>
      <w:r w:rsidRPr="00940D7F">
        <w:rPr>
          <w:color w:val="000000"/>
        </w:rPr>
        <w:tab/>
      </w:r>
      <w:r w:rsidRPr="00940D7F">
        <w:rPr>
          <w:color w:val="000000"/>
        </w:rPr>
        <w:tab/>
      </w:r>
      <w:r w:rsidRPr="00940D7F">
        <w:rPr>
          <w:color w:val="000000"/>
        </w:rPr>
        <w:tab/>
        <w:t>Queen's University Belfast,</w:t>
      </w:r>
      <w:r w:rsidRPr="00940D7F">
        <w:rPr>
          <w:color w:val="000000"/>
        </w:rPr>
        <w:br/>
        <w:t>Belfast, BT9 5BN</w:t>
      </w:r>
      <w:r w:rsidRPr="00940D7F">
        <w:rPr>
          <w:color w:val="000000"/>
        </w:rPr>
        <w:tab/>
      </w:r>
      <w:r w:rsidRPr="00940D7F">
        <w:rPr>
          <w:color w:val="000000"/>
        </w:rPr>
        <w:tab/>
      </w:r>
      <w:r w:rsidRPr="00940D7F">
        <w:rPr>
          <w:color w:val="000000"/>
        </w:rPr>
        <w:tab/>
      </w:r>
      <w:r w:rsidRPr="00940D7F">
        <w:rPr>
          <w:color w:val="000000"/>
        </w:rPr>
        <w:tab/>
      </w:r>
      <w:r w:rsidRPr="00940D7F">
        <w:rPr>
          <w:color w:val="000000"/>
        </w:rPr>
        <w:tab/>
        <w:t>Belfast, BT9 5BN</w:t>
      </w:r>
    </w:p>
    <w:p w:rsidR="00E342B3" w:rsidRPr="00940D7F" w:rsidRDefault="00E342B3" w:rsidP="00E342B3">
      <w:pPr>
        <w:pStyle w:val="NormalWeb"/>
        <w:shd w:val="clear" w:color="auto" w:fill="FFFFFF"/>
        <w:spacing w:before="0" w:beforeAutospacing="0" w:after="0" w:afterAutospacing="0"/>
        <w:rPr>
          <w:color w:val="000000"/>
        </w:rPr>
      </w:pPr>
      <w:r w:rsidRPr="00940D7F">
        <w:rPr>
          <w:color w:val="000000"/>
        </w:rPr>
        <w:t xml:space="preserve">+44 (0)28 9097 4174 </w:t>
      </w:r>
      <w:r w:rsidRPr="00940D7F">
        <w:rPr>
          <w:color w:val="000000"/>
        </w:rPr>
        <w:tab/>
      </w:r>
      <w:r w:rsidRPr="00940D7F">
        <w:rPr>
          <w:color w:val="000000"/>
        </w:rPr>
        <w:tab/>
      </w:r>
      <w:r w:rsidRPr="00940D7F">
        <w:rPr>
          <w:color w:val="000000"/>
        </w:rPr>
        <w:tab/>
      </w:r>
      <w:r w:rsidRPr="00940D7F">
        <w:rPr>
          <w:color w:val="000000"/>
        </w:rPr>
        <w:tab/>
      </w:r>
      <w:r w:rsidRPr="00940D7F">
        <w:rPr>
          <w:color w:val="000000"/>
        </w:rPr>
        <w:tab/>
        <w:t>+44 (0)28 9097 4261</w:t>
      </w:r>
    </w:p>
    <w:p w:rsidR="00E342B3" w:rsidRDefault="004E4B34" w:rsidP="00E342B3">
      <w:pPr>
        <w:pStyle w:val="NormalWeb"/>
        <w:shd w:val="clear" w:color="auto" w:fill="FFFFFF"/>
        <w:spacing w:before="0" w:beforeAutospacing="0" w:after="0" w:afterAutospacing="0"/>
        <w:rPr>
          <w:rStyle w:val="Hyperlink"/>
          <w:rFonts w:eastAsiaTheme="majorEastAsia"/>
          <w:u w:val="none"/>
          <w:lang w:val="it-IT"/>
        </w:rPr>
      </w:pPr>
      <w:hyperlink r:id="rId7" w:history="1">
        <w:r w:rsidR="00E342B3" w:rsidRPr="00940D7F">
          <w:rPr>
            <w:rStyle w:val="Hyperlink"/>
            <w:rFonts w:eastAsiaTheme="majorEastAsia"/>
            <w:lang w:val="it-IT"/>
          </w:rPr>
          <w:t>t.mccormack@qub.ac.uk</w:t>
        </w:r>
      </w:hyperlink>
      <w:r w:rsidR="00E342B3" w:rsidRPr="00940D7F">
        <w:rPr>
          <w:rStyle w:val="Hyperlink"/>
          <w:rFonts w:eastAsiaTheme="majorEastAsia"/>
          <w:lang w:val="it-IT"/>
        </w:rPr>
        <w:tab/>
      </w:r>
      <w:r w:rsidR="00E342B3" w:rsidRPr="00940D7F">
        <w:rPr>
          <w:rStyle w:val="Hyperlink"/>
          <w:rFonts w:eastAsiaTheme="majorEastAsia"/>
          <w:lang w:val="it-IT"/>
        </w:rPr>
        <w:tab/>
      </w:r>
      <w:r w:rsidR="00E342B3" w:rsidRPr="00940D7F">
        <w:rPr>
          <w:rStyle w:val="Hyperlink"/>
          <w:rFonts w:eastAsiaTheme="majorEastAsia"/>
          <w:lang w:val="it-IT"/>
        </w:rPr>
        <w:tab/>
      </w:r>
      <w:r w:rsidR="00E342B3" w:rsidRPr="00940D7F">
        <w:rPr>
          <w:rStyle w:val="Hyperlink"/>
          <w:rFonts w:eastAsiaTheme="majorEastAsia"/>
          <w:lang w:val="it-IT"/>
        </w:rPr>
        <w:tab/>
      </w:r>
      <w:hyperlink r:id="rId8" w:history="1">
        <w:r w:rsidR="00E342B3" w:rsidRPr="00940D7F">
          <w:rPr>
            <w:rStyle w:val="Hyperlink"/>
            <w:rFonts w:eastAsiaTheme="majorEastAsia"/>
            <w:lang w:val="it-IT"/>
          </w:rPr>
          <w:t>p.burns@qub.ac.uk</w:t>
        </w:r>
      </w:hyperlink>
    </w:p>
    <w:p w:rsidR="00E342B3" w:rsidRDefault="00E342B3">
      <w:pPr>
        <w:spacing w:after="200" w:line="276" w:lineRule="auto"/>
        <w:rPr>
          <w:rStyle w:val="Hyperlink"/>
          <w:rFonts w:eastAsiaTheme="majorEastAsia"/>
          <w:u w:val="none"/>
          <w:lang w:val="it-IT" w:eastAsia="en-GB"/>
        </w:rPr>
      </w:pPr>
      <w:r>
        <w:rPr>
          <w:rStyle w:val="Hyperlink"/>
          <w:rFonts w:eastAsiaTheme="majorEastAsia"/>
          <w:u w:val="none"/>
          <w:lang w:val="it-IT"/>
        </w:rPr>
        <w:br w:type="page"/>
      </w:r>
    </w:p>
    <w:p w:rsidR="00E342B3" w:rsidRPr="00C82757" w:rsidRDefault="00E342B3" w:rsidP="00E342B3">
      <w:pPr>
        <w:pStyle w:val="NormalWeb"/>
        <w:shd w:val="clear" w:color="auto" w:fill="FFFFFF"/>
        <w:spacing w:before="0" w:beforeAutospacing="0" w:after="0" w:afterAutospacing="0"/>
        <w:rPr>
          <w:rStyle w:val="Hyperlink"/>
          <w:rFonts w:eastAsiaTheme="majorEastAsia"/>
          <w:lang w:val="it-IT"/>
        </w:rPr>
      </w:pPr>
    </w:p>
    <w:p w:rsidR="00FC6DC8" w:rsidRDefault="000B4CA6" w:rsidP="00FC6DC8">
      <w:pPr>
        <w:rPr>
          <w:rFonts w:ascii="Tw Cen MT" w:hAnsi="Tw Cen MT"/>
          <w:b/>
          <w:u w:val="single"/>
        </w:rPr>
      </w:pPr>
      <w:r w:rsidRPr="00E736F3">
        <w:rPr>
          <w:noProof/>
          <w:sz w:val="22"/>
          <w:lang w:eastAsia="en-GB"/>
        </w:rPr>
        <w:drawing>
          <wp:anchor distT="0" distB="0" distL="114300" distR="114300" simplePos="0" relativeHeight="251659264" behindDoc="1" locked="0" layoutInCell="1" allowOverlap="1" wp14:anchorId="342428EB" wp14:editId="6A428AD2">
            <wp:simplePos x="0" y="0"/>
            <wp:positionH relativeFrom="column">
              <wp:posOffset>-345057</wp:posOffset>
            </wp:positionH>
            <wp:positionV relativeFrom="paragraph">
              <wp:posOffset>-215660</wp:posOffset>
            </wp:positionV>
            <wp:extent cx="3312544" cy="1636223"/>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_lscape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6711" cy="1638281"/>
                    </a:xfrm>
                    <a:prstGeom prst="rect">
                      <a:avLst/>
                    </a:prstGeom>
                  </pic:spPr>
                </pic:pic>
              </a:graphicData>
            </a:graphic>
            <wp14:sizeRelH relativeFrom="page">
              <wp14:pctWidth>0</wp14:pctWidth>
            </wp14:sizeRelH>
            <wp14:sizeRelV relativeFrom="page">
              <wp14:pctHeight>0</wp14:pctHeight>
            </wp14:sizeRelV>
          </wp:anchor>
        </w:drawing>
      </w:r>
    </w:p>
    <w:p w:rsidR="00FC6DC8" w:rsidRPr="00E736F3" w:rsidRDefault="00FC6DC8" w:rsidP="00FC6DC8">
      <w:pPr>
        <w:ind w:left="5234" w:firstLine="720"/>
        <w:rPr>
          <w:sz w:val="22"/>
        </w:rPr>
      </w:pPr>
      <w:r w:rsidRPr="00E736F3">
        <w:rPr>
          <w:rFonts w:ascii="Tw Cen MT" w:hAnsi="Tw Cen MT"/>
          <w:b/>
          <w:sz w:val="22"/>
        </w:rPr>
        <w:t>School of Psychology</w:t>
      </w:r>
    </w:p>
    <w:p w:rsidR="00FC6DC8" w:rsidRPr="00E736F3" w:rsidRDefault="00FC6DC8" w:rsidP="00FC6DC8">
      <w:pPr>
        <w:ind w:firstLine="5954"/>
        <w:rPr>
          <w:rFonts w:ascii="Tw Cen MT" w:hAnsi="Tw Cen MT"/>
          <w:sz w:val="22"/>
        </w:rPr>
      </w:pPr>
      <w:r w:rsidRPr="00E736F3">
        <w:rPr>
          <w:rFonts w:ascii="Tw Cen MT" w:hAnsi="Tw Cen MT"/>
          <w:sz w:val="22"/>
        </w:rPr>
        <w:t>Queen’s University Belfast</w:t>
      </w:r>
    </w:p>
    <w:p w:rsidR="00FC6DC8" w:rsidRPr="00E736F3" w:rsidRDefault="00FC6DC8" w:rsidP="00FC6DC8">
      <w:pPr>
        <w:ind w:firstLine="5954"/>
        <w:rPr>
          <w:rFonts w:ascii="Tw Cen MT" w:hAnsi="Tw Cen MT"/>
          <w:sz w:val="22"/>
        </w:rPr>
      </w:pPr>
      <w:r w:rsidRPr="00E736F3">
        <w:rPr>
          <w:rFonts w:ascii="Tw Cen MT" w:hAnsi="Tw Cen MT"/>
          <w:sz w:val="22"/>
        </w:rPr>
        <w:t>David Keir Building</w:t>
      </w:r>
    </w:p>
    <w:p w:rsidR="00FC6DC8" w:rsidRPr="00E736F3" w:rsidRDefault="00FC6DC8" w:rsidP="00FC6DC8">
      <w:pPr>
        <w:ind w:firstLine="5954"/>
        <w:rPr>
          <w:rFonts w:ascii="Tw Cen MT" w:hAnsi="Tw Cen MT"/>
          <w:sz w:val="22"/>
        </w:rPr>
      </w:pPr>
      <w:r w:rsidRPr="00E736F3">
        <w:rPr>
          <w:rFonts w:ascii="Tw Cen MT" w:hAnsi="Tw Cen MT"/>
          <w:sz w:val="22"/>
        </w:rPr>
        <w:t>18-30 Malone Road</w:t>
      </w:r>
    </w:p>
    <w:p w:rsidR="00FC6DC8" w:rsidRPr="00E736F3" w:rsidRDefault="00FC6DC8" w:rsidP="00FC6DC8">
      <w:pPr>
        <w:ind w:firstLine="5954"/>
        <w:rPr>
          <w:rFonts w:ascii="Tw Cen MT" w:hAnsi="Tw Cen MT"/>
          <w:sz w:val="22"/>
        </w:rPr>
      </w:pPr>
      <w:r w:rsidRPr="00E736F3">
        <w:rPr>
          <w:rFonts w:ascii="Tw Cen MT" w:hAnsi="Tw Cen MT"/>
          <w:sz w:val="22"/>
        </w:rPr>
        <w:t>Belfast | BT9 5BN</w:t>
      </w:r>
    </w:p>
    <w:p w:rsidR="00FC6DC8" w:rsidRPr="00E736F3" w:rsidRDefault="00FC6DC8" w:rsidP="00FC6DC8">
      <w:pPr>
        <w:ind w:firstLine="5954"/>
        <w:rPr>
          <w:rFonts w:ascii="Tw Cen MT" w:hAnsi="Tw Cen MT"/>
          <w:sz w:val="22"/>
        </w:rPr>
      </w:pPr>
      <w:r w:rsidRPr="00E736F3">
        <w:rPr>
          <w:rFonts w:ascii="Tw Cen MT" w:hAnsi="Tw Cen MT"/>
          <w:sz w:val="22"/>
        </w:rPr>
        <w:t>Northern Ireland</w:t>
      </w:r>
    </w:p>
    <w:p w:rsidR="00FC6DC8" w:rsidRDefault="00FC6DC8" w:rsidP="00FC6DC8">
      <w:pPr>
        <w:spacing w:line="360" w:lineRule="auto"/>
        <w:rPr>
          <w:rFonts w:ascii="Tw Cen MT" w:eastAsiaTheme="minorEastAsia" w:hAnsi="Tw Cen MT"/>
          <w:b/>
          <w:lang w:eastAsia="en-GB"/>
        </w:rPr>
      </w:pPr>
    </w:p>
    <w:p w:rsidR="003357E2" w:rsidRDefault="003357E2" w:rsidP="00FC6DC8">
      <w:pPr>
        <w:spacing w:line="360" w:lineRule="auto"/>
        <w:rPr>
          <w:rFonts w:ascii="Tw Cen MT" w:eastAsiaTheme="minorEastAsia" w:hAnsi="Tw Cen MT"/>
          <w:b/>
          <w:lang w:eastAsia="en-GB"/>
        </w:rPr>
      </w:pPr>
    </w:p>
    <w:p w:rsidR="00FC6DC8" w:rsidRDefault="003357E2" w:rsidP="003357E2">
      <w:pPr>
        <w:spacing w:line="360" w:lineRule="auto"/>
        <w:jc w:val="center"/>
        <w:rPr>
          <w:rFonts w:ascii="Tw Cen MT" w:eastAsiaTheme="minorEastAsia" w:hAnsi="Tw Cen MT"/>
          <w:b/>
          <w:lang w:eastAsia="en-GB"/>
        </w:rPr>
      </w:pPr>
      <w:r w:rsidRPr="003357E2">
        <w:rPr>
          <w:rFonts w:ascii="Tw Cen MT" w:eastAsiaTheme="minorEastAsia" w:hAnsi="Tw Cen MT"/>
          <w:b/>
          <w:lang w:eastAsia="en-GB"/>
        </w:rPr>
        <w:t>Temporal discounting and subjective distance judgments in children</w:t>
      </w:r>
    </w:p>
    <w:p w:rsidR="00FC6DC8" w:rsidRDefault="00FC6DC8" w:rsidP="00FC6DC8">
      <w:pPr>
        <w:pBdr>
          <w:top w:val="single" w:sz="4" w:space="1" w:color="auto"/>
        </w:pBdr>
        <w:rPr>
          <w:rFonts w:ascii="Tw Cen MT" w:hAnsi="Tw Cen MT"/>
        </w:rPr>
      </w:pPr>
    </w:p>
    <w:p w:rsidR="00FC6DC8" w:rsidRPr="00A2232A" w:rsidRDefault="00FC6DC8" w:rsidP="00FC6DC8">
      <w:pPr>
        <w:rPr>
          <w:rFonts w:ascii="Tw Cen MT" w:hAnsi="Tw Cen MT"/>
          <w:b/>
          <w:sz w:val="22"/>
          <w:szCs w:val="22"/>
        </w:rPr>
      </w:pPr>
      <w:r w:rsidRPr="00A2232A">
        <w:rPr>
          <w:rFonts w:ascii="Tw Cen MT" w:hAnsi="Tw Cen MT"/>
          <w:b/>
          <w:sz w:val="22"/>
          <w:szCs w:val="22"/>
        </w:rPr>
        <w:t xml:space="preserve">Please read the statements below and tick next to each one that applies. Please write your child’s name in the space provided, then sign and date the bottom of the form and return it to </w:t>
      </w:r>
      <w:r>
        <w:rPr>
          <w:rFonts w:ascii="Tw Cen MT" w:hAnsi="Tw Cen MT"/>
          <w:b/>
          <w:sz w:val="22"/>
          <w:szCs w:val="22"/>
        </w:rPr>
        <w:t>the researcher</w:t>
      </w:r>
      <w:r w:rsidRPr="00A2232A">
        <w:rPr>
          <w:rFonts w:ascii="Tw Cen MT" w:hAnsi="Tw Cen MT"/>
          <w:b/>
          <w:sz w:val="22"/>
          <w:szCs w:val="22"/>
        </w:rPr>
        <w:t>.</w:t>
      </w:r>
    </w:p>
    <w:tbl>
      <w:tblPr>
        <w:tblW w:w="7620" w:type="dxa"/>
        <w:tblInd w:w="100" w:type="dxa"/>
        <w:tblLook w:val="04A0" w:firstRow="1" w:lastRow="0" w:firstColumn="1" w:lastColumn="0" w:noHBand="0" w:noVBand="1"/>
      </w:tblPr>
      <w:tblGrid>
        <w:gridCol w:w="6371"/>
        <w:gridCol w:w="1249"/>
      </w:tblGrid>
      <w:tr w:rsidR="00FC6DC8" w:rsidRPr="00A2232A" w:rsidTr="00A761BF">
        <w:trPr>
          <w:trHeight w:val="735"/>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sz w:val="22"/>
                <w:szCs w:val="22"/>
              </w:rPr>
            </w:pPr>
          </w:p>
        </w:tc>
        <w:tc>
          <w:tcPr>
            <w:tcW w:w="1249"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sz w:val="22"/>
                <w:szCs w:val="22"/>
              </w:rPr>
            </w:pPr>
            <w:r w:rsidRPr="00A2232A">
              <w:rPr>
                <w:rFonts w:ascii="Tw Cen MT" w:hAnsi="Tw Cen MT"/>
                <w:sz w:val="22"/>
                <w:szCs w:val="22"/>
              </w:rPr>
              <w:t>Tick where applicable</w:t>
            </w:r>
          </w:p>
        </w:tc>
      </w:tr>
      <w:tr w:rsidR="00FC6DC8" w:rsidRPr="00A2232A" w:rsidTr="00A761BF">
        <w:trPr>
          <w:trHeight w:val="300"/>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sz w:val="22"/>
                <w:szCs w:val="22"/>
              </w:rPr>
            </w:pPr>
          </w:p>
        </w:tc>
        <w:tc>
          <w:tcPr>
            <w:tcW w:w="1249" w:type="dxa"/>
            <w:tcBorders>
              <w:top w:val="nil"/>
              <w:left w:val="nil"/>
              <w:bottom w:val="nil"/>
              <w:right w:val="nil"/>
            </w:tcBorders>
            <w:shd w:val="clear" w:color="auto" w:fill="auto"/>
            <w:noWrap/>
            <w:vAlign w:val="bottom"/>
            <w:hideMark/>
          </w:tcPr>
          <w:p w:rsidR="00FC6DC8" w:rsidRPr="00A2232A" w:rsidRDefault="00FC6DC8" w:rsidP="00A761BF">
            <w:pPr>
              <w:rPr>
                <w:rFonts w:ascii="Tw Cen MT" w:hAnsi="Tw Cen MT"/>
                <w:sz w:val="22"/>
                <w:szCs w:val="22"/>
              </w:rPr>
            </w:pPr>
          </w:p>
        </w:tc>
      </w:tr>
      <w:tr w:rsidR="00FC6DC8" w:rsidRPr="00A2232A" w:rsidTr="00A761BF">
        <w:trPr>
          <w:trHeight w:val="630"/>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i/>
                <w:sz w:val="22"/>
                <w:szCs w:val="22"/>
              </w:rPr>
            </w:pPr>
            <w:r w:rsidRPr="00A2232A">
              <w:rPr>
                <w:rFonts w:ascii="Tw Cen MT" w:hAnsi="Tw Cen MT"/>
                <w:i/>
                <w:sz w:val="22"/>
                <w:szCs w:val="22"/>
              </w:rPr>
              <w:t>I understand that my child's participation is voluntary and that I am free to withdraw him/her at a</w:t>
            </w:r>
            <w:r>
              <w:rPr>
                <w:rFonts w:ascii="Tw Cen MT" w:hAnsi="Tw Cen MT"/>
                <w:i/>
                <w:sz w:val="22"/>
                <w:szCs w:val="22"/>
              </w:rPr>
              <w:t>ny time without giving a reason</w:t>
            </w:r>
            <w:r w:rsidRPr="00A2232A">
              <w:rPr>
                <w:rFonts w:ascii="Tw Cen MT" w:hAnsi="Tw Cen MT"/>
                <w:i/>
                <w:sz w:val="22"/>
                <w:szCs w:val="22"/>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C8" w:rsidRPr="00A2232A" w:rsidRDefault="00FC6DC8" w:rsidP="00A761BF">
            <w:pPr>
              <w:rPr>
                <w:rFonts w:ascii="Tw Cen MT" w:hAnsi="Tw Cen MT"/>
                <w:sz w:val="22"/>
                <w:szCs w:val="22"/>
              </w:rPr>
            </w:pPr>
          </w:p>
        </w:tc>
      </w:tr>
      <w:tr w:rsidR="00FC6DC8" w:rsidRPr="00A2232A" w:rsidTr="00A761BF">
        <w:trPr>
          <w:trHeight w:val="300"/>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sz w:val="22"/>
                <w:szCs w:val="22"/>
              </w:rPr>
            </w:pPr>
          </w:p>
        </w:tc>
        <w:tc>
          <w:tcPr>
            <w:tcW w:w="1249" w:type="dxa"/>
            <w:tcBorders>
              <w:top w:val="nil"/>
              <w:left w:val="nil"/>
              <w:bottom w:val="nil"/>
              <w:right w:val="nil"/>
            </w:tcBorders>
            <w:shd w:val="clear" w:color="auto" w:fill="auto"/>
            <w:noWrap/>
            <w:vAlign w:val="bottom"/>
            <w:hideMark/>
          </w:tcPr>
          <w:p w:rsidR="00FC6DC8" w:rsidRPr="00A2232A" w:rsidRDefault="00FC6DC8" w:rsidP="00A761BF">
            <w:pPr>
              <w:rPr>
                <w:rFonts w:ascii="Tw Cen MT" w:hAnsi="Tw Cen MT"/>
                <w:sz w:val="22"/>
                <w:szCs w:val="22"/>
              </w:rPr>
            </w:pPr>
          </w:p>
        </w:tc>
      </w:tr>
      <w:tr w:rsidR="00FC6DC8" w:rsidRPr="00A2232A" w:rsidTr="00A761BF">
        <w:trPr>
          <w:trHeight w:val="300"/>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i/>
                <w:sz w:val="22"/>
                <w:szCs w:val="22"/>
              </w:rPr>
            </w:pPr>
            <w:r w:rsidRPr="00A2232A">
              <w:rPr>
                <w:rFonts w:ascii="Tw Cen MT" w:hAnsi="Tw Cen MT"/>
                <w:i/>
                <w:sz w:val="22"/>
                <w:szCs w:val="22"/>
              </w:rPr>
              <w:t xml:space="preserve">I </w:t>
            </w:r>
            <w:r>
              <w:rPr>
                <w:rFonts w:ascii="Tw Cen MT" w:hAnsi="Tw Cen MT"/>
                <w:i/>
                <w:sz w:val="22"/>
                <w:szCs w:val="22"/>
              </w:rPr>
              <w:t>confirm that I have read and understand the letter providing information about the study</w:t>
            </w:r>
            <w:r w:rsidRPr="00A2232A">
              <w:rPr>
                <w:rFonts w:ascii="Tw Cen MT" w:hAnsi="Tw Cen MT"/>
                <w:i/>
                <w:sz w:val="22"/>
                <w:szCs w:val="22"/>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C8" w:rsidRPr="00A2232A" w:rsidRDefault="00FC6DC8" w:rsidP="00A761BF">
            <w:pPr>
              <w:rPr>
                <w:rFonts w:ascii="Tw Cen MT" w:hAnsi="Tw Cen MT"/>
                <w:sz w:val="22"/>
                <w:szCs w:val="22"/>
              </w:rPr>
            </w:pPr>
          </w:p>
        </w:tc>
      </w:tr>
    </w:tbl>
    <w:p w:rsidR="00FC6DC8" w:rsidRDefault="00FC6DC8" w:rsidP="00FC6DC8">
      <w:pPr>
        <w:rPr>
          <w:rFonts w:ascii="Tw Cen MT" w:hAnsi="Tw Cen MT"/>
          <w:sz w:val="22"/>
          <w:szCs w:val="22"/>
        </w:rPr>
      </w:pPr>
    </w:p>
    <w:tbl>
      <w:tblPr>
        <w:tblW w:w="7620" w:type="dxa"/>
        <w:tblInd w:w="100" w:type="dxa"/>
        <w:tblLook w:val="04A0" w:firstRow="1" w:lastRow="0" w:firstColumn="1" w:lastColumn="0" w:noHBand="0" w:noVBand="1"/>
      </w:tblPr>
      <w:tblGrid>
        <w:gridCol w:w="6371"/>
        <w:gridCol w:w="1249"/>
      </w:tblGrid>
      <w:tr w:rsidR="00FC6DC8" w:rsidRPr="00A2232A" w:rsidTr="00A761BF">
        <w:trPr>
          <w:trHeight w:val="300"/>
        </w:trPr>
        <w:tc>
          <w:tcPr>
            <w:tcW w:w="6371" w:type="dxa"/>
            <w:tcBorders>
              <w:top w:val="nil"/>
              <w:left w:val="nil"/>
              <w:bottom w:val="nil"/>
              <w:right w:val="nil"/>
            </w:tcBorders>
            <w:shd w:val="clear" w:color="auto" w:fill="auto"/>
            <w:vAlign w:val="bottom"/>
            <w:hideMark/>
          </w:tcPr>
          <w:p w:rsidR="00FC6DC8" w:rsidRPr="00A2232A" w:rsidRDefault="00FC6DC8" w:rsidP="007476EB">
            <w:pPr>
              <w:rPr>
                <w:rFonts w:ascii="Tw Cen MT" w:hAnsi="Tw Cen MT"/>
                <w:i/>
                <w:sz w:val="22"/>
                <w:szCs w:val="22"/>
              </w:rPr>
            </w:pPr>
            <w:r w:rsidRPr="00A2232A">
              <w:rPr>
                <w:rFonts w:ascii="Tw Cen MT" w:hAnsi="Tw Cen MT"/>
                <w:i/>
                <w:sz w:val="22"/>
                <w:szCs w:val="22"/>
              </w:rPr>
              <w:t xml:space="preserve">I </w:t>
            </w:r>
            <w:r>
              <w:rPr>
                <w:rFonts w:ascii="Tw Cen MT" w:hAnsi="Tw Cen MT"/>
                <w:i/>
                <w:sz w:val="22"/>
                <w:szCs w:val="22"/>
              </w:rPr>
              <w:t>cons</w:t>
            </w:r>
            <w:r w:rsidR="007476EB">
              <w:rPr>
                <w:rFonts w:ascii="Tw Cen MT" w:hAnsi="Tw Cen MT"/>
                <w:i/>
                <w:sz w:val="22"/>
                <w:szCs w:val="22"/>
              </w:rPr>
              <w:t xml:space="preserve">ent to the capture of audio </w:t>
            </w:r>
            <w:r>
              <w:rPr>
                <w:rFonts w:ascii="Tw Cen MT" w:hAnsi="Tw Cen MT"/>
                <w:i/>
                <w:sz w:val="22"/>
                <w:szCs w:val="22"/>
              </w:rPr>
              <w:t>recordings of my child</w:t>
            </w:r>
            <w:r w:rsidRPr="00A2232A">
              <w:rPr>
                <w:rFonts w:ascii="Tw Cen MT" w:hAnsi="Tw Cen MT"/>
                <w:i/>
                <w:sz w:val="22"/>
                <w:szCs w:val="22"/>
              </w:rPr>
              <w:t xml:space="preserve">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C8" w:rsidRPr="00A2232A" w:rsidRDefault="00FC6DC8" w:rsidP="00A761BF">
            <w:pPr>
              <w:rPr>
                <w:rFonts w:ascii="Tw Cen MT" w:hAnsi="Tw Cen MT"/>
                <w:sz w:val="22"/>
                <w:szCs w:val="22"/>
              </w:rPr>
            </w:pPr>
          </w:p>
        </w:tc>
      </w:tr>
    </w:tbl>
    <w:p w:rsidR="00FC6DC8" w:rsidRDefault="00FC6DC8" w:rsidP="00FC6DC8">
      <w:pPr>
        <w:rPr>
          <w:rFonts w:ascii="Tw Cen MT" w:hAnsi="Tw Cen MT"/>
          <w:sz w:val="22"/>
          <w:szCs w:val="22"/>
        </w:rPr>
      </w:pPr>
    </w:p>
    <w:tbl>
      <w:tblPr>
        <w:tblW w:w="7620" w:type="dxa"/>
        <w:tblInd w:w="100" w:type="dxa"/>
        <w:tblLook w:val="04A0" w:firstRow="1" w:lastRow="0" w:firstColumn="1" w:lastColumn="0" w:noHBand="0" w:noVBand="1"/>
      </w:tblPr>
      <w:tblGrid>
        <w:gridCol w:w="6371"/>
        <w:gridCol w:w="1249"/>
      </w:tblGrid>
      <w:tr w:rsidR="00FC6DC8" w:rsidRPr="00A2232A" w:rsidTr="00A761BF">
        <w:trPr>
          <w:trHeight w:val="300"/>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i/>
                <w:sz w:val="22"/>
                <w:szCs w:val="22"/>
              </w:rPr>
            </w:pPr>
            <w:r w:rsidRPr="00A2232A">
              <w:rPr>
                <w:rFonts w:ascii="Tw Cen MT" w:hAnsi="Tw Cen MT"/>
                <w:i/>
                <w:sz w:val="22"/>
                <w:szCs w:val="22"/>
              </w:rPr>
              <w:t>I understand that all personal information will remain confidential and that all efforts will be made to ensure my child cannot be identified</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C8" w:rsidRPr="00A2232A" w:rsidRDefault="00FC6DC8" w:rsidP="00A761BF">
            <w:pPr>
              <w:rPr>
                <w:rFonts w:ascii="Tw Cen MT" w:hAnsi="Tw Cen MT"/>
                <w:sz w:val="22"/>
                <w:szCs w:val="22"/>
              </w:rPr>
            </w:pPr>
          </w:p>
        </w:tc>
      </w:tr>
    </w:tbl>
    <w:p w:rsidR="00FC6DC8" w:rsidRDefault="00FC6DC8" w:rsidP="00FC6DC8">
      <w:pPr>
        <w:rPr>
          <w:rFonts w:ascii="Tw Cen MT" w:hAnsi="Tw Cen MT"/>
          <w:sz w:val="22"/>
          <w:szCs w:val="22"/>
        </w:rPr>
      </w:pPr>
    </w:p>
    <w:tbl>
      <w:tblPr>
        <w:tblW w:w="7620" w:type="dxa"/>
        <w:tblInd w:w="100" w:type="dxa"/>
        <w:tblLook w:val="04A0" w:firstRow="1" w:lastRow="0" w:firstColumn="1" w:lastColumn="0" w:noHBand="0" w:noVBand="1"/>
      </w:tblPr>
      <w:tblGrid>
        <w:gridCol w:w="6371"/>
        <w:gridCol w:w="1249"/>
      </w:tblGrid>
      <w:tr w:rsidR="00FC6DC8" w:rsidRPr="00A2232A" w:rsidTr="00A761BF">
        <w:trPr>
          <w:trHeight w:val="300"/>
        </w:trPr>
        <w:tc>
          <w:tcPr>
            <w:tcW w:w="6371" w:type="dxa"/>
            <w:tcBorders>
              <w:top w:val="nil"/>
              <w:left w:val="nil"/>
              <w:bottom w:val="nil"/>
              <w:right w:val="nil"/>
            </w:tcBorders>
            <w:shd w:val="clear" w:color="auto" w:fill="auto"/>
            <w:vAlign w:val="bottom"/>
            <w:hideMark/>
          </w:tcPr>
          <w:p w:rsidR="00FC6DC8" w:rsidRPr="00A2232A" w:rsidRDefault="00FC6DC8" w:rsidP="00A761BF">
            <w:pPr>
              <w:rPr>
                <w:rFonts w:ascii="Tw Cen MT" w:hAnsi="Tw Cen MT"/>
                <w:i/>
                <w:sz w:val="22"/>
                <w:szCs w:val="22"/>
              </w:rPr>
            </w:pPr>
            <w:r w:rsidRPr="00A2232A">
              <w:rPr>
                <w:rFonts w:ascii="Tw Cen MT" w:hAnsi="Tw Cen MT"/>
                <w:i/>
                <w:sz w:val="22"/>
                <w:szCs w:val="22"/>
              </w:rPr>
              <w:t xml:space="preserve">I agree to my child taking part in this study </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DC8" w:rsidRPr="00A2232A" w:rsidRDefault="00FC6DC8" w:rsidP="00A761BF">
            <w:pPr>
              <w:rPr>
                <w:rFonts w:ascii="Tw Cen MT" w:hAnsi="Tw Cen MT"/>
                <w:sz w:val="22"/>
                <w:szCs w:val="22"/>
              </w:rPr>
            </w:pPr>
          </w:p>
        </w:tc>
      </w:tr>
    </w:tbl>
    <w:p w:rsidR="00FC6DC8" w:rsidRDefault="00FC6DC8" w:rsidP="00FC6DC8">
      <w:pPr>
        <w:rPr>
          <w:rFonts w:ascii="Tw Cen MT" w:hAnsi="Tw Cen MT"/>
          <w:sz w:val="22"/>
          <w:szCs w:val="22"/>
        </w:rPr>
      </w:pPr>
    </w:p>
    <w:p w:rsidR="00FC6DC8" w:rsidRPr="00A2232A" w:rsidRDefault="00FC6DC8" w:rsidP="00FC6DC8">
      <w:pPr>
        <w:rPr>
          <w:rFonts w:ascii="Tw Cen MT" w:hAnsi="Tw Cen MT"/>
          <w:sz w:val="22"/>
          <w:szCs w:val="22"/>
        </w:rPr>
      </w:pPr>
    </w:p>
    <w:p w:rsidR="00FC6DC8" w:rsidRDefault="00FC6DC8" w:rsidP="00FC6DC8">
      <w:pPr>
        <w:rPr>
          <w:iCs/>
        </w:rPr>
      </w:pPr>
    </w:p>
    <w:p w:rsidR="00FC6DC8" w:rsidRPr="00A2232A" w:rsidRDefault="00FC6DC8" w:rsidP="00FC6DC8">
      <w:pPr>
        <w:rPr>
          <w:rFonts w:ascii="Tw Cen MT" w:hAnsi="Tw Cen MT"/>
          <w:sz w:val="22"/>
          <w:szCs w:val="22"/>
        </w:rPr>
      </w:pPr>
    </w:p>
    <w:p w:rsidR="00FC6DC8" w:rsidRDefault="00FC6DC8" w:rsidP="00FC6DC8">
      <w:pPr>
        <w:rPr>
          <w:rFonts w:ascii="Tw Cen MT" w:hAnsi="Tw Cen MT"/>
          <w:sz w:val="22"/>
          <w:szCs w:val="22"/>
        </w:rPr>
      </w:pPr>
      <w:r w:rsidRPr="00A2232A">
        <w:rPr>
          <w:rFonts w:ascii="Tw Cen MT" w:hAnsi="Tw Cen MT"/>
          <w:sz w:val="22"/>
          <w:szCs w:val="22"/>
        </w:rPr>
        <w:t>Name of Child (BLOCK LETTERS)………………………………………………</w:t>
      </w:r>
    </w:p>
    <w:p w:rsidR="00FC6DC8" w:rsidRDefault="00FC6DC8" w:rsidP="00FC6DC8">
      <w:pPr>
        <w:rPr>
          <w:rFonts w:ascii="Tw Cen MT" w:hAnsi="Tw Cen MT"/>
          <w:sz w:val="22"/>
          <w:szCs w:val="22"/>
        </w:rPr>
      </w:pPr>
    </w:p>
    <w:p w:rsidR="00FC6DC8" w:rsidRDefault="00FC6DC8" w:rsidP="00FC6DC8">
      <w:pPr>
        <w:rPr>
          <w:rFonts w:ascii="Tw Cen MT" w:hAnsi="Tw Cen MT"/>
          <w:sz w:val="22"/>
          <w:szCs w:val="22"/>
        </w:rPr>
      </w:pPr>
    </w:p>
    <w:p w:rsidR="00FC6DC8" w:rsidRPr="00A2232A" w:rsidRDefault="00FC6DC8" w:rsidP="00FC6DC8">
      <w:pPr>
        <w:rPr>
          <w:rFonts w:ascii="Tw Cen MT" w:hAnsi="Tw Cen MT"/>
          <w:sz w:val="22"/>
          <w:szCs w:val="22"/>
        </w:rPr>
      </w:pPr>
      <w:r>
        <w:rPr>
          <w:rFonts w:ascii="Tw Cen MT" w:hAnsi="Tw Cen MT"/>
          <w:sz w:val="22"/>
          <w:szCs w:val="22"/>
        </w:rPr>
        <w:t>Date of birth of child…………………………………………………………..</w:t>
      </w:r>
    </w:p>
    <w:p w:rsidR="00FC6DC8" w:rsidRPr="00A2232A" w:rsidRDefault="00FC6DC8" w:rsidP="00FC6DC8">
      <w:pPr>
        <w:rPr>
          <w:rFonts w:ascii="Tw Cen MT" w:hAnsi="Tw Cen MT"/>
          <w:sz w:val="22"/>
          <w:szCs w:val="22"/>
        </w:rPr>
      </w:pPr>
    </w:p>
    <w:p w:rsidR="00FC6DC8" w:rsidRPr="00A2232A" w:rsidRDefault="00FC6DC8" w:rsidP="00FC6DC8">
      <w:pPr>
        <w:rPr>
          <w:rFonts w:ascii="Tw Cen MT" w:hAnsi="Tw Cen MT"/>
          <w:sz w:val="22"/>
          <w:szCs w:val="22"/>
        </w:rPr>
      </w:pPr>
    </w:p>
    <w:p w:rsidR="00FC6DC8" w:rsidRPr="00A2232A" w:rsidRDefault="00FC6DC8" w:rsidP="00FC6DC8">
      <w:pPr>
        <w:rPr>
          <w:rFonts w:ascii="Tw Cen MT" w:hAnsi="Tw Cen MT"/>
          <w:sz w:val="22"/>
          <w:szCs w:val="22"/>
        </w:rPr>
      </w:pPr>
      <w:r w:rsidRPr="00A2232A">
        <w:rPr>
          <w:rFonts w:ascii="Tw Cen MT" w:hAnsi="Tw Cen MT"/>
          <w:sz w:val="22"/>
          <w:szCs w:val="22"/>
        </w:rPr>
        <w:t>Signature of Parent/Guardian………………………………………………...</w:t>
      </w:r>
    </w:p>
    <w:p w:rsidR="00FC6DC8" w:rsidRPr="00A2232A" w:rsidRDefault="00FC6DC8" w:rsidP="00FC6DC8">
      <w:pPr>
        <w:rPr>
          <w:rFonts w:ascii="Tw Cen MT" w:hAnsi="Tw Cen MT"/>
          <w:sz w:val="22"/>
          <w:szCs w:val="22"/>
        </w:rPr>
      </w:pPr>
    </w:p>
    <w:p w:rsidR="00FC6DC8" w:rsidRPr="00A2232A" w:rsidRDefault="00FC6DC8" w:rsidP="00FC6DC8">
      <w:pPr>
        <w:rPr>
          <w:rFonts w:ascii="Tw Cen MT" w:hAnsi="Tw Cen MT"/>
          <w:sz w:val="22"/>
          <w:szCs w:val="22"/>
        </w:rPr>
      </w:pPr>
    </w:p>
    <w:p w:rsidR="00FC6DC8" w:rsidRPr="00A2232A" w:rsidRDefault="00FC6DC8" w:rsidP="00FC6DC8">
      <w:pPr>
        <w:rPr>
          <w:rFonts w:ascii="Tw Cen MT" w:hAnsi="Tw Cen MT"/>
          <w:sz w:val="22"/>
          <w:szCs w:val="22"/>
        </w:rPr>
      </w:pPr>
      <w:r w:rsidRPr="00A2232A">
        <w:rPr>
          <w:rFonts w:ascii="Tw Cen MT" w:hAnsi="Tw Cen MT"/>
          <w:sz w:val="22"/>
          <w:szCs w:val="22"/>
        </w:rPr>
        <w:t xml:space="preserve">Date…………………………………………………………………………… </w:t>
      </w:r>
    </w:p>
    <w:p w:rsidR="00E342B3" w:rsidRDefault="00E342B3">
      <w:pPr>
        <w:spacing w:after="200" w:line="276" w:lineRule="auto"/>
      </w:pPr>
      <w:r>
        <w:br w:type="page"/>
      </w:r>
    </w:p>
    <w:p w:rsidR="00E342B3" w:rsidRPr="00E736F3" w:rsidRDefault="00E342B3" w:rsidP="00E342B3">
      <w:pPr>
        <w:ind w:firstLine="5954"/>
        <w:rPr>
          <w:rFonts w:ascii="Tw Cen MT" w:hAnsi="Tw Cen MT"/>
          <w:sz w:val="22"/>
        </w:rPr>
      </w:pPr>
    </w:p>
    <w:p w:rsidR="00E342B3" w:rsidRPr="00E736F3" w:rsidRDefault="00E342B3" w:rsidP="00E342B3">
      <w:pPr>
        <w:ind w:firstLine="5954"/>
        <w:rPr>
          <w:rFonts w:ascii="Tw Cen MT" w:hAnsi="Tw Cen MT"/>
          <w:sz w:val="22"/>
        </w:rPr>
      </w:pPr>
    </w:p>
    <w:p w:rsidR="00E342B3" w:rsidRDefault="00E342B3" w:rsidP="00E342B3">
      <w:pPr>
        <w:rPr>
          <w:rFonts w:ascii="Tw Cen MT" w:eastAsiaTheme="minorEastAsia" w:hAnsi="Tw Cen MT"/>
          <w:b/>
          <w:sz w:val="32"/>
          <w:szCs w:val="32"/>
          <w:u w:val="single"/>
          <w:lang w:eastAsia="en-GB"/>
        </w:rPr>
      </w:pPr>
      <w:r>
        <w:rPr>
          <w:rFonts w:ascii="Tw Cen MT" w:eastAsiaTheme="minorEastAsia" w:hAnsi="Tw Cen MT"/>
          <w:b/>
          <w:sz w:val="32"/>
          <w:szCs w:val="32"/>
          <w:u w:val="single"/>
          <w:lang w:eastAsia="en-GB"/>
        </w:rPr>
        <w:t>Episodic past and future thinking and its links to delayed gratification</w:t>
      </w:r>
    </w:p>
    <w:p w:rsidR="00E342B3" w:rsidRDefault="00E342B3" w:rsidP="00E342B3">
      <w:pPr>
        <w:rPr>
          <w:rFonts w:ascii="Tw Cen MT" w:eastAsiaTheme="minorEastAsia" w:hAnsi="Tw Cen MT"/>
          <w:b/>
          <w:sz w:val="32"/>
          <w:szCs w:val="32"/>
          <w:u w:val="single"/>
          <w:lang w:eastAsia="en-GB"/>
        </w:rPr>
      </w:pPr>
    </w:p>
    <w:p w:rsidR="00E342B3" w:rsidRPr="005920E8" w:rsidRDefault="00E342B3" w:rsidP="00E342B3">
      <w:pPr>
        <w:rPr>
          <w:rFonts w:ascii="Tw Cen MT" w:hAnsi="Tw Cen MT"/>
          <w:b/>
          <w:sz w:val="32"/>
          <w:szCs w:val="32"/>
          <w:u w:val="single"/>
        </w:rPr>
      </w:pPr>
    </w:p>
    <w:p w:rsidR="00E342B3" w:rsidRDefault="00E342B3" w:rsidP="00E342B3">
      <w:pPr>
        <w:rPr>
          <w:rFonts w:ascii="Tw Cen MT" w:hAnsi="Tw Cen MT"/>
          <w:b/>
          <w:sz w:val="32"/>
        </w:rPr>
      </w:pPr>
    </w:p>
    <w:p w:rsidR="00E342B3" w:rsidRPr="001E157B" w:rsidRDefault="00E342B3" w:rsidP="00E342B3">
      <w:pPr>
        <w:rPr>
          <w:rFonts w:ascii="Tw Cen MT" w:hAnsi="Tw Cen MT"/>
          <w:b/>
          <w:sz w:val="32"/>
        </w:rPr>
      </w:pPr>
      <w:r w:rsidRPr="001E157B">
        <w:rPr>
          <w:rFonts w:ascii="Tw Cen MT" w:hAnsi="Tw Cen MT"/>
          <w:b/>
          <w:sz w:val="32"/>
        </w:rPr>
        <w:t>Participant name …………………………………………………</w:t>
      </w:r>
    </w:p>
    <w:p w:rsidR="00E342B3" w:rsidRDefault="00E342B3" w:rsidP="00E342B3">
      <w:pPr>
        <w:rPr>
          <w:rFonts w:ascii="Tw Cen MT" w:hAnsi="Tw Cen MT"/>
          <w:b/>
          <w:sz w:val="32"/>
        </w:rPr>
      </w:pPr>
    </w:p>
    <w:p w:rsidR="00E342B3" w:rsidRPr="001E157B" w:rsidRDefault="00E342B3" w:rsidP="00E342B3">
      <w:pPr>
        <w:rPr>
          <w:rFonts w:ascii="Tw Cen MT" w:hAnsi="Tw Cen MT"/>
          <w:b/>
          <w:sz w:val="32"/>
        </w:rPr>
      </w:pPr>
      <w:r w:rsidRPr="001E157B">
        <w:rPr>
          <w:rFonts w:ascii="Tw Cen MT" w:hAnsi="Tw Cen MT"/>
          <w:b/>
          <w:sz w:val="32"/>
        </w:rPr>
        <w:t>Date……………………………</w:t>
      </w:r>
      <w:r>
        <w:rPr>
          <w:rFonts w:ascii="Tw Cen MT" w:hAnsi="Tw Cen MT"/>
          <w:b/>
          <w:sz w:val="32"/>
        </w:rPr>
        <w:t>………………………………….</w:t>
      </w:r>
    </w:p>
    <w:p w:rsidR="00E342B3" w:rsidRDefault="00E342B3" w:rsidP="00E342B3">
      <w:pPr>
        <w:rPr>
          <w:b/>
          <w:sz w:val="32"/>
        </w:rPr>
      </w:pPr>
    </w:p>
    <w:p w:rsidR="00E342B3" w:rsidRDefault="00E342B3" w:rsidP="00E342B3">
      <w:pPr>
        <w:rPr>
          <w:b/>
          <w:sz w:val="32"/>
        </w:rPr>
      </w:pPr>
      <w:r>
        <w:rPr>
          <w:rFonts w:ascii="Arial" w:hAnsi="Arial" w:cs="Arial"/>
          <w:noProof/>
          <w:sz w:val="20"/>
          <w:szCs w:val="20"/>
          <w:lang w:eastAsia="en-GB"/>
        </w:rPr>
        <w:drawing>
          <wp:anchor distT="0" distB="0" distL="114300" distR="114300" simplePos="0" relativeHeight="251663360" behindDoc="1" locked="0" layoutInCell="1" allowOverlap="1" wp14:anchorId="6820096E" wp14:editId="3016AB6F">
            <wp:simplePos x="0" y="0"/>
            <wp:positionH relativeFrom="column">
              <wp:posOffset>0</wp:posOffset>
            </wp:positionH>
            <wp:positionV relativeFrom="paragraph">
              <wp:posOffset>56515</wp:posOffset>
            </wp:positionV>
            <wp:extent cx="1682115" cy="1798320"/>
            <wp:effectExtent l="0" t="0" r="0" b="0"/>
            <wp:wrapThrough wrapText="bothSides">
              <wp:wrapPolygon edited="0">
                <wp:start x="0" y="0"/>
                <wp:lineTo x="0" y="21280"/>
                <wp:lineTo x="21282" y="21280"/>
                <wp:lineTo x="21282" y="0"/>
                <wp:lineTo x="0"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0">
                      <a:extLst>
                        <a:ext uri="{28A0092B-C50C-407E-A947-70E740481C1C}">
                          <a14:useLocalDpi xmlns:a14="http://schemas.microsoft.com/office/drawing/2010/main" val="0"/>
                        </a:ext>
                      </a:extLst>
                    </a:blip>
                    <a:stretch>
                      <a:fillRect/>
                    </a:stretch>
                  </pic:blipFill>
                  <pic:spPr>
                    <a:xfrm>
                      <a:off x="0" y="0"/>
                      <a:ext cx="1682115" cy="1798320"/>
                    </a:xfrm>
                    <a:prstGeom prst="rect">
                      <a:avLst/>
                    </a:prstGeom>
                  </pic:spPr>
                </pic:pic>
              </a:graphicData>
            </a:graphic>
            <wp14:sizeRelH relativeFrom="page">
              <wp14:pctWidth>0</wp14:pctWidth>
            </wp14:sizeRelH>
            <wp14:sizeRelV relativeFrom="page">
              <wp14:pctHeight>0</wp14:pctHeight>
            </wp14:sizeRelV>
          </wp:anchor>
        </w:drawing>
      </w:r>
    </w:p>
    <w:p w:rsidR="00E342B3" w:rsidRDefault="00E342B3" w:rsidP="00E342B3">
      <w:pPr>
        <w:rPr>
          <w:b/>
          <w:sz w:val="32"/>
        </w:rPr>
      </w:pPr>
    </w:p>
    <w:p w:rsidR="00E342B3" w:rsidRDefault="00E342B3" w:rsidP="00E342B3">
      <w:pPr>
        <w:rPr>
          <w:b/>
          <w:sz w:val="32"/>
        </w:rPr>
      </w:pP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70BB9F6E" wp14:editId="68E0448E">
                <wp:simplePos x="0" y="0"/>
                <wp:positionH relativeFrom="column">
                  <wp:posOffset>2126699</wp:posOffset>
                </wp:positionH>
                <wp:positionV relativeFrom="paragraph">
                  <wp:posOffset>26670</wp:posOffset>
                </wp:positionV>
                <wp:extent cx="885825" cy="990600"/>
                <wp:effectExtent l="0" t="0" r="28575" b="19050"/>
                <wp:wrapNone/>
                <wp:docPr id="44" name="Frame 44"/>
                <wp:cNvGraphicFramePr/>
                <a:graphic xmlns:a="http://schemas.openxmlformats.org/drawingml/2006/main">
                  <a:graphicData uri="http://schemas.microsoft.com/office/word/2010/wordprocessingShape">
                    <wps:wsp>
                      <wps:cNvSpPr/>
                      <wps:spPr>
                        <a:xfrm>
                          <a:off x="0" y="0"/>
                          <a:ext cx="885825" cy="99060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7F98AA3" id="Frame 44" o:spid="_x0000_s1026" style="position:absolute;margin-left:167.45pt;margin-top:2.1pt;width:69.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582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" path="m,l885825,r,990600l,990600,,xm110728,110728r,769144l775097,879872r,-769144l110728,110728xe" fillcolor="black [3200]" strokecolor="black [1600]" strokeweight="2pt">
                <v:path arrowok="t" o:connecttype="custom" o:connectlocs="0,0;885825,0;885825,990600;0,990600;0,0;110728,110728;110728,879872;775097,879872;775097,110728;110728,110728" o:connectangles="0,0,0,0,0,0,0,0,0,0"/>
              </v:shape>
            </w:pict>
          </mc:Fallback>
        </mc:AlternateContent>
      </w:r>
    </w:p>
    <w:p w:rsidR="00E342B3" w:rsidRDefault="00E342B3" w:rsidP="00E342B3">
      <w:pPr>
        <w:rPr>
          <w:b/>
          <w:sz w:val="32"/>
        </w:rPr>
      </w:pPr>
    </w:p>
    <w:p w:rsidR="00E342B3" w:rsidRDefault="00E342B3" w:rsidP="00E342B3">
      <w:pPr>
        <w:rPr>
          <w:b/>
          <w:sz w:val="32"/>
        </w:rPr>
      </w:pPr>
    </w:p>
    <w:p w:rsidR="00E342B3" w:rsidRDefault="00E342B3" w:rsidP="00E342B3">
      <w:pPr>
        <w:shd w:val="clear" w:color="auto" w:fill="FFFFFF"/>
        <w:spacing w:before="120" w:after="120" w:line="292" w:lineRule="atLeast"/>
        <w:rPr>
          <w:color w:val="000000"/>
        </w:rPr>
      </w:pPr>
      <w:r>
        <w:rPr>
          <w:color w:val="000000"/>
        </w:rPr>
        <w:t xml:space="preserve">  I would like to participate</w:t>
      </w:r>
    </w:p>
    <w:p w:rsidR="00E342B3" w:rsidRDefault="00E342B3" w:rsidP="00E342B3">
      <w:pPr>
        <w:jc w:val="center"/>
        <w:rPr>
          <w:b/>
        </w:rPr>
      </w:pPr>
    </w:p>
    <w:p w:rsidR="00E342B3" w:rsidRDefault="00E342B3" w:rsidP="00E342B3">
      <w:pPr>
        <w:jc w:val="center"/>
        <w:rPr>
          <w:b/>
        </w:rPr>
      </w:pPr>
    </w:p>
    <w:p w:rsidR="00E342B3" w:rsidRDefault="00E342B3" w:rsidP="00E342B3">
      <w:pPr>
        <w:jc w:val="center"/>
        <w:rPr>
          <w:b/>
        </w:rPr>
      </w:pPr>
    </w:p>
    <w:p w:rsidR="00E342B3" w:rsidRDefault="00E342B3" w:rsidP="00E342B3">
      <w:pPr>
        <w:jc w:val="center"/>
        <w:rPr>
          <w:b/>
        </w:rPr>
      </w:pPr>
      <w:r>
        <w:rPr>
          <w:rFonts w:ascii="Arial" w:hAnsi="Arial" w:cs="Arial"/>
          <w:noProof/>
          <w:sz w:val="20"/>
          <w:szCs w:val="20"/>
          <w:lang w:eastAsia="en-GB"/>
        </w:rPr>
        <w:drawing>
          <wp:anchor distT="0" distB="0" distL="114300" distR="114300" simplePos="0" relativeHeight="251664384" behindDoc="1" locked="0" layoutInCell="1" allowOverlap="1" wp14:anchorId="7EB2F6B1" wp14:editId="32AECEDA">
            <wp:simplePos x="0" y="0"/>
            <wp:positionH relativeFrom="column">
              <wp:posOffset>70485</wp:posOffset>
            </wp:positionH>
            <wp:positionV relativeFrom="paragraph">
              <wp:posOffset>110490</wp:posOffset>
            </wp:positionV>
            <wp:extent cx="1682115" cy="1798320"/>
            <wp:effectExtent l="0" t="0" r="0" b="0"/>
            <wp:wrapThrough wrapText="bothSides">
              <wp:wrapPolygon edited="0">
                <wp:start x="0" y="0"/>
                <wp:lineTo x="0" y="21280"/>
                <wp:lineTo x="21282" y="21280"/>
                <wp:lineTo x="21282"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11">
                      <a:extLst>
                        <a:ext uri="{28A0092B-C50C-407E-A947-70E740481C1C}">
                          <a14:useLocalDpi xmlns:a14="http://schemas.microsoft.com/office/drawing/2010/main" val="0"/>
                        </a:ext>
                      </a:extLst>
                    </a:blip>
                    <a:stretch>
                      <a:fillRect/>
                    </a:stretch>
                  </pic:blipFill>
                  <pic:spPr>
                    <a:xfrm>
                      <a:off x="0" y="0"/>
                      <a:ext cx="1682115" cy="1798320"/>
                    </a:xfrm>
                    <a:prstGeom prst="rect">
                      <a:avLst/>
                    </a:prstGeom>
                  </pic:spPr>
                </pic:pic>
              </a:graphicData>
            </a:graphic>
            <wp14:sizeRelH relativeFrom="page">
              <wp14:pctWidth>0</wp14:pctWidth>
            </wp14:sizeRelH>
            <wp14:sizeRelV relativeFrom="page">
              <wp14:pctHeight>0</wp14:pctHeight>
            </wp14:sizeRelV>
          </wp:anchor>
        </w:drawing>
      </w:r>
      <w:r>
        <w:rPr>
          <w:b/>
        </w:rPr>
        <w:tab/>
      </w:r>
    </w:p>
    <w:p w:rsidR="00E342B3" w:rsidRDefault="00E342B3" w:rsidP="00E342B3">
      <w:pPr>
        <w:jc w:val="center"/>
        <w:rPr>
          <w:b/>
        </w:rPr>
      </w:pPr>
    </w:p>
    <w:p w:rsidR="00E342B3" w:rsidRDefault="00E342B3" w:rsidP="00E342B3">
      <w:pPr>
        <w:jc w:val="center"/>
        <w:rPr>
          <w:b/>
        </w:rPr>
      </w:pPr>
    </w:p>
    <w:p w:rsidR="00E342B3" w:rsidRDefault="00E342B3" w:rsidP="00E342B3">
      <w:pPr>
        <w:jc w:val="center"/>
        <w:rPr>
          <w:b/>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7742400F" wp14:editId="43A06880">
                <wp:simplePos x="0" y="0"/>
                <wp:positionH relativeFrom="column">
                  <wp:posOffset>2057855</wp:posOffset>
                </wp:positionH>
                <wp:positionV relativeFrom="paragraph">
                  <wp:posOffset>74930</wp:posOffset>
                </wp:positionV>
                <wp:extent cx="895350" cy="962025"/>
                <wp:effectExtent l="0" t="0" r="19050" b="28575"/>
                <wp:wrapNone/>
                <wp:docPr id="45" name="Frame 45"/>
                <wp:cNvGraphicFramePr/>
                <a:graphic xmlns:a="http://schemas.openxmlformats.org/drawingml/2006/main">
                  <a:graphicData uri="http://schemas.microsoft.com/office/word/2010/wordprocessingShape">
                    <wps:wsp>
                      <wps:cNvSpPr/>
                      <wps:spPr>
                        <a:xfrm>
                          <a:off x="0" y="0"/>
                          <a:ext cx="895350" cy="962025"/>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4EFD4C2C" id="Frame 45" o:spid="_x0000_s1026" style="position:absolute;margin-left:162.05pt;margin-top:5.9pt;width:70.5pt;height:75.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895350,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" path="m,l895350,r,962025l,962025,,xm111919,111919r,738187l783431,850106r,-738187l111919,111919xe" fillcolor="black [3200]" strokecolor="black [1600]" strokeweight="2pt">
                <v:path arrowok="t" o:connecttype="custom" o:connectlocs="0,0;895350,0;895350,962025;0,962025;0,0;111919,111919;111919,850106;783431,850106;783431,111919;111919,111919" o:connectangles="0,0,0,0,0,0,0,0,0,0"/>
              </v:shape>
            </w:pict>
          </mc:Fallback>
        </mc:AlternateContent>
      </w:r>
    </w:p>
    <w:p w:rsidR="00E342B3" w:rsidRDefault="00E342B3" w:rsidP="00E342B3">
      <w:pPr>
        <w:jc w:val="center"/>
        <w:rPr>
          <w:b/>
        </w:rPr>
      </w:pPr>
    </w:p>
    <w:p w:rsidR="00E342B3" w:rsidRDefault="00E342B3" w:rsidP="00E342B3">
      <w:pPr>
        <w:rPr>
          <w:b/>
        </w:rPr>
      </w:pPr>
    </w:p>
    <w:p w:rsidR="00E342B3" w:rsidRDefault="00E342B3" w:rsidP="00E342B3">
      <w:pPr>
        <w:rPr>
          <w:b/>
        </w:rPr>
      </w:pPr>
    </w:p>
    <w:p w:rsidR="00E342B3" w:rsidRPr="005920E8" w:rsidRDefault="00E342B3" w:rsidP="00E342B3">
      <w:r w:rsidRPr="005920E8">
        <w:t>I would not like to participate</w:t>
      </w:r>
    </w:p>
    <w:p w:rsidR="00E342B3" w:rsidRDefault="00E342B3" w:rsidP="00E342B3">
      <w:pPr>
        <w:jc w:val="center"/>
        <w:rPr>
          <w:b/>
        </w:rPr>
      </w:pPr>
    </w:p>
    <w:p w:rsidR="00E342B3" w:rsidRDefault="00E342B3" w:rsidP="00E342B3">
      <w:pPr>
        <w:rPr>
          <w:b/>
        </w:rPr>
      </w:pPr>
    </w:p>
    <w:p w:rsidR="00E342B3" w:rsidRDefault="00E342B3" w:rsidP="00E342B3">
      <w:pPr>
        <w:jc w:val="center"/>
        <w:rPr>
          <w:b/>
        </w:rPr>
      </w:pPr>
    </w:p>
    <w:p w:rsidR="00E342B3" w:rsidRDefault="00E342B3" w:rsidP="00E342B3">
      <w:pPr>
        <w:jc w:val="center"/>
        <w:rPr>
          <w:b/>
        </w:rPr>
      </w:pPr>
    </w:p>
    <w:p w:rsidR="00E342B3" w:rsidRDefault="00E342B3" w:rsidP="00E342B3">
      <w:pPr>
        <w:jc w:val="center"/>
        <w:rPr>
          <w:b/>
        </w:rPr>
      </w:pPr>
    </w:p>
    <w:p w:rsidR="003A0EAC" w:rsidRDefault="003A0EAC"/>
    <w:sectPr w:rsidR="003A0E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B34" w:rsidRDefault="004E4B34" w:rsidP="000B4CA6">
      <w:r>
        <w:separator/>
      </w:r>
    </w:p>
  </w:endnote>
  <w:endnote w:type="continuationSeparator" w:id="0">
    <w:p w:rsidR="004E4B34" w:rsidRDefault="004E4B34" w:rsidP="000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B34" w:rsidRDefault="004E4B34" w:rsidP="000B4CA6">
      <w:r>
        <w:separator/>
      </w:r>
    </w:p>
  </w:footnote>
  <w:footnote w:type="continuationSeparator" w:id="0">
    <w:p w:rsidR="004E4B34" w:rsidRDefault="004E4B34" w:rsidP="000B4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24E6A"/>
    <w:multiLevelType w:val="hybridMultilevel"/>
    <w:tmpl w:val="5058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C8"/>
    <w:rsid w:val="000B4CA6"/>
    <w:rsid w:val="003357E2"/>
    <w:rsid w:val="003A0EAC"/>
    <w:rsid w:val="004E4B34"/>
    <w:rsid w:val="007367ED"/>
    <w:rsid w:val="007476EB"/>
    <w:rsid w:val="00887A4C"/>
    <w:rsid w:val="009103B1"/>
    <w:rsid w:val="00D452B7"/>
    <w:rsid w:val="00DF3C3A"/>
    <w:rsid w:val="00E342B3"/>
    <w:rsid w:val="00E353C6"/>
    <w:rsid w:val="00FC6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01AF4-F0BF-4C1F-99EA-6D0BF7F6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D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CA6"/>
    <w:pPr>
      <w:tabs>
        <w:tab w:val="center" w:pos="4513"/>
        <w:tab w:val="right" w:pos="9026"/>
      </w:tabs>
    </w:pPr>
  </w:style>
  <w:style w:type="character" w:customStyle="1" w:styleId="HeaderChar">
    <w:name w:val="Header Char"/>
    <w:basedOn w:val="DefaultParagraphFont"/>
    <w:link w:val="Header"/>
    <w:uiPriority w:val="99"/>
    <w:rsid w:val="000B4C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4CA6"/>
    <w:pPr>
      <w:tabs>
        <w:tab w:val="center" w:pos="4513"/>
        <w:tab w:val="right" w:pos="9026"/>
      </w:tabs>
    </w:pPr>
  </w:style>
  <w:style w:type="character" w:customStyle="1" w:styleId="FooterChar">
    <w:name w:val="Footer Char"/>
    <w:basedOn w:val="DefaultParagraphFont"/>
    <w:link w:val="Footer"/>
    <w:uiPriority w:val="99"/>
    <w:rsid w:val="000B4CA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42B3"/>
    <w:rPr>
      <w:color w:val="0000FF" w:themeColor="hyperlink"/>
      <w:u w:val="single"/>
    </w:rPr>
  </w:style>
  <w:style w:type="paragraph" w:styleId="NormalWeb">
    <w:name w:val="Normal (Web)"/>
    <w:basedOn w:val="Normal"/>
    <w:uiPriority w:val="99"/>
    <w:unhideWhenUsed/>
    <w:rsid w:val="00E342B3"/>
    <w:pPr>
      <w:spacing w:before="100" w:beforeAutospacing="1" w:after="100" w:afterAutospacing="1"/>
    </w:pPr>
    <w:rPr>
      <w:lang w:eastAsia="en-GB"/>
    </w:rPr>
  </w:style>
  <w:style w:type="paragraph" w:styleId="ListParagraph">
    <w:name w:val="List Paragraph"/>
    <w:basedOn w:val="Normal"/>
    <w:uiPriority w:val="34"/>
    <w:qFormat/>
    <w:rsid w:val="00E3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urns@qub.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mccormack@qub.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Burns</dc:creator>
  <cp:lastModifiedBy>Teresa McCormack</cp:lastModifiedBy>
  <cp:revision>2</cp:revision>
  <dcterms:created xsi:type="dcterms:W3CDTF">2021-05-11T11:53:00Z</dcterms:created>
  <dcterms:modified xsi:type="dcterms:W3CDTF">2021-05-11T11:53:00Z</dcterms:modified>
</cp:coreProperties>
</file>