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D90AC" w14:textId="43274237" w:rsidR="00D37360" w:rsidRPr="00E56D62" w:rsidRDefault="00D37360">
      <w:pPr>
        <w:rPr>
          <w:rFonts w:cs="Times New Roman"/>
          <w:b/>
        </w:rPr>
      </w:pPr>
      <w:r w:rsidRPr="00E56D62">
        <w:rPr>
          <w:rFonts w:cs="Times New Roman"/>
          <w:b/>
        </w:rPr>
        <w:t xml:space="preserve">Sample design </w:t>
      </w:r>
      <w:r w:rsidR="00E56D62" w:rsidRPr="00E56D62">
        <w:rPr>
          <w:rFonts w:cs="Times New Roman"/>
          <w:b/>
        </w:rPr>
        <w:t>and final sample</w:t>
      </w:r>
      <w:r w:rsidR="006F309E">
        <w:rPr>
          <w:rFonts w:cs="Times New Roman"/>
          <w:b/>
        </w:rPr>
        <w:t xml:space="preserve"> 27</w:t>
      </w:r>
    </w:p>
    <w:p w14:paraId="79DC72D4" w14:textId="2D5562F8" w:rsidR="009620BE" w:rsidRPr="00E56D62" w:rsidRDefault="00D37360" w:rsidP="009620BE">
      <w:pPr>
        <w:jc w:val="both"/>
        <w:rPr>
          <w:rFonts w:cs="Times New Roman"/>
        </w:rPr>
      </w:pPr>
      <w:r w:rsidRPr="00E56D62">
        <w:rPr>
          <w:rFonts w:cs="Times New Roman"/>
        </w:rPr>
        <w:t xml:space="preserve">The final sample </w:t>
      </w:r>
      <w:r w:rsidR="009620BE" w:rsidRPr="00E56D62">
        <w:rPr>
          <w:rFonts w:cs="Times New Roman"/>
        </w:rPr>
        <w:t>is a representative sample of the households in Zamboanga del Norte, Zamboanga del Sur and Zamboanga Sibugay.</w:t>
      </w:r>
      <w:r w:rsidR="00C07C81" w:rsidRPr="00E56D62">
        <w:rPr>
          <w:rFonts w:cs="Times New Roman"/>
        </w:rPr>
        <w:t xml:space="preserve"> The sample was drawn from the set of barangays that the University of Western Zamboanga identified as </w:t>
      </w:r>
      <w:r w:rsidR="002022E9" w:rsidRPr="00E56D62">
        <w:rPr>
          <w:rFonts w:cs="Times New Roman"/>
        </w:rPr>
        <w:t>having municipal</w:t>
      </w:r>
      <w:r w:rsidR="00C07C81" w:rsidRPr="00E56D62">
        <w:rPr>
          <w:rFonts w:cs="Times New Roman"/>
        </w:rPr>
        <w:t xml:space="preserve"> fish</w:t>
      </w:r>
      <w:r w:rsidR="002022E9" w:rsidRPr="00E56D62">
        <w:rPr>
          <w:rFonts w:cs="Times New Roman"/>
        </w:rPr>
        <w:t>eries</w:t>
      </w:r>
      <w:r w:rsidR="00C07C81" w:rsidRPr="00E56D62">
        <w:rPr>
          <w:rFonts w:cs="Times New Roman"/>
        </w:rPr>
        <w:t xml:space="preserve"> or as having fishing households.</w:t>
      </w:r>
      <w:r w:rsidR="009620BE" w:rsidRPr="00E56D62">
        <w:rPr>
          <w:rFonts w:cs="Times New Roman"/>
        </w:rPr>
        <w:t xml:space="preserve"> </w:t>
      </w:r>
      <w:r w:rsidR="00C07C81" w:rsidRPr="00E56D62">
        <w:rPr>
          <w:rFonts w:cs="Times New Roman"/>
        </w:rPr>
        <w:t xml:space="preserve">The sampling method </w:t>
      </w:r>
      <w:r w:rsidR="002022E9" w:rsidRPr="00E56D62">
        <w:rPr>
          <w:rFonts w:cs="Times New Roman"/>
        </w:rPr>
        <w:t>is</w:t>
      </w:r>
      <w:r w:rsidR="00C07C81" w:rsidRPr="00E56D62">
        <w:rPr>
          <w:rFonts w:cs="Times New Roman"/>
        </w:rPr>
        <w:t xml:space="preserve"> two-stage stratified using </w:t>
      </w:r>
      <w:r w:rsidR="009620BE" w:rsidRPr="00E56D62">
        <w:rPr>
          <w:rFonts w:cs="Times New Roman"/>
        </w:rPr>
        <w:t xml:space="preserve">the presence of insurgent groups as stratification variable. The primary sampling unit is the barangay. </w:t>
      </w:r>
      <w:r w:rsidR="00C07C81" w:rsidRPr="00E56D62">
        <w:rPr>
          <w:rFonts w:cs="Times New Roman"/>
        </w:rPr>
        <w:t>The following table describes the number of barangays in each province, the number of barangays in the sample and the number of households in the sample.</w:t>
      </w:r>
    </w:p>
    <w:p w14:paraId="1D65D731" w14:textId="5300E0B4" w:rsidR="009620BE" w:rsidRPr="00E56D62" w:rsidRDefault="002022E9" w:rsidP="002022E9">
      <w:pPr>
        <w:jc w:val="center"/>
        <w:rPr>
          <w:rFonts w:cs="Times New Roman"/>
        </w:rPr>
      </w:pPr>
      <w:r w:rsidRPr="00E56D62">
        <w:t xml:space="preserve">Table </w:t>
      </w:r>
      <w:r w:rsidR="000B44EF">
        <w:fldChar w:fldCharType="begin"/>
      </w:r>
      <w:r w:rsidR="000B44EF">
        <w:instrText xml:space="preserve"> SEQ Table \* ARABIC </w:instrText>
      </w:r>
      <w:r w:rsidR="000B44EF">
        <w:fldChar w:fldCharType="separate"/>
      </w:r>
      <w:r w:rsidR="001F1464" w:rsidRPr="00E56D62">
        <w:rPr>
          <w:noProof/>
        </w:rPr>
        <w:t>1</w:t>
      </w:r>
      <w:r w:rsidR="000B44EF">
        <w:rPr>
          <w:noProof/>
        </w:rPr>
        <w:fldChar w:fldCharType="end"/>
      </w:r>
      <w:r w:rsidRPr="00E56D62">
        <w:t>. Total and sampled barangays</w:t>
      </w:r>
      <w:r w:rsidR="00004355">
        <w:t xml:space="preserve"> and municipalities</w:t>
      </w:r>
      <w:r w:rsidRPr="00E56D62">
        <w:t xml:space="preserve"> by Province</w:t>
      </w:r>
    </w:p>
    <w:tbl>
      <w:tblPr>
        <w:tblStyle w:val="Tablaconcuadrcula"/>
        <w:tblW w:w="5076" w:type="pct"/>
        <w:tblLook w:val="04A0" w:firstRow="1" w:lastRow="0" w:firstColumn="1" w:lastColumn="0" w:noHBand="0" w:noVBand="1"/>
      </w:tblPr>
      <w:tblGrid>
        <w:gridCol w:w="2136"/>
        <w:gridCol w:w="1492"/>
        <w:gridCol w:w="1754"/>
        <w:gridCol w:w="1276"/>
        <w:gridCol w:w="1418"/>
        <w:gridCol w:w="1416"/>
      </w:tblGrid>
      <w:tr w:rsidR="00AE3AF3" w:rsidRPr="00E56D62" w14:paraId="538C6B10" w14:textId="77777777" w:rsidTr="00AE3AF3">
        <w:trPr>
          <w:trHeight w:val="234"/>
        </w:trPr>
        <w:tc>
          <w:tcPr>
            <w:tcW w:w="1125" w:type="pct"/>
          </w:tcPr>
          <w:p w14:paraId="42D4B9B6" w14:textId="62D485A3" w:rsidR="00004355" w:rsidRPr="00E56D62" w:rsidRDefault="00004355" w:rsidP="00AE3AF3">
            <w:pPr>
              <w:jc w:val="center"/>
              <w:rPr>
                <w:rFonts w:cs="Times New Roman"/>
              </w:rPr>
            </w:pPr>
            <w:r>
              <w:rPr>
                <w:rFonts w:cs="Times New Roman"/>
              </w:rPr>
              <w:t>Province</w:t>
            </w:r>
          </w:p>
        </w:tc>
        <w:tc>
          <w:tcPr>
            <w:tcW w:w="786" w:type="pct"/>
          </w:tcPr>
          <w:p w14:paraId="7AC6FF01" w14:textId="5B1EB09B" w:rsidR="00004355" w:rsidRPr="00E56D62" w:rsidRDefault="00AE3AF3" w:rsidP="00AE3AF3">
            <w:pPr>
              <w:jc w:val="center"/>
              <w:rPr>
                <w:rFonts w:cs="Times New Roman"/>
              </w:rPr>
            </w:pPr>
            <w:r>
              <w:rPr>
                <w:rFonts w:cs="Times New Roman"/>
              </w:rPr>
              <w:t>Total m</w:t>
            </w:r>
            <w:r w:rsidR="00004355">
              <w:rPr>
                <w:rFonts w:cs="Times New Roman"/>
              </w:rPr>
              <w:t>unicipalities</w:t>
            </w:r>
          </w:p>
        </w:tc>
        <w:tc>
          <w:tcPr>
            <w:tcW w:w="924" w:type="pct"/>
          </w:tcPr>
          <w:p w14:paraId="614D2396" w14:textId="11505A0E" w:rsidR="00004355" w:rsidRPr="00E56D62" w:rsidRDefault="00004355" w:rsidP="00AE3AF3">
            <w:pPr>
              <w:jc w:val="center"/>
              <w:rPr>
                <w:rFonts w:cs="Times New Roman"/>
              </w:rPr>
            </w:pPr>
            <w:r>
              <w:rPr>
                <w:rFonts w:cs="Times New Roman"/>
              </w:rPr>
              <w:t>Municipalities in sample</w:t>
            </w:r>
          </w:p>
        </w:tc>
        <w:tc>
          <w:tcPr>
            <w:tcW w:w="672" w:type="pct"/>
          </w:tcPr>
          <w:p w14:paraId="75E5557A" w14:textId="1658A20A" w:rsidR="00004355" w:rsidRPr="00E56D62" w:rsidRDefault="00004355" w:rsidP="00AE3AF3">
            <w:pPr>
              <w:jc w:val="center"/>
              <w:rPr>
                <w:rFonts w:cs="Times New Roman"/>
              </w:rPr>
            </w:pPr>
            <w:r w:rsidRPr="00E56D62">
              <w:rPr>
                <w:rFonts w:cs="Times New Roman"/>
              </w:rPr>
              <w:t>Total barangays</w:t>
            </w:r>
          </w:p>
        </w:tc>
        <w:tc>
          <w:tcPr>
            <w:tcW w:w="747" w:type="pct"/>
          </w:tcPr>
          <w:p w14:paraId="7A0D2BC4" w14:textId="0BF209C8" w:rsidR="00004355" w:rsidRPr="00E56D62" w:rsidRDefault="00004355" w:rsidP="00AE3AF3">
            <w:pPr>
              <w:jc w:val="center"/>
              <w:rPr>
                <w:rFonts w:cs="Times New Roman"/>
              </w:rPr>
            </w:pPr>
            <w:r w:rsidRPr="00E56D62">
              <w:rPr>
                <w:rFonts w:cs="Times New Roman"/>
              </w:rPr>
              <w:t>Barangays in sample</w:t>
            </w:r>
          </w:p>
        </w:tc>
        <w:tc>
          <w:tcPr>
            <w:tcW w:w="746" w:type="pct"/>
          </w:tcPr>
          <w:p w14:paraId="6655078B" w14:textId="06D7945C" w:rsidR="00004355" w:rsidRPr="00E56D62" w:rsidRDefault="00004355" w:rsidP="00AE3AF3">
            <w:pPr>
              <w:jc w:val="center"/>
              <w:rPr>
                <w:rFonts w:cs="Times New Roman"/>
              </w:rPr>
            </w:pPr>
            <w:r w:rsidRPr="00E56D62">
              <w:rPr>
                <w:rFonts w:cs="Times New Roman"/>
              </w:rPr>
              <w:t>Households in sample</w:t>
            </w:r>
          </w:p>
        </w:tc>
      </w:tr>
      <w:tr w:rsidR="00AE3AF3" w:rsidRPr="00E56D62" w14:paraId="71A3B416" w14:textId="77777777" w:rsidTr="00AE3AF3">
        <w:trPr>
          <w:trHeight w:val="234"/>
        </w:trPr>
        <w:tc>
          <w:tcPr>
            <w:tcW w:w="1125" w:type="pct"/>
          </w:tcPr>
          <w:p w14:paraId="4CF41642" w14:textId="7854504B" w:rsidR="00004355" w:rsidRPr="00E56D62" w:rsidRDefault="00004355" w:rsidP="009620BE">
            <w:pPr>
              <w:jc w:val="both"/>
              <w:rPr>
                <w:rFonts w:cs="Times New Roman"/>
              </w:rPr>
            </w:pPr>
            <w:r w:rsidRPr="00E56D62">
              <w:rPr>
                <w:rFonts w:cs="Times New Roman"/>
              </w:rPr>
              <w:t>Zamboanga del Norte</w:t>
            </w:r>
          </w:p>
        </w:tc>
        <w:tc>
          <w:tcPr>
            <w:tcW w:w="786" w:type="pct"/>
          </w:tcPr>
          <w:p w14:paraId="706B3B52" w14:textId="0EB2A5E6" w:rsidR="00004355" w:rsidRPr="00E56D62" w:rsidRDefault="00004355" w:rsidP="004F7F59">
            <w:pPr>
              <w:jc w:val="center"/>
              <w:rPr>
                <w:rFonts w:cs="Times New Roman"/>
              </w:rPr>
            </w:pPr>
            <w:r>
              <w:rPr>
                <w:rFonts w:cs="Times New Roman"/>
              </w:rPr>
              <w:t>27</w:t>
            </w:r>
          </w:p>
        </w:tc>
        <w:tc>
          <w:tcPr>
            <w:tcW w:w="924" w:type="pct"/>
          </w:tcPr>
          <w:p w14:paraId="2C699B0F" w14:textId="08228793" w:rsidR="00004355" w:rsidRPr="00E56D62" w:rsidRDefault="006F309E" w:rsidP="004F7F59">
            <w:pPr>
              <w:jc w:val="center"/>
              <w:rPr>
                <w:rFonts w:cs="Times New Roman"/>
              </w:rPr>
            </w:pPr>
            <w:r>
              <w:rPr>
                <w:rFonts w:cs="Times New Roman"/>
              </w:rPr>
              <w:t>11</w:t>
            </w:r>
          </w:p>
        </w:tc>
        <w:tc>
          <w:tcPr>
            <w:tcW w:w="672" w:type="pct"/>
          </w:tcPr>
          <w:p w14:paraId="4B06CCD3" w14:textId="675B160B" w:rsidR="00004355" w:rsidRPr="00E56D62" w:rsidRDefault="00004355" w:rsidP="004F7F59">
            <w:pPr>
              <w:jc w:val="center"/>
              <w:rPr>
                <w:rFonts w:cs="Times New Roman"/>
              </w:rPr>
            </w:pPr>
            <w:r w:rsidRPr="00E56D62">
              <w:rPr>
                <w:rFonts w:cs="Times New Roman"/>
              </w:rPr>
              <w:t>691</w:t>
            </w:r>
          </w:p>
        </w:tc>
        <w:tc>
          <w:tcPr>
            <w:tcW w:w="747" w:type="pct"/>
          </w:tcPr>
          <w:p w14:paraId="5EEC953D" w14:textId="19CC8C4D" w:rsidR="00004355" w:rsidRPr="00E56D62" w:rsidRDefault="006F309E" w:rsidP="004F7F59">
            <w:pPr>
              <w:jc w:val="center"/>
              <w:rPr>
                <w:rFonts w:cs="Times New Roman"/>
              </w:rPr>
            </w:pPr>
            <w:r>
              <w:rPr>
                <w:rFonts w:cs="Times New Roman"/>
              </w:rPr>
              <w:t>23</w:t>
            </w:r>
          </w:p>
        </w:tc>
        <w:tc>
          <w:tcPr>
            <w:tcW w:w="746" w:type="pct"/>
          </w:tcPr>
          <w:p w14:paraId="35263627" w14:textId="45C609A5" w:rsidR="00004355" w:rsidRPr="00E56D62" w:rsidRDefault="00004355" w:rsidP="004F7F59">
            <w:pPr>
              <w:jc w:val="center"/>
              <w:rPr>
                <w:rFonts w:cs="Times New Roman"/>
              </w:rPr>
            </w:pPr>
            <w:r w:rsidRPr="00E56D62">
              <w:rPr>
                <w:rFonts w:cs="Times New Roman"/>
              </w:rPr>
              <w:t>590</w:t>
            </w:r>
          </w:p>
        </w:tc>
      </w:tr>
      <w:tr w:rsidR="00AE3AF3" w:rsidRPr="00E56D62" w14:paraId="3AEE7A79" w14:textId="77777777" w:rsidTr="00AE3AF3">
        <w:trPr>
          <w:trHeight w:val="234"/>
        </w:trPr>
        <w:tc>
          <w:tcPr>
            <w:tcW w:w="1125" w:type="pct"/>
          </w:tcPr>
          <w:p w14:paraId="3040A542" w14:textId="765A0F66" w:rsidR="00004355" w:rsidRPr="00E56D62" w:rsidRDefault="00004355" w:rsidP="009620BE">
            <w:pPr>
              <w:jc w:val="both"/>
              <w:rPr>
                <w:rFonts w:cs="Times New Roman"/>
              </w:rPr>
            </w:pPr>
            <w:r w:rsidRPr="00E56D62">
              <w:rPr>
                <w:rFonts w:cs="Times New Roman"/>
              </w:rPr>
              <w:t>Zamboanga del Sur</w:t>
            </w:r>
          </w:p>
        </w:tc>
        <w:tc>
          <w:tcPr>
            <w:tcW w:w="786" w:type="pct"/>
          </w:tcPr>
          <w:p w14:paraId="27D35BC7" w14:textId="06679C68" w:rsidR="00004355" w:rsidRPr="00E56D62" w:rsidRDefault="00004355" w:rsidP="004F7F59">
            <w:pPr>
              <w:jc w:val="center"/>
              <w:rPr>
                <w:rFonts w:cs="Times New Roman"/>
              </w:rPr>
            </w:pPr>
            <w:r>
              <w:rPr>
                <w:rFonts w:cs="Times New Roman"/>
              </w:rPr>
              <w:t>28</w:t>
            </w:r>
          </w:p>
        </w:tc>
        <w:tc>
          <w:tcPr>
            <w:tcW w:w="924" w:type="pct"/>
          </w:tcPr>
          <w:p w14:paraId="267EA942" w14:textId="2FB7CDBF" w:rsidR="00004355" w:rsidRPr="00E56D62" w:rsidRDefault="006F309E" w:rsidP="004F7F59">
            <w:pPr>
              <w:jc w:val="center"/>
              <w:rPr>
                <w:rFonts w:cs="Times New Roman"/>
              </w:rPr>
            </w:pPr>
            <w:r>
              <w:rPr>
                <w:rFonts w:cs="Times New Roman"/>
              </w:rPr>
              <w:t>7</w:t>
            </w:r>
          </w:p>
        </w:tc>
        <w:tc>
          <w:tcPr>
            <w:tcW w:w="672" w:type="pct"/>
          </w:tcPr>
          <w:p w14:paraId="3B1092CB" w14:textId="6A6E59FA" w:rsidR="00004355" w:rsidRPr="00E56D62" w:rsidRDefault="00004355" w:rsidP="004F7F59">
            <w:pPr>
              <w:jc w:val="center"/>
              <w:rPr>
                <w:rFonts w:cs="Times New Roman"/>
              </w:rPr>
            </w:pPr>
            <w:r w:rsidRPr="00E56D62">
              <w:rPr>
                <w:rFonts w:cs="Times New Roman"/>
              </w:rPr>
              <w:t>681</w:t>
            </w:r>
          </w:p>
        </w:tc>
        <w:tc>
          <w:tcPr>
            <w:tcW w:w="747" w:type="pct"/>
          </w:tcPr>
          <w:p w14:paraId="05DC49F8" w14:textId="42448D7C" w:rsidR="00004355" w:rsidRPr="00E56D62" w:rsidRDefault="00004355" w:rsidP="004F7F59">
            <w:pPr>
              <w:jc w:val="center"/>
              <w:rPr>
                <w:rFonts w:cs="Times New Roman"/>
              </w:rPr>
            </w:pPr>
            <w:r w:rsidRPr="00E56D62">
              <w:rPr>
                <w:rFonts w:cs="Times New Roman"/>
              </w:rPr>
              <w:t>15</w:t>
            </w:r>
          </w:p>
        </w:tc>
        <w:tc>
          <w:tcPr>
            <w:tcW w:w="746" w:type="pct"/>
          </w:tcPr>
          <w:p w14:paraId="6F0E68DC" w14:textId="423EB7CE" w:rsidR="00004355" w:rsidRPr="00E56D62" w:rsidRDefault="00004355" w:rsidP="004F7F59">
            <w:pPr>
              <w:jc w:val="center"/>
              <w:rPr>
                <w:rFonts w:cs="Times New Roman"/>
              </w:rPr>
            </w:pPr>
            <w:r w:rsidRPr="00E56D62">
              <w:rPr>
                <w:rFonts w:cs="Times New Roman"/>
              </w:rPr>
              <w:t>350</w:t>
            </w:r>
          </w:p>
        </w:tc>
      </w:tr>
      <w:tr w:rsidR="00AE3AF3" w:rsidRPr="00E56D62" w14:paraId="50A8D992" w14:textId="77777777" w:rsidTr="00AE3AF3">
        <w:trPr>
          <w:trHeight w:val="234"/>
        </w:trPr>
        <w:tc>
          <w:tcPr>
            <w:tcW w:w="1125" w:type="pct"/>
          </w:tcPr>
          <w:p w14:paraId="69DD4939" w14:textId="49CA426D" w:rsidR="00004355" w:rsidRPr="00E56D62" w:rsidRDefault="00004355" w:rsidP="009620BE">
            <w:pPr>
              <w:jc w:val="both"/>
              <w:rPr>
                <w:rFonts w:cs="Times New Roman"/>
              </w:rPr>
            </w:pPr>
            <w:r w:rsidRPr="00E56D62">
              <w:rPr>
                <w:rFonts w:cs="Times New Roman"/>
              </w:rPr>
              <w:t>Zamboanga Sibugay</w:t>
            </w:r>
          </w:p>
        </w:tc>
        <w:tc>
          <w:tcPr>
            <w:tcW w:w="786" w:type="pct"/>
          </w:tcPr>
          <w:p w14:paraId="01C909B6" w14:textId="1211A722" w:rsidR="00004355" w:rsidRPr="00E56D62" w:rsidRDefault="00004355" w:rsidP="004F7F59">
            <w:pPr>
              <w:jc w:val="center"/>
              <w:rPr>
                <w:rFonts w:cs="Times New Roman"/>
              </w:rPr>
            </w:pPr>
            <w:r>
              <w:rPr>
                <w:rFonts w:cs="Times New Roman"/>
              </w:rPr>
              <w:t>16</w:t>
            </w:r>
          </w:p>
        </w:tc>
        <w:tc>
          <w:tcPr>
            <w:tcW w:w="924" w:type="pct"/>
          </w:tcPr>
          <w:p w14:paraId="22DD3E52" w14:textId="395CECD5" w:rsidR="00004355" w:rsidRPr="00E56D62" w:rsidRDefault="006F309E" w:rsidP="004F7F59">
            <w:pPr>
              <w:jc w:val="center"/>
              <w:rPr>
                <w:rFonts w:cs="Times New Roman"/>
              </w:rPr>
            </w:pPr>
            <w:r>
              <w:rPr>
                <w:rFonts w:cs="Times New Roman"/>
              </w:rPr>
              <w:t>9</w:t>
            </w:r>
          </w:p>
        </w:tc>
        <w:tc>
          <w:tcPr>
            <w:tcW w:w="672" w:type="pct"/>
          </w:tcPr>
          <w:p w14:paraId="694F04AB" w14:textId="64300FDB" w:rsidR="00004355" w:rsidRPr="00E56D62" w:rsidRDefault="00004355" w:rsidP="004F7F59">
            <w:pPr>
              <w:jc w:val="center"/>
              <w:rPr>
                <w:rFonts w:cs="Times New Roman"/>
              </w:rPr>
            </w:pPr>
            <w:r w:rsidRPr="00E56D62">
              <w:rPr>
                <w:rFonts w:cs="Times New Roman"/>
              </w:rPr>
              <w:t>388</w:t>
            </w:r>
          </w:p>
        </w:tc>
        <w:tc>
          <w:tcPr>
            <w:tcW w:w="747" w:type="pct"/>
          </w:tcPr>
          <w:p w14:paraId="177302B8" w14:textId="4B0917D9" w:rsidR="00004355" w:rsidRPr="00E56D62" w:rsidRDefault="006F309E" w:rsidP="004F7F59">
            <w:pPr>
              <w:jc w:val="center"/>
              <w:rPr>
                <w:rFonts w:cs="Times New Roman"/>
              </w:rPr>
            </w:pPr>
            <w:r>
              <w:rPr>
                <w:rFonts w:cs="Times New Roman"/>
              </w:rPr>
              <w:t>27</w:t>
            </w:r>
          </w:p>
        </w:tc>
        <w:tc>
          <w:tcPr>
            <w:tcW w:w="746" w:type="pct"/>
          </w:tcPr>
          <w:p w14:paraId="323C0438" w14:textId="64ECB11D" w:rsidR="00004355" w:rsidRPr="00E56D62" w:rsidRDefault="00004355" w:rsidP="004F7F59">
            <w:pPr>
              <w:jc w:val="center"/>
              <w:rPr>
                <w:rFonts w:cs="Times New Roman"/>
              </w:rPr>
            </w:pPr>
            <w:r w:rsidRPr="00E56D62">
              <w:rPr>
                <w:rFonts w:cs="Times New Roman"/>
              </w:rPr>
              <w:t>560</w:t>
            </w:r>
          </w:p>
        </w:tc>
      </w:tr>
      <w:tr w:rsidR="00AE3AF3" w:rsidRPr="00E56D62" w14:paraId="26B925B0" w14:textId="77777777" w:rsidTr="00AE3AF3">
        <w:trPr>
          <w:trHeight w:val="114"/>
        </w:trPr>
        <w:tc>
          <w:tcPr>
            <w:tcW w:w="1125" w:type="pct"/>
          </w:tcPr>
          <w:p w14:paraId="78AF97BE" w14:textId="76BD6F10" w:rsidR="00004355" w:rsidRPr="00E56D62" w:rsidRDefault="00004355" w:rsidP="009620BE">
            <w:pPr>
              <w:jc w:val="both"/>
              <w:rPr>
                <w:rFonts w:cs="Times New Roman"/>
              </w:rPr>
            </w:pPr>
            <w:r w:rsidRPr="00E56D62">
              <w:rPr>
                <w:rFonts w:cs="Times New Roman"/>
              </w:rPr>
              <w:t>Total</w:t>
            </w:r>
          </w:p>
        </w:tc>
        <w:tc>
          <w:tcPr>
            <w:tcW w:w="786" w:type="pct"/>
          </w:tcPr>
          <w:p w14:paraId="703BE8FA" w14:textId="2E7D4A01" w:rsidR="00004355" w:rsidRPr="00E56D62" w:rsidRDefault="00004355" w:rsidP="004F7F59">
            <w:pPr>
              <w:jc w:val="center"/>
              <w:rPr>
                <w:rFonts w:cs="Times New Roman"/>
              </w:rPr>
            </w:pPr>
            <w:r>
              <w:rPr>
                <w:rFonts w:cs="Times New Roman"/>
              </w:rPr>
              <w:t>71</w:t>
            </w:r>
          </w:p>
        </w:tc>
        <w:tc>
          <w:tcPr>
            <w:tcW w:w="924" w:type="pct"/>
          </w:tcPr>
          <w:p w14:paraId="2228EE62" w14:textId="0B59C800" w:rsidR="00004355" w:rsidRPr="00E56D62" w:rsidRDefault="00AE3AF3" w:rsidP="004F7F59">
            <w:pPr>
              <w:jc w:val="center"/>
              <w:rPr>
                <w:rFonts w:cs="Times New Roman"/>
              </w:rPr>
            </w:pPr>
            <w:r>
              <w:rPr>
                <w:rFonts w:cs="Times New Roman"/>
              </w:rPr>
              <w:t>27</w:t>
            </w:r>
          </w:p>
        </w:tc>
        <w:tc>
          <w:tcPr>
            <w:tcW w:w="672" w:type="pct"/>
          </w:tcPr>
          <w:p w14:paraId="035D4ED6" w14:textId="1CAC89A3" w:rsidR="00004355" w:rsidRPr="00E56D62" w:rsidRDefault="00004355" w:rsidP="004F7F59">
            <w:pPr>
              <w:jc w:val="center"/>
              <w:rPr>
                <w:rFonts w:cs="Times New Roman"/>
              </w:rPr>
            </w:pPr>
            <w:r w:rsidRPr="00E56D62">
              <w:rPr>
                <w:rFonts w:cs="Times New Roman"/>
              </w:rPr>
              <w:t>1760</w:t>
            </w:r>
          </w:p>
        </w:tc>
        <w:tc>
          <w:tcPr>
            <w:tcW w:w="747" w:type="pct"/>
          </w:tcPr>
          <w:p w14:paraId="2DA61021" w14:textId="4FB5EF3A" w:rsidR="00004355" w:rsidRPr="00E56D62" w:rsidRDefault="006F309E" w:rsidP="004F7F59">
            <w:pPr>
              <w:jc w:val="center"/>
              <w:rPr>
                <w:rFonts w:cs="Times New Roman"/>
              </w:rPr>
            </w:pPr>
            <w:r>
              <w:rPr>
                <w:rFonts w:cs="Times New Roman"/>
              </w:rPr>
              <w:t>65</w:t>
            </w:r>
          </w:p>
        </w:tc>
        <w:tc>
          <w:tcPr>
            <w:tcW w:w="746" w:type="pct"/>
          </w:tcPr>
          <w:p w14:paraId="56C59828" w14:textId="673B3483" w:rsidR="00004355" w:rsidRPr="00E56D62" w:rsidRDefault="00004355" w:rsidP="004F7F59">
            <w:pPr>
              <w:jc w:val="center"/>
              <w:rPr>
                <w:rFonts w:cs="Times New Roman"/>
              </w:rPr>
            </w:pPr>
            <w:r w:rsidRPr="00E56D62">
              <w:rPr>
                <w:rFonts w:cs="Times New Roman"/>
              </w:rPr>
              <w:t>1500</w:t>
            </w:r>
          </w:p>
        </w:tc>
      </w:tr>
    </w:tbl>
    <w:p w14:paraId="2BE4399A" w14:textId="0E5495E0" w:rsidR="00D37360" w:rsidRPr="00E56D62" w:rsidRDefault="009620BE" w:rsidP="009620BE">
      <w:pPr>
        <w:jc w:val="both"/>
        <w:rPr>
          <w:rFonts w:cs="Times New Roman"/>
        </w:rPr>
      </w:pPr>
      <w:r w:rsidRPr="00E56D62">
        <w:rPr>
          <w:rFonts w:cs="Times New Roman"/>
        </w:rPr>
        <w:t xml:space="preserve"> </w:t>
      </w:r>
    </w:p>
    <w:p w14:paraId="09C6B355" w14:textId="07521B2D" w:rsidR="001F1464" w:rsidRPr="00E56D62" w:rsidRDefault="00C07C81" w:rsidP="009620BE">
      <w:pPr>
        <w:jc w:val="both"/>
        <w:rPr>
          <w:rFonts w:cs="Times New Roman"/>
        </w:rPr>
      </w:pPr>
      <w:r w:rsidRPr="00E56D62">
        <w:rPr>
          <w:rFonts w:cs="Times New Roman"/>
        </w:rPr>
        <w:t>The same number of barangays with and without armed groups was</w:t>
      </w:r>
      <w:r w:rsidR="000B44EF">
        <w:rPr>
          <w:rFonts w:cs="Times New Roman"/>
        </w:rPr>
        <w:t xml:space="preserve"> meant to be</w:t>
      </w:r>
      <w:r w:rsidRPr="00E56D62">
        <w:rPr>
          <w:rFonts w:cs="Times New Roman"/>
        </w:rPr>
        <w:t xml:space="preserve"> included. </w:t>
      </w:r>
      <w:r w:rsidR="000B44EF">
        <w:rPr>
          <w:rFonts w:cs="Times New Roman"/>
        </w:rPr>
        <w:t>I</w:t>
      </w:r>
      <w:r w:rsidRPr="00E56D62">
        <w:rPr>
          <w:rFonts w:cs="Times New Roman"/>
        </w:rPr>
        <w:t>n the barangays with armed group</w:t>
      </w:r>
      <w:r w:rsidR="000B44EF">
        <w:rPr>
          <w:rFonts w:cs="Times New Roman"/>
        </w:rPr>
        <w:t xml:space="preserve"> presence 20 households should have been</w:t>
      </w:r>
      <w:r w:rsidRPr="00E56D62">
        <w:rPr>
          <w:rFonts w:cs="Times New Roman"/>
        </w:rPr>
        <w:t xml:space="preserve"> surveyed and in the barangays without armed group presence 30 households should</w:t>
      </w:r>
      <w:r w:rsidR="000B44EF">
        <w:rPr>
          <w:rFonts w:cs="Times New Roman"/>
        </w:rPr>
        <w:t xml:space="preserve"> have</w:t>
      </w:r>
      <w:r w:rsidRPr="00E56D62">
        <w:rPr>
          <w:rFonts w:cs="Times New Roman"/>
        </w:rPr>
        <w:t xml:space="preserve"> be</w:t>
      </w:r>
      <w:r w:rsidR="000B44EF">
        <w:rPr>
          <w:rFonts w:cs="Times New Roman"/>
        </w:rPr>
        <w:t>en</w:t>
      </w:r>
      <w:r w:rsidRPr="00E56D62">
        <w:rPr>
          <w:rFonts w:cs="Times New Roman"/>
        </w:rPr>
        <w:t xml:space="preserve"> surveyed. Given th</w:t>
      </w:r>
      <w:r w:rsidR="004F7F59" w:rsidRPr="00E56D62">
        <w:rPr>
          <w:rFonts w:cs="Times New Roman"/>
        </w:rPr>
        <w:t>e</w:t>
      </w:r>
      <w:r w:rsidRPr="00E56D62">
        <w:rPr>
          <w:rFonts w:cs="Times New Roman"/>
        </w:rPr>
        <w:t xml:space="preserve"> stratification</w:t>
      </w:r>
      <w:r w:rsidR="004F7F59" w:rsidRPr="00E56D62">
        <w:rPr>
          <w:rFonts w:cs="Times New Roman"/>
        </w:rPr>
        <w:t xml:space="preserve"> criterion</w:t>
      </w:r>
      <w:r w:rsidRPr="00E56D62">
        <w:rPr>
          <w:rFonts w:cs="Times New Roman"/>
        </w:rPr>
        <w:t xml:space="preserve">, </w:t>
      </w:r>
      <w:r w:rsidR="000B44EF">
        <w:rPr>
          <w:rFonts w:cs="Times New Roman"/>
        </w:rPr>
        <w:t>and the conditions on field, the sample was</w:t>
      </w:r>
      <w:r w:rsidRPr="00E56D62">
        <w:rPr>
          <w:rFonts w:cs="Times New Roman"/>
        </w:rPr>
        <w:t xml:space="preserve"> split by armed group presence as described in the f</w:t>
      </w:r>
      <w:bookmarkStart w:id="0" w:name="_GoBack"/>
      <w:bookmarkEnd w:id="0"/>
      <w:r w:rsidRPr="00E56D62">
        <w:rPr>
          <w:rFonts w:cs="Times New Roman"/>
        </w:rPr>
        <w:t>ollowing table.</w:t>
      </w:r>
    </w:p>
    <w:p w14:paraId="46329A1D" w14:textId="0BF89E71" w:rsidR="00C07C81" w:rsidRPr="00E56D62" w:rsidRDefault="002022E9" w:rsidP="002022E9">
      <w:pPr>
        <w:jc w:val="center"/>
      </w:pPr>
      <w:r w:rsidRPr="00E56D62">
        <w:t xml:space="preserve">Table </w:t>
      </w:r>
      <w:r w:rsidR="000B44EF">
        <w:fldChar w:fldCharType="begin"/>
      </w:r>
      <w:r w:rsidR="000B44EF">
        <w:instrText xml:space="preserve"> SEQ Table \* ARABIC </w:instrText>
      </w:r>
      <w:r w:rsidR="000B44EF">
        <w:fldChar w:fldCharType="separate"/>
      </w:r>
      <w:r w:rsidR="001F1464" w:rsidRPr="00E56D62">
        <w:rPr>
          <w:noProof/>
        </w:rPr>
        <w:t>2</w:t>
      </w:r>
      <w:r w:rsidR="000B44EF">
        <w:rPr>
          <w:noProof/>
        </w:rPr>
        <w:fldChar w:fldCharType="end"/>
      </w:r>
      <w:r w:rsidRPr="00E56D62">
        <w:t>. Sample by presence of armed groups</w:t>
      </w:r>
    </w:p>
    <w:tbl>
      <w:tblPr>
        <w:tblStyle w:val="Tablaconcuadrcula"/>
        <w:tblW w:w="0" w:type="auto"/>
        <w:tblLook w:val="04A0" w:firstRow="1" w:lastRow="0" w:firstColumn="1" w:lastColumn="0" w:noHBand="0" w:noVBand="1"/>
      </w:tblPr>
      <w:tblGrid>
        <w:gridCol w:w="3116"/>
        <w:gridCol w:w="3117"/>
        <w:gridCol w:w="3117"/>
      </w:tblGrid>
      <w:tr w:rsidR="002022E9" w:rsidRPr="00E56D62" w14:paraId="258C6E6B" w14:textId="77777777" w:rsidTr="002022E9">
        <w:tc>
          <w:tcPr>
            <w:tcW w:w="3116" w:type="dxa"/>
          </w:tcPr>
          <w:p w14:paraId="2E511681" w14:textId="0A2AD9F1" w:rsidR="002022E9" w:rsidRPr="00E56D62" w:rsidRDefault="002022E9" w:rsidP="002022E9">
            <w:pPr>
              <w:jc w:val="center"/>
            </w:pPr>
          </w:p>
        </w:tc>
        <w:tc>
          <w:tcPr>
            <w:tcW w:w="3117" w:type="dxa"/>
          </w:tcPr>
          <w:p w14:paraId="77D92F66" w14:textId="31F5A629" w:rsidR="002022E9" w:rsidRPr="00E56D62" w:rsidRDefault="002022E9" w:rsidP="002022E9">
            <w:pPr>
              <w:jc w:val="center"/>
            </w:pPr>
            <w:r w:rsidRPr="00E56D62">
              <w:t>Number of barangays</w:t>
            </w:r>
          </w:p>
        </w:tc>
        <w:tc>
          <w:tcPr>
            <w:tcW w:w="3117" w:type="dxa"/>
          </w:tcPr>
          <w:p w14:paraId="61FC4268" w14:textId="0C72674E" w:rsidR="002022E9" w:rsidRPr="00E56D62" w:rsidRDefault="002022E9" w:rsidP="002022E9">
            <w:pPr>
              <w:jc w:val="center"/>
            </w:pPr>
            <w:r w:rsidRPr="00E56D62">
              <w:t>Sample size</w:t>
            </w:r>
          </w:p>
        </w:tc>
      </w:tr>
      <w:tr w:rsidR="002022E9" w:rsidRPr="00E56D62" w14:paraId="5A0B5A1F" w14:textId="77777777" w:rsidTr="002022E9">
        <w:tc>
          <w:tcPr>
            <w:tcW w:w="3116" w:type="dxa"/>
          </w:tcPr>
          <w:p w14:paraId="1774C229" w14:textId="219E4A20" w:rsidR="002022E9" w:rsidRPr="00E56D62" w:rsidRDefault="002022E9" w:rsidP="004F7F59">
            <w:r w:rsidRPr="00E56D62">
              <w:t>Presence of insurgent groups</w:t>
            </w:r>
          </w:p>
        </w:tc>
        <w:tc>
          <w:tcPr>
            <w:tcW w:w="3117" w:type="dxa"/>
          </w:tcPr>
          <w:p w14:paraId="754956B7" w14:textId="110D587F" w:rsidR="002022E9" w:rsidRPr="00E56D62" w:rsidRDefault="00AE3AF3" w:rsidP="002022E9">
            <w:pPr>
              <w:jc w:val="center"/>
            </w:pPr>
            <w:r>
              <w:t>29</w:t>
            </w:r>
          </w:p>
        </w:tc>
        <w:tc>
          <w:tcPr>
            <w:tcW w:w="3117" w:type="dxa"/>
          </w:tcPr>
          <w:p w14:paraId="199090AF" w14:textId="24A95371" w:rsidR="002022E9" w:rsidRPr="00E56D62" w:rsidRDefault="000B44EF" w:rsidP="002022E9">
            <w:pPr>
              <w:jc w:val="center"/>
            </w:pPr>
            <w:r>
              <w:t>951</w:t>
            </w:r>
          </w:p>
        </w:tc>
      </w:tr>
      <w:tr w:rsidR="002022E9" w:rsidRPr="00E56D62" w14:paraId="14F7D7F3" w14:textId="77777777" w:rsidTr="002022E9">
        <w:tc>
          <w:tcPr>
            <w:tcW w:w="3116" w:type="dxa"/>
          </w:tcPr>
          <w:p w14:paraId="008D3B38" w14:textId="622D9743" w:rsidR="002022E9" w:rsidRPr="00E56D62" w:rsidRDefault="002022E9" w:rsidP="004F7F59">
            <w:r w:rsidRPr="00E56D62">
              <w:t>No presence of armed groups</w:t>
            </w:r>
          </w:p>
        </w:tc>
        <w:tc>
          <w:tcPr>
            <w:tcW w:w="3117" w:type="dxa"/>
          </w:tcPr>
          <w:p w14:paraId="452592A8" w14:textId="6E7E7818" w:rsidR="002022E9" w:rsidRPr="00E56D62" w:rsidRDefault="00AE3AF3" w:rsidP="002022E9">
            <w:pPr>
              <w:jc w:val="center"/>
            </w:pPr>
            <w:r>
              <w:t>36</w:t>
            </w:r>
          </w:p>
        </w:tc>
        <w:tc>
          <w:tcPr>
            <w:tcW w:w="3117" w:type="dxa"/>
          </w:tcPr>
          <w:p w14:paraId="4D782387" w14:textId="2C116715" w:rsidR="002022E9" w:rsidRPr="00E56D62" w:rsidRDefault="0096267E" w:rsidP="002022E9">
            <w:pPr>
              <w:jc w:val="center"/>
            </w:pPr>
            <w:r>
              <w:t>549</w:t>
            </w:r>
          </w:p>
        </w:tc>
      </w:tr>
      <w:tr w:rsidR="002022E9" w:rsidRPr="00E56D62" w14:paraId="3A11399E" w14:textId="77777777" w:rsidTr="002022E9">
        <w:tc>
          <w:tcPr>
            <w:tcW w:w="3116" w:type="dxa"/>
          </w:tcPr>
          <w:p w14:paraId="032439F5" w14:textId="2C00254F" w:rsidR="002022E9" w:rsidRPr="00E56D62" w:rsidRDefault="002022E9" w:rsidP="004F7F59">
            <w:r w:rsidRPr="00E56D62">
              <w:t>Total</w:t>
            </w:r>
          </w:p>
        </w:tc>
        <w:tc>
          <w:tcPr>
            <w:tcW w:w="3117" w:type="dxa"/>
          </w:tcPr>
          <w:p w14:paraId="1FD013B8" w14:textId="1572DA89" w:rsidR="002022E9" w:rsidRPr="00E56D62" w:rsidRDefault="00AE3AF3" w:rsidP="002022E9">
            <w:pPr>
              <w:jc w:val="center"/>
            </w:pPr>
            <w:r>
              <w:t>65</w:t>
            </w:r>
          </w:p>
        </w:tc>
        <w:tc>
          <w:tcPr>
            <w:tcW w:w="3117" w:type="dxa"/>
          </w:tcPr>
          <w:p w14:paraId="0C9137AA" w14:textId="0CF69ECA" w:rsidR="002022E9" w:rsidRPr="00E56D62" w:rsidRDefault="002022E9" w:rsidP="002022E9">
            <w:pPr>
              <w:jc w:val="center"/>
            </w:pPr>
            <w:r w:rsidRPr="00E56D62">
              <w:t>1500</w:t>
            </w:r>
          </w:p>
        </w:tc>
      </w:tr>
    </w:tbl>
    <w:p w14:paraId="2C45C57A" w14:textId="3480D32D" w:rsidR="00BD1E4B" w:rsidRPr="00F525E9" w:rsidRDefault="00BD1E4B" w:rsidP="00F525E9"/>
    <w:p w14:paraId="557BD404" w14:textId="6B1C0056" w:rsidR="001F1464" w:rsidRPr="00E56D62" w:rsidRDefault="001F1464" w:rsidP="004F7F59">
      <w:pPr>
        <w:rPr>
          <w:b/>
        </w:rPr>
      </w:pPr>
      <w:r w:rsidRPr="00E56D62">
        <w:rPr>
          <w:b/>
        </w:rPr>
        <w:t>Replacement rules</w:t>
      </w:r>
    </w:p>
    <w:p w14:paraId="1627A81A" w14:textId="28302DB5" w:rsidR="001F1464" w:rsidRPr="00E56D62" w:rsidRDefault="001F1464" w:rsidP="004F7F59">
      <w:r w:rsidRPr="00E56D62">
        <w:t>These are the rules that were designed and given to the supervisors and enumerators to follow in case the household quota is not completed in the sample barangays.</w:t>
      </w:r>
    </w:p>
    <w:p w14:paraId="5B5647BA" w14:textId="7763F3DC" w:rsidR="009E2499" w:rsidRPr="00E56D62" w:rsidRDefault="009E2499" w:rsidP="004F7F59">
      <w:pPr>
        <w:rPr>
          <w:b/>
        </w:rPr>
      </w:pPr>
      <w:r w:rsidRPr="00E56D62">
        <w:rPr>
          <w:b/>
        </w:rPr>
        <w:t>Household replacement rules</w:t>
      </w:r>
    </w:p>
    <w:p w14:paraId="508F3C93" w14:textId="794381F3" w:rsidR="009E2499" w:rsidRPr="00E56D62" w:rsidRDefault="009E2499" w:rsidP="004F7F59">
      <w:r w:rsidRPr="00E56D62">
        <w:t xml:space="preserve">In case a household can not be reached, in any kind of barangay, the </w:t>
      </w:r>
      <w:r w:rsidR="00E56D62" w:rsidRPr="00E56D62">
        <w:t>enumerator</w:t>
      </w:r>
      <w:r w:rsidRPr="00E56D62">
        <w:t xml:space="preserve"> was told to take the route to the closest </w:t>
      </w:r>
      <w:r w:rsidR="00E56D62" w:rsidRPr="00E56D62">
        <w:t>seacoast</w:t>
      </w:r>
      <w:r w:rsidRPr="00E56D62">
        <w:t xml:space="preserve"> and survey the next fishing household they found. </w:t>
      </w:r>
      <w:r w:rsidR="00E56D62" w:rsidRPr="00E56D62">
        <w:t>This criterion</w:t>
      </w:r>
      <w:r w:rsidRPr="00E56D62">
        <w:t xml:space="preserve"> was chosen to maximize the odds of finding </w:t>
      </w:r>
      <w:r w:rsidR="00E56D62" w:rsidRPr="00E56D62">
        <w:t xml:space="preserve">a fishing household. This replacement rules applies for barangays with and without armed group presence. </w:t>
      </w:r>
    </w:p>
    <w:p w14:paraId="5031D8AC" w14:textId="2CF2E4D1" w:rsidR="009E2499" w:rsidRPr="00E56D62" w:rsidRDefault="009E2499" w:rsidP="004F7F59">
      <w:pPr>
        <w:rPr>
          <w:b/>
        </w:rPr>
      </w:pPr>
      <w:r w:rsidRPr="00E56D62">
        <w:rPr>
          <w:b/>
        </w:rPr>
        <w:t>Barangay replacement rules</w:t>
      </w:r>
    </w:p>
    <w:p w14:paraId="128646AF" w14:textId="7D40F964" w:rsidR="00D37360" w:rsidRPr="00E56D62" w:rsidRDefault="00D37360" w:rsidP="00D37360">
      <w:pPr>
        <w:shd w:val="clear" w:color="auto" w:fill="FFFFFF"/>
        <w:spacing w:beforeAutospacing="1" w:after="0" w:afterAutospacing="1" w:line="240" w:lineRule="auto"/>
        <w:jc w:val="both"/>
        <w:rPr>
          <w:rFonts w:eastAsia="Times New Roman" w:cs="Times New Roman"/>
          <w:color w:val="201F1E"/>
        </w:rPr>
      </w:pPr>
      <w:r w:rsidRPr="00E56D62">
        <w:rPr>
          <w:rFonts w:eastAsia="Times New Roman" w:cs="Times New Roman"/>
          <w:color w:val="000000"/>
          <w:u w:val="single"/>
          <w:bdr w:val="none" w:sz="0" w:space="0" w:color="auto" w:frame="1"/>
          <w:shd w:val="clear" w:color="auto" w:fill="FFFFFF"/>
        </w:rPr>
        <w:t>For barangays without insurgent group presence </w:t>
      </w:r>
    </w:p>
    <w:p w14:paraId="2E5B85FC" w14:textId="4FCAE928" w:rsidR="009E2499" w:rsidRPr="00E56D62" w:rsidRDefault="001F1464" w:rsidP="001F1464">
      <w:pPr>
        <w:shd w:val="clear" w:color="auto" w:fill="FFFFFF"/>
        <w:spacing w:after="0" w:line="240" w:lineRule="auto"/>
        <w:jc w:val="both"/>
        <w:rPr>
          <w:rFonts w:eastAsia="Times New Roman" w:cs="Times New Roman"/>
          <w:color w:val="000000"/>
          <w:bdr w:val="none" w:sz="0" w:space="0" w:color="auto" w:frame="1"/>
        </w:rPr>
      </w:pPr>
      <w:r w:rsidRPr="00E56D62">
        <w:rPr>
          <w:rFonts w:eastAsia="Times New Roman" w:cs="Times New Roman"/>
          <w:color w:val="000000"/>
          <w:bdr w:val="none" w:sz="0" w:space="0" w:color="auto" w:frame="1"/>
        </w:rPr>
        <w:t xml:space="preserve">As was mentioned before, the </w:t>
      </w:r>
      <w:r w:rsidR="00D37360" w:rsidRPr="00E56D62">
        <w:rPr>
          <w:rFonts w:eastAsia="Times New Roman" w:cs="Times New Roman"/>
          <w:color w:val="000000"/>
          <w:bdr w:val="none" w:sz="0" w:space="0" w:color="auto" w:frame="1"/>
        </w:rPr>
        <w:t xml:space="preserve">quota </w:t>
      </w:r>
      <w:r w:rsidRPr="00E56D62">
        <w:rPr>
          <w:rFonts w:eastAsia="Times New Roman" w:cs="Times New Roman"/>
          <w:color w:val="000000"/>
          <w:bdr w:val="none" w:sz="0" w:space="0" w:color="auto" w:frame="1"/>
        </w:rPr>
        <w:t xml:space="preserve">for these barangays is </w:t>
      </w:r>
      <w:r w:rsidR="00D37360" w:rsidRPr="00E56D62">
        <w:rPr>
          <w:rFonts w:eastAsia="Times New Roman" w:cs="Times New Roman"/>
          <w:color w:val="000000"/>
          <w:bdr w:val="none" w:sz="0" w:space="0" w:color="auto" w:frame="1"/>
        </w:rPr>
        <w:t>of 2</w:t>
      </w:r>
      <w:r w:rsidRPr="00E56D62">
        <w:rPr>
          <w:rFonts w:eastAsia="Times New Roman" w:cs="Times New Roman"/>
          <w:color w:val="000000"/>
          <w:bdr w:val="none" w:sz="0" w:space="0" w:color="auto" w:frame="1"/>
        </w:rPr>
        <w:t>0</w:t>
      </w:r>
      <w:r w:rsidR="00D37360" w:rsidRPr="00E56D62">
        <w:rPr>
          <w:rFonts w:eastAsia="Times New Roman" w:cs="Times New Roman"/>
          <w:color w:val="000000"/>
          <w:bdr w:val="none" w:sz="0" w:space="0" w:color="auto" w:frame="1"/>
        </w:rPr>
        <w:t xml:space="preserve"> fishing households</w:t>
      </w:r>
      <w:r w:rsidRPr="00E56D62">
        <w:rPr>
          <w:rFonts w:eastAsia="Times New Roman" w:cs="Times New Roman"/>
          <w:color w:val="000000"/>
          <w:bdr w:val="none" w:sz="0" w:space="0" w:color="auto" w:frame="1"/>
        </w:rPr>
        <w:t xml:space="preserve">. If a barangay with less than 20 fishing households is identified, all the fishing households should be surveyed. </w:t>
      </w:r>
      <w:r w:rsidR="00D37360" w:rsidRPr="00E56D62">
        <w:rPr>
          <w:rFonts w:eastAsia="Times New Roman" w:cs="Times New Roman"/>
          <w:color w:val="000000"/>
          <w:bdr w:val="none" w:sz="0" w:space="0" w:color="auto" w:frame="1"/>
          <w:shd w:val="clear" w:color="auto" w:fill="FFFFFF"/>
        </w:rPr>
        <w:t xml:space="preserve">To complete the quota, </w:t>
      </w:r>
      <w:r w:rsidRPr="00E56D62">
        <w:rPr>
          <w:rFonts w:eastAsia="Times New Roman" w:cs="Times New Roman"/>
          <w:color w:val="000000"/>
          <w:bdr w:val="none" w:sz="0" w:space="0" w:color="auto" w:frame="1"/>
          <w:shd w:val="clear" w:color="auto" w:fill="FFFFFF"/>
        </w:rPr>
        <w:t xml:space="preserve">the field team should go to the </w:t>
      </w:r>
      <w:r w:rsidR="00D37360" w:rsidRPr="00E56D62">
        <w:rPr>
          <w:rFonts w:eastAsia="Times New Roman" w:cs="Times New Roman"/>
          <w:color w:val="000000"/>
          <w:bdr w:val="none" w:sz="0" w:space="0" w:color="auto" w:frame="1"/>
          <w:shd w:val="clear" w:color="auto" w:fill="FFFFFF"/>
        </w:rPr>
        <w:t xml:space="preserve">closest barangay in direction to the </w:t>
      </w:r>
      <w:r w:rsidR="009E2499" w:rsidRPr="00E56D62">
        <w:rPr>
          <w:rFonts w:eastAsia="Times New Roman" w:cs="Times New Roman"/>
          <w:color w:val="000000"/>
          <w:bdr w:val="none" w:sz="0" w:space="0" w:color="auto" w:frame="1"/>
          <w:shd w:val="clear" w:color="auto" w:fill="FFFFFF"/>
        </w:rPr>
        <w:t>seacoast</w:t>
      </w:r>
      <w:r w:rsidRPr="00E56D62">
        <w:rPr>
          <w:rFonts w:eastAsia="Times New Roman" w:cs="Times New Roman"/>
          <w:color w:val="000000"/>
          <w:bdr w:val="none" w:sz="0" w:space="0" w:color="auto" w:frame="1"/>
          <w:shd w:val="clear" w:color="auto" w:fill="FFFFFF"/>
        </w:rPr>
        <w:t>, count the fishing households and survey the households needed to complete the required 20 households.</w:t>
      </w:r>
      <w:r w:rsidR="00D37360" w:rsidRPr="00E56D62">
        <w:rPr>
          <w:rFonts w:eastAsia="Times New Roman" w:cs="Times New Roman"/>
          <w:color w:val="000000"/>
          <w:bdr w:val="none" w:sz="0" w:space="0" w:color="auto" w:frame="1"/>
          <w:shd w:val="clear" w:color="auto" w:fill="FFFFFF"/>
        </w:rPr>
        <w:t xml:space="preserve"> </w:t>
      </w:r>
      <w:r w:rsidRPr="00E56D62">
        <w:rPr>
          <w:rFonts w:eastAsia="Times New Roman" w:cs="Times New Roman"/>
          <w:color w:val="000000"/>
          <w:bdr w:val="none" w:sz="0" w:space="0" w:color="auto" w:frame="1"/>
          <w:shd w:val="clear" w:color="auto" w:fill="FFFFFF"/>
        </w:rPr>
        <w:t xml:space="preserve">If </w:t>
      </w:r>
      <w:r w:rsidR="00D37360" w:rsidRPr="00E56D62">
        <w:rPr>
          <w:rFonts w:eastAsia="Times New Roman" w:cs="Times New Roman"/>
          <w:color w:val="000000"/>
          <w:bdr w:val="none" w:sz="0" w:space="0" w:color="auto" w:frame="1"/>
        </w:rPr>
        <w:t xml:space="preserve">the quota is not </w:t>
      </w:r>
      <w:r w:rsidR="00D37360" w:rsidRPr="00E56D62">
        <w:rPr>
          <w:rFonts w:eastAsia="Times New Roman" w:cs="Times New Roman"/>
          <w:color w:val="000000"/>
          <w:bdr w:val="none" w:sz="0" w:space="0" w:color="auto" w:frame="1"/>
        </w:rPr>
        <w:lastRenderedPageBreak/>
        <w:t xml:space="preserve">completed there either, </w:t>
      </w:r>
      <w:r w:rsidRPr="00E56D62">
        <w:rPr>
          <w:rFonts w:eastAsia="Times New Roman" w:cs="Times New Roman"/>
          <w:color w:val="000000"/>
          <w:bdr w:val="none" w:sz="0" w:space="0" w:color="auto" w:frame="1"/>
        </w:rPr>
        <w:t xml:space="preserve">the </w:t>
      </w:r>
      <w:r w:rsidR="009E2499" w:rsidRPr="00E56D62">
        <w:rPr>
          <w:rFonts w:eastAsia="Times New Roman" w:cs="Times New Roman"/>
          <w:color w:val="000000"/>
          <w:bdr w:val="none" w:sz="0" w:space="0" w:color="auto" w:frame="1"/>
        </w:rPr>
        <w:t>field team</w:t>
      </w:r>
      <w:r w:rsidRPr="00E56D62">
        <w:rPr>
          <w:rFonts w:eastAsia="Times New Roman" w:cs="Times New Roman"/>
          <w:color w:val="000000"/>
          <w:bdr w:val="none" w:sz="0" w:space="0" w:color="auto" w:frame="1"/>
        </w:rPr>
        <w:t xml:space="preserve"> </w:t>
      </w:r>
      <w:r w:rsidR="00D37360" w:rsidRPr="00E56D62">
        <w:rPr>
          <w:rFonts w:eastAsia="Times New Roman" w:cs="Times New Roman"/>
          <w:color w:val="000000"/>
          <w:bdr w:val="none" w:sz="0" w:space="0" w:color="auto" w:frame="1"/>
        </w:rPr>
        <w:t>should select the next closest barangay in</w:t>
      </w:r>
      <w:r w:rsidR="009E2499" w:rsidRPr="00E56D62">
        <w:rPr>
          <w:rFonts w:eastAsia="Times New Roman" w:cs="Times New Roman"/>
          <w:color w:val="000000"/>
          <w:bdr w:val="none" w:sz="0" w:space="0" w:color="auto" w:frame="1"/>
        </w:rPr>
        <w:t xml:space="preserve"> direction</w:t>
      </w:r>
      <w:r w:rsidR="00D37360" w:rsidRPr="00E56D62">
        <w:rPr>
          <w:rFonts w:eastAsia="Times New Roman" w:cs="Times New Roman"/>
          <w:color w:val="000000"/>
          <w:bdr w:val="none" w:sz="0" w:space="0" w:color="auto" w:frame="1"/>
        </w:rPr>
        <w:t xml:space="preserve"> to the </w:t>
      </w:r>
      <w:r w:rsidR="009E2499" w:rsidRPr="00E56D62">
        <w:rPr>
          <w:rFonts w:eastAsia="Times New Roman" w:cs="Times New Roman"/>
          <w:color w:val="000000"/>
          <w:bdr w:val="none" w:sz="0" w:space="0" w:color="auto" w:frame="1"/>
        </w:rPr>
        <w:t>seacoast</w:t>
      </w:r>
      <w:r w:rsidR="00D37360" w:rsidRPr="00E56D62">
        <w:rPr>
          <w:rFonts w:eastAsia="Times New Roman" w:cs="Times New Roman"/>
          <w:color w:val="000000"/>
          <w:bdr w:val="none" w:sz="0" w:space="0" w:color="auto" w:frame="1"/>
        </w:rPr>
        <w:t xml:space="preserve"> </w:t>
      </w:r>
      <w:r w:rsidR="009E2499" w:rsidRPr="00E56D62">
        <w:rPr>
          <w:rFonts w:eastAsia="Times New Roman" w:cs="Times New Roman"/>
          <w:color w:val="000000"/>
          <w:bdr w:val="none" w:sz="0" w:space="0" w:color="auto" w:frame="1"/>
        </w:rPr>
        <w:t xml:space="preserve">to complete the quota. This process should be repeated as many times as needed in order to complete the quota. </w:t>
      </w:r>
    </w:p>
    <w:p w14:paraId="365F8D1B" w14:textId="77777777" w:rsidR="009E2499" w:rsidRPr="00E56D62" w:rsidRDefault="009E2499" w:rsidP="001F1464">
      <w:pPr>
        <w:shd w:val="clear" w:color="auto" w:fill="FFFFFF"/>
        <w:spacing w:after="0" w:line="240" w:lineRule="auto"/>
        <w:jc w:val="both"/>
        <w:rPr>
          <w:rFonts w:eastAsia="Times New Roman" w:cs="Times New Roman"/>
          <w:color w:val="000000"/>
          <w:bdr w:val="none" w:sz="0" w:space="0" w:color="auto" w:frame="1"/>
        </w:rPr>
      </w:pPr>
    </w:p>
    <w:p w14:paraId="2902964C" w14:textId="14570281" w:rsidR="00D37360" w:rsidRPr="00E56D62" w:rsidRDefault="009E2499" w:rsidP="001F1464">
      <w:pPr>
        <w:shd w:val="clear" w:color="auto" w:fill="FFFFFF"/>
        <w:spacing w:after="0" w:line="240" w:lineRule="auto"/>
        <w:jc w:val="both"/>
        <w:rPr>
          <w:rFonts w:eastAsia="Times New Roman" w:cs="Times New Roman"/>
          <w:color w:val="000000"/>
          <w:bdr w:val="none" w:sz="0" w:space="0" w:color="auto" w:frame="1"/>
        </w:rPr>
      </w:pPr>
      <w:r w:rsidRPr="00E56D62">
        <w:rPr>
          <w:rFonts w:eastAsia="Times New Roman" w:cs="Times New Roman"/>
          <w:color w:val="000000"/>
          <w:bdr w:val="none" w:sz="0" w:space="0" w:color="auto" w:frame="1"/>
        </w:rPr>
        <w:t xml:space="preserve">The field team was asked to record and report the </w:t>
      </w:r>
      <w:r w:rsidR="00D37360" w:rsidRPr="00E56D62">
        <w:rPr>
          <w:rFonts w:eastAsia="Times New Roman" w:cs="Times New Roman"/>
          <w:color w:val="000000"/>
          <w:bdr w:val="none" w:sz="0" w:space="0" w:color="auto" w:frame="1"/>
        </w:rPr>
        <w:t>process</w:t>
      </w:r>
      <w:r w:rsidRPr="00E56D62">
        <w:rPr>
          <w:rFonts w:eastAsia="Times New Roman" w:cs="Times New Roman"/>
          <w:color w:val="000000"/>
          <w:bdr w:val="none" w:sz="0" w:space="0" w:color="auto" w:frame="1"/>
        </w:rPr>
        <w:t xml:space="preserve"> </w:t>
      </w:r>
      <w:r w:rsidR="00D37360" w:rsidRPr="00E56D62">
        <w:rPr>
          <w:rFonts w:eastAsia="Times New Roman" w:cs="Times New Roman"/>
          <w:color w:val="000000"/>
          <w:bdr w:val="none" w:sz="0" w:space="0" w:color="auto" w:frame="1"/>
        </w:rPr>
        <w:t xml:space="preserve">in full detail as sample weights will need to be adjusted alongside any modifications made to the location of the sample. </w:t>
      </w:r>
    </w:p>
    <w:p w14:paraId="6907BB72" w14:textId="77777777" w:rsidR="009E2499" w:rsidRPr="00E56D62" w:rsidRDefault="009E2499" w:rsidP="001F1464">
      <w:pPr>
        <w:shd w:val="clear" w:color="auto" w:fill="FFFFFF"/>
        <w:spacing w:after="0" w:line="240" w:lineRule="auto"/>
        <w:jc w:val="both"/>
        <w:rPr>
          <w:rFonts w:eastAsia="Times New Roman" w:cs="Times New Roman"/>
          <w:color w:val="000000"/>
        </w:rPr>
      </w:pPr>
    </w:p>
    <w:p w14:paraId="7DE3B108" w14:textId="77777777" w:rsidR="009E2499" w:rsidRPr="00E56D62" w:rsidRDefault="00D37360" w:rsidP="00D37360">
      <w:pPr>
        <w:shd w:val="clear" w:color="auto" w:fill="FFFFFF"/>
        <w:spacing w:after="0" w:line="240" w:lineRule="auto"/>
        <w:jc w:val="both"/>
        <w:rPr>
          <w:rFonts w:eastAsia="Times New Roman" w:cs="Times New Roman"/>
          <w:color w:val="000000"/>
        </w:rPr>
      </w:pPr>
      <w:r w:rsidRPr="00E56D62">
        <w:rPr>
          <w:rFonts w:eastAsia="Times New Roman" w:cs="Times New Roman"/>
          <w:color w:val="000000"/>
        </w:rPr>
        <w:t>If the original barangay is located on the seacoast and there are not enough fishing households to complete the quota, the barangays on the coastline considered as “closest neighbors” should be used to complete the quota. For example, if barangays are located on a seacoast that stretches from east to west, the first substitute barangay should be the one immediately to the right. If there are not enough fishing household to complete the quota, then the barangay immediately to the left of the original should be included in the sample. If the quota is still incomplete, then the barangay immediately to the right of the right should be included in the sample and so on.</w:t>
      </w:r>
    </w:p>
    <w:p w14:paraId="1915D92B" w14:textId="77777777" w:rsidR="00BD1E4B" w:rsidRDefault="00D37360" w:rsidP="00D37360">
      <w:pPr>
        <w:shd w:val="clear" w:color="auto" w:fill="FFFFFF"/>
        <w:spacing w:after="0" w:line="240" w:lineRule="auto"/>
        <w:jc w:val="both"/>
        <w:rPr>
          <w:rFonts w:eastAsia="Times New Roman" w:cs="Times New Roman"/>
          <w:color w:val="201F1E"/>
        </w:rPr>
      </w:pPr>
      <w:r w:rsidRPr="00E56D62">
        <w:rPr>
          <w:rFonts w:eastAsia="Times New Roman" w:cs="Times New Roman"/>
          <w:color w:val="000000"/>
          <w:bdr w:val="none" w:sz="0" w:space="0" w:color="auto" w:frame="1"/>
        </w:rPr>
        <w:t> </w:t>
      </w:r>
    </w:p>
    <w:p w14:paraId="7DB02955" w14:textId="45F6688E" w:rsidR="00D37360" w:rsidRPr="00BD1E4B" w:rsidRDefault="00D37360" w:rsidP="00D37360">
      <w:pPr>
        <w:shd w:val="clear" w:color="auto" w:fill="FFFFFF"/>
        <w:spacing w:after="0" w:line="240" w:lineRule="auto"/>
        <w:jc w:val="both"/>
        <w:rPr>
          <w:rFonts w:eastAsia="Times New Roman" w:cs="Times New Roman"/>
          <w:color w:val="201F1E"/>
        </w:rPr>
      </w:pPr>
      <w:r w:rsidRPr="00E56D62">
        <w:rPr>
          <w:rFonts w:eastAsia="Times New Roman" w:cs="Times New Roman"/>
          <w:color w:val="000000"/>
          <w:u w:val="single"/>
          <w:bdr w:val="none" w:sz="0" w:space="0" w:color="auto" w:frame="1"/>
        </w:rPr>
        <w:t>For barangays with insurgents groups' presence</w:t>
      </w:r>
    </w:p>
    <w:p w14:paraId="3735022A" w14:textId="25221945" w:rsidR="009E2499" w:rsidRPr="00E56D62" w:rsidRDefault="009E2499" w:rsidP="009E2499">
      <w:pPr>
        <w:shd w:val="clear" w:color="auto" w:fill="FFFFFF"/>
        <w:spacing w:after="0" w:line="240" w:lineRule="auto"/>
        <w:jc w:val="both"/>
        <w:rPr>
          <w:rFonts w:eastAsia="Times New Roman" w:cs="Times New Roman"/>
          <w:color w:val="000000"/>
          <w:bdr w:val="none" w:sz="0" w:space="0" w:color="auto" w:frame="1"/>
        </w:rPr>
      </w:pPr>
      <w:r w:rsidRPr="00E56D62">
        <w:rPr>
          <w:rFonts w:eastAsia="Times New Roman" w:cs="Times New Roman"/>
          <w:color w:val="000000"/>
          <w:bdr w:val="none" w:sz="0" w:space="0" w:color="auto" w:frame="1"/>
        </w:rPr>
        <w:t xml:space="preserve">The quota for these barangays is of 30 fishing households. If a barangay with less than 30 fishing households is identified, all the fishing households should be surveyed. </w:t>
      </w:r>
      <w:r w:rsidRPr="00E56D62">
        <w:rPr>
          <w:rFonts w:eastAsia="Times New Roman" w:cs="Times New Roman"/>
          <w:color w:val="000000"/>
          <w:bdr w:val="none" w:sz="0" w:space="0" w:color="auto" w:frame="1"/>
          <w:shd w:val="clear" w:color="auto" w:fill="FFFFFF"/>
        </w:rPr>
        <w:t xml:space="preserve">To complete the quota, the field team should go to the closest barangay in direction to the seacoast, even if this barangay does not have armed group presence, count the fishing households and survey the households needed to complete the required 20 households. If </w:t>
      </w:r>
      <w:r w:rsidRPr="00E56D62">
        <w:rPr>
          <w:rFonts w:eastAsia="Times New Roman" w:cs="Times New Roman"/>
          <w:color w:val="000000"/>
          <w:bdr w:val="none" w:sz="0" w:space="0" w:color="auto" w:frame="1"/>
        </w:rPr>
        <w:t xml:space="preserve">the quota is not completed there either, the field team should select the next closest barangay in direction to the seacoast to complete the quota. This process should be repeated as many times as needed in order to complete the quota. </w:t>
      </w:r>
    </w:p>
    <w:p w14:paraId="07A0C6AD" w14:textId="77777777" w:rsidR="009E2499" w:rsidRPr="00E56D62" w:rsidRDefault="009E2499" w:rsidP="009E2499">
      <w:pPr>
        <w:shd w:val="clear" w:color="auto" w:fill="FFFFFF"/>
        <w:spacing w:after="0" w:line="240" w:lineRule="auto"/>
        <w:jc w:val="both"/>
        <w:rPr>
          <w:rFonts w:eastAsia="Times New Roman" w:cs="Times New Roman"/>
          <w:color w:val="000000"/>
          <w:bdr w:val="none" w:sz="0" w:space="0" w:color="auto" w:frame="1"/>
        </w:rPr>
      </w:pPr>
    </w:p>
    <w:p w14:paraId="3DF27DEA" w14:textId="77777777" w:rsidR="009E2499" w:rsidRPr="00E56D62" w:rsidRDefault="009E2499" w:rsidP="009E2499">
      <w:pPr>
        <w:shd w:val="clear" w:color="auto" w:fill="FFFFFF"/>
        <w:spacing w:after="0" w:line="240" w:lineRule="auto"/>
        <w:jc w:val="both"/>
        <w:rPr>
          <w:rFonts w:eastAsia="Times New Roman" w:cs="Times New Roman"/>
          <w:color w:val="000000"/>
          <w:bdr w:val="none" w:sz="0" w:space="0" w:color="auto" w:frame="1"/>
        </w:rPr>
      </w:pPr>
      <w:r w:rsidRPr="00E56D62">
        <w:rPr>
          <w:rFonts w:eastAsia="Times New Roman" w:cs="Times New Roman"/>
          <w:color w:val="000000"/>
          <w:bdr w:val="none" w:sz="0" w:space="0" w:color="auto" w:frame="1"/>
        </w:rPr>
        <w:t xml:space="preserve">The field team was asked to record and report the process in full detail as sample weights will need to be adjusted alongside any modifications made to the location of the sample. </w:t>
      </w:r>
    </w:p>
    <w:p w14:paraId="1AD55426" w14:textId="77777777" w:rsidR="009E2499" w:rsidRPr="00E56D62" w:rsidRDefault="009E2499" w:rsidP="009E2499">
      <w:pPr>
        <w:shd w:val="clear" w:color="auto" w:fill="FFFFFF"/>
        <w:spacing w:after="0" w:line="240" w:lineRule="auto"/>
        <w:jc w:val="both"/>
        <w:rPr>
          <w:rFonts w:eastAsia="Times New Roman" w:cs="Times New Roman"/>
          <w:color w:val="000000"/>
        </w:rPr>
      </w:pPr>
    </w:p>
    <w:p w14:paraId="0509FCFE" w14:textId="77777777" w:rsidR="009E2499" w:rsidRPr="00E56D62" w:rsidRDefault="009E2499" w:rsidP="009E2499">
      <w:pPr>
        <w:shd w:val="clear" w:color="auto" w:fill="FFFFFF"/>
        <w:spacing w:after="0" w:line="240" w:lineRule="auto"/>
        <w:jc w:val="both"/>
        <w:rPr>
          <w:rFonts w:eastAsia="Times New Roman" w:cs="Times New Roman"/>
          <w:color w:val="000000"/>
        </w:rPr>
      </w:pPr>
      <w:r w:rsidRPr="00E56D62">
        <w:rPr>
          <w:rFonts w:eastAsia="Times New Roman" w:cs="Times New Roman"/>
          <w:color w:val="000000"/>
        </w:rPr>
        <w:t>If the original barangay is located on the seacoast and there are not enough fishing households to complete the quota, the barangays on the coastline considered as “closest neighbors” should be used to complete the quota. For example, if barangays are located on a seacoast that stretches from east to west, the first substitute barangay should be the one immediately to the right. If there are not enough fishing household to complete the quota, then the barangay immediately to the left of the original should be included in the sample. If the quota is still incomplete, then the barangay immediately to the right of the right should be included in the sample and so on.</w:t>
      </w:r>
    </w:p>
    <w:p w14:paraId="64241D03" w14:textId="77777777" w:rsidR="00D37360" w:rsidRPr="00E56D62" w:rsidRDefault="00D37360"/>
    <w:p w14:paraId="65489018" w14:textId="2BCCDE48" w:rsidR="00D37360" w:rsidRPr="00E56D62" w:rsidRDefault="00D37360"/>
    <w:p w14:paraId="6D7849C5" w14:textId="7CC134DA" w:rsidR="00D37360" w:rsidRPr="00E56D62" w:rsidRDefault="00D37360"/>
    <w:sectPr w:rsidR="00D37360" w:rsidRPr="00E56D6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01AEF" w16cid:durableId="21E7DF31"/>
  <w16cid:commentId w16cid:paraId="3BB36066" w16cid:durableId="21E7DF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8AB"/>
    <w:multiLevelType w:val="multilevel"/>
    <w:tmpl w:val="0544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AC6594"/>
    <w:multiLevelType w:val="multilevel"/>
    <w:tmpl w:val="57EA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20562D"/>
    <w:multiLevelType w:val="multilevel"/>
    <w:tmpl w:val="8C3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60"/>
    <w:rsid w:val="00004355"/>
    <w:rsid w:val="000B44EF"/>
    <w:rsid w:val="001F1464"/>
    <w:rsid w:val="002022E9"/>
    <w:rsid w:val="00445372"/>
    <w:rsid w:val="004F7F59"/>
    <w:rsid w:val="006F309E"/>
    <w:rsid w:val="007D1C2D"/>
    <w:rsid w:val="00897073"/>
    <w:rsid w:val="009620BE"/>
    <w:rsid w:val="0096267E"/>
    <w:rsid w:val="009E2499"/>
    <w:rsid w:val="00AE3AF3"/>
    <w:rsid w:val="00BD1E4B"/>
    <w:rsid w:val="00C07C81"/>
    <w:rsid w:val="00D37360"/>
    <w:rsid w:val="00E56D62"/>
    <w:rsid w:val="00F5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DFD2"/>
  <w15:chartTrackingRefBased/>
  <w15:docId w15:val="{D07A08DC-9028-42DB-8A69-7F52AD57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60"/>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7360"/>
    <w:pPr>
      <w:spacing w:before="100" w:beforeAutospacing="1" w:after="100" w:afterAutospacing="1" w:line="240" w:lineRule="auto"/>
    </w:pPr>
    <w:rPr>
      <w:rFonts w:eastAsia="Times New Roman" w:cs="Times New Roman"/>
      <w:sz w:val="24"/>
      <w:szCs w:val="24"/>
    </w:rPr>
  </w:style>
  <w:style w:type="table" w:styleId="Tablaconcuadrcula">
    <w:name w:val="Table Grid"/>
    <w:basedOn w:val="Tablanormal"/>
    <w:uiPriority w:val="39"/>
    <w:rsid w:val="00962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022E9"/>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F525E9"/>
    <w:rPr>
      <w:sz w:val="16"/>
      <w:szCs w:val="16"/>
    </w:rPr>
  </w:style>
  <w:style w:type="paragraph" w:styleId="Textocomentario">
    <w:name w:val="annotation text"/>
    <w:basedOn w:val="Normal"/>
    <w:link w:val="TextocomentarioCar"/>
    <w:uiPriority w:val="99"/>
    <w:semiHidden/>
    <w:unhideWhenUsed/>
    <w:rsid w:val="00F525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25E9"/>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F525E9"/>
    <w:rPr>
      <w:b/>
      <w:bCs/>
    </w:rPr>
  </w:style>
  <w:style w:type="character" w:customStyle="1" w:styleId="AsuntodelcomentarioCar">
    <w:name w:val="Asunto del comentario Car"/>
    <w:basedOn w:val="TextocomentarioCar"/>
    <w:link w:val="Asuntodelcomentario"/>
    <w:uiPriority w:val="99"/>
    <w:semiHidden/>
    <w:rsid w:val="00F525E9"/>
    <w:rPr>
      <w:rFonts w:ascii="Times New Roman" w:hAnsi="Times New Roman"/>
      <w:b/>
      <w:bCs/>
      <w:sz w:val="20"/>
      <w:szCs w:val="20"/>
    </w:rPr>
  </w:style>
  <w:style w:type="paragraph" w:styleId="Textodeglobo">
    <w:name w:val="Balloon Text"/>
    <w:basedOn w:val="Normal"/>
    <w:link w:val="TextodegloboCar"/>
    <w:uiPriority w:val="99"/>
    <w:semiHidden/>
    <w:unhideWhenUsed/>
    <w:rsid w:val="00F525E9"/>
    <w:pPr>
      <w:spacing w:after="0"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F525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02488">
      <w:bodyDiv w:val="1"/>
      <w:marLeft w:val="0"/>
      <w:marRight w:val="0"/>
      <w:marTop w:val="0"/>
      <w:marBottom w:val="0"/>
      <w:divBdr>
        <w:top w:val="none" w:sz="0" w:space="0" w:color="auto"/>
        <w:left w:val="none" w:sz="0" w:space="0" w:color="auto"/>
        <w:bottom w:val="none" w:sz="0" w:space="0" w:color="auto"/>
        <w:right w:val="none" w:sz="0" w:space="0" w:color="auto"/>
      </w:divBdr>
    </w:div>
    <w:div w:id="10087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3E8E-058F-423A-8B07-05163B86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812</Words>
  <Characters>4466</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Adelaida Ortega</dc:creator>
  <cp:keywords/>
  <dc:description/>
  <cp:lastModifiedBy>Sofia Castro Vargas</cp:lastModifiedBy>
  <cp:revision>4</cp:revision>
  <dcterms:created xsi:type="dcterms:W3CDTF">2020-02-04T23:31:00Z</dcterms:created>
  <dcterms:modified xsi:type="dcterms:W3CDTF">2020-02-07T22:41:00Z</dcterms:modified>
</cp:coreProperties>
</file>