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6E5EE" w14:textId="77777777" w:rsidR="0038539C" w:rsidRDefault="00B95418">
      <w:pPr>
        <w:rPr>
          <w:b/>
        </w:rPr>
      </w:pPr>
      <w:r>
        <w:rPr>
          <w:b/>
        </w:rPr>
        <w:t>Frequently Asked Questions</w:t>
      </w:r>
    </w:p>
    <w:p w14:paraId="24D7FCD7" w14:textId="77777777" w:rsidR="00F40CC6" w:rsidRDefault="00F40CC6">
      <w:pPr>
        <w:rPr>
          <w:b/>
        </w:rPr>
      </w:pPr>
    </w:p>
    <w:p w14:paraId="0D0B903C" w14:textId="77777777" w:rsidR="00F40CC6" w:rsidRDefault="00F40CC6">
      <w:pPr>
        <w:rPr>
          <w:b/>
        </w:rPr>
      </w:pPr>
    </w:p>
    <w:p w14:paraId="1F27E2D0" w14:textId="6C5F79CE" w:rsidR="00BA2BDE" w:rsidRPr="00C64613" w:rsidRDefault="003565C6">
      <w:pPr>
        <w:rPr>
          <w:b/>
        </w:rPr>
      </w:pPr>
      <w:r w:rsidRPr="00C64613">
        <w:rPr>
          <w:b/>
        </w:rPr>
        <w:t xml:space="preserve">Why </w:t>
      </w:r>
      <w:r w:rsidR="00345EA6">
        <w:rPr>
          <w:b/>
        </w:rPr>
        <w:t xml:space="preserve">a </w:t>
      </w:r>
      <w:r w:rsidRPr="00C64613">
        <w:rPr>
          <w:b/>
        </w:rPr>
        <w:t>social assistance</w:t>
      </w:r>
      <w:r w:rsidR="00345EA6">
        <w:rPr>
          <w:b/>
        </w:rPr>
        <w:t xml:space="preserve"> dataset</w:t>
      </w:r>
      <w:r w:rsidRPr="00C64613">
        <w:rPr>
          <w:b/>
        </w:rPr>
        <w:t>?</w:t>
      </w:r>
    </w:p>
    <w:p w14:paraId="583517C2" w14:textId="77777777" w:rsidR="003565C6" w:rsidRDefault="003565C6"/>
    <w:p w14:paraId="07DD5149" w14:textId="24481430" w:rsidR="003565C6" w:rsidRDefault="003565C6">
      <w:r>
        <w:t>Social assistance</w:t>
      </w:r>
      <w:r w:rsidR="0038539C">
        <w:t xml:space="preserve"> consists of </w:t>
      </w:r>
      <w:r>
        <w:t>budget-financed and r</w:t>
      </w:r>
      <w:r w:rsidR="0038539C">
        <w:t xml:space="preserve">ules-based programmes </w:t>
      </w:r>
      <w:r>
        <w:t>support</w:t>
      </w:r>
      <w:r w:rsidR="0038539C">
        <w:t>ing</w:t>
      </w:r>
      <w:r>
        <w:t xml:space="preserve"> individuals and households vulnerable to poverty with the aim of facilitating their exit from poverty. </w:t>
      </w:r>
    </w:p>
    <w:p w14:paraId="33D70F09" w14:textId="77777777" w:rsidR="00345EA6" w:rsidRDefault="00345EA6"/>
    <w:p w14:paraId="5C688EE1" w14:textId="380D13FE" w:rsidR="00345EA6" w:rsidRDefault="00345EA6">
      <w:r>
        <w:t xml:space="preserve">Social assistance provision has expanded in low and middle income countries in the 21st century. </w:t>
      </w:r>
    </w:p>
    <w:p w14:paraId="50840EE6" w14:textId="77777777" w:rsidR="003565C6" w:rsidRDefault="003565C6"/>
    <w:p w14:paraId="753C5BED" w14:textId="68C4C87E" w:rsidR="003565C6" w:rsidRDefault="003565C6">
      <w:r>
        <w:t>The dataset collects information on the design, reach, implementation, institutions and budgets of social assistance programmes in all low and middle income countries</w:t>
      </w:r>
      <w:r w:rsidR="0038539C">
        <w:t>,</w:t>
      </w:r>
      <w:r>
        <w:t xml:space="preserve"> annually between 2000 and 2015.</w:t>
      </w:r>
    </w:p>
    <w:p w14:paraId="279F9327" w14:textId="77777777" w:rsidR="003565C6" w:rsidRDefault="003565C6"/>
    <w:p w14:paraId="2FDD02FB" w14:textId="5DC2E57C" w:rsidR="00F045AD" w:rsidRDefault="003565C6">
      <w:r>
        <w:t xml:space="preserve">In practice, the data collection focused on the transfer components of social assistance. </w:t>
      </w:r>
      <w:r w:rsidR="0038539C">
        <w:t>S</w:t>
      </w:r>
      <w:r w:rsidR="00F045AD">
        <w:t xml:space="preserve">ocial assistance </w:t>
      </w:r>
      <w:r>
        <w:t xml:space="preserve">programmes include service provision </w:t>
      </w:r>
      <w:r w:rsidR="00F045AD">
        <w:t xml:space="preserve">components but </w:t>
      </w:r>
      <w:r>
        <w:t>information on</w:t>
      </w:r>
      <w:r w:rsidR="00F045AD">
        <w:t xml:space="preserve"> services is scarce and hard to measure </w:t>
      </w:r>
      <w:r w:rsidR="0038539C">
        <w:t>consistently</w:t>
      </w:r>
      <w:r w:rsidR="00F045AD">
        <w:t xml:space="preserve"> across countries.</w:t>
      </w:r>
    </w:p>
    <w:p w14:paraId="4CC8196B" w14:textId="77777777" w:rsidR="00F045AD" w:rsidRDefault="00F045AD"/>
    <w:p w14:paraId="33840D97" w14:textId="370DB2A3" w:rsidR="00F045AD" w:rsidRPr="00C64613" w:rsidRDefault="0038539C">
      <w:pPr>
        <w:rPr>
          <w:b/>
        </w:rPr>
      </w:pPr>
      <w:r>
        <w:rPr>
          <w:b/>
        </w:rPr>
        <w:t>I</w:t>
      </w:r>
      <w:r w:rsidR="003B0889">
        <w:rPr>
          <w:b/>
        </w:rPr>
        <w:t xml:space="preserve">s </w:t>
      </w:r>
      <w:r w:rsidR="00F045AD" w:rsidRPr="00C64613">
        <w:rPr>
          <w:b/>
        </w:rPr>
        <w:t xml:space="preserve">social assistance </w:t>
      </w:r>
      <w:r w:rsidR="003B0889">
        <w:rPr>
          <w:b/>
        </w:rPr>
        <w:t xml:space="preserve">different from </w:t>
      </w:r>
      <w:r w:rsidR="00F045AD" w:rsidRPr="00C64613">
        <w:rPr>
          <w:b/>
        </w:rPr>
        <w:t>safety nets?</w:t>
      </w:r>
    </w:p>
    <w:p w14:paraId="6C0A2D06" w14:textId="77777777" w:rsidR="00F045AD" w:rsidRDefault="00F045AD"/>
    <w:p w14:paraId="5D6E30D8" w14:textId="77777777" w:rsidR="00EE1E77" w:rsidRDefault="00F045AD">
      <w:r>
        <w:t xml:space="preserve">Bretton Woods institutions focus on safety nets. In recent publications - e.g. the </w:t>
      </w:r>
      <w:r w:rsidR="003B0889">
        <w:t xml:space="preserve">World Bank's </w:t>
      </w:r>
      <w:r>
        <w:t xml:space="preserve">State of Safety Nets annual publications - </w:t>
      </w:r>
      <w:r w:rsidR="003B0889">
        <w:t xml:space="preserve">the terms </w:t>
      </w:r>
      <w:r>
        <w:t xml:space="preserve">safety nets and social assistance are used interchangeably. </w:t>
      </w:r>
      <w:r w:rsidR="003B0889">
        <w:t xml:space="preserve">But they are distinct. </w:t>
      </w:r>
      <w:r>
        <w:t xml:space="preserve">Safety nets combine social assistance </w:t>
      </w:r>
      <w:r w:rsidR="003B0889">
        <w:t>and</w:t>
      </w:r>
      <w:r>
        <w:t xml:space="preserve"> emergency or humanitarian assistance. </w:t>
      </w:r>
      <w:r w:rsidR="00EE1E77">
        <w:t xml:space="preserve">Emergency or humanitarian assistance provides support to groups affected by hazards. </w:t>
      </w:r>
    </w:p>
    <w:p w14:paraId="6754BD6F" w14:textId="77777777" w:rsidR="00EE1E77" w:rsidRDefault="00EE1E77"/>
    <w:p w14:paraId="38F44BE7" w14:textId="523D1A0E" w:rsidR="00F045AD" w:rsidRDefault="00EE1E77">
      <w:r>
        <w:t xml:space="preserve">In low and lower middle income countries, emergency and humanitarian assistance is an important </w:t>
      </w:r>
      <w:r w:rsidR="0038539C">
        <w:t>component</w:t>
      </w:r>
      <w:r>
        <w:t xml:space="preserve"> of development assistance and the work of international organisations. </w:t>
      </w:r>
    </w:p>
    <w:p w14:paraId="0F10AB12" w14:textId="77777777" w:rsidR="00EE1E77" w:rsidRDefault="00EE1E77"/>
    <w:p w14:paraId="0D7F9654" w14:textId="0D1D7EC7" w:rsidR="00EE1E77" w:rsidRDefault="00EE1E77">
      <w:r>
        <w:t>From an analytical perspective, social assistance is distinct from emergency or humanitarian assistance. Emergency or humanitarian assistance figures in all forms of social organisation</w:t>
      </w:r>
      <w:r w:rsidR="0038539C">
        <w:t xml:space="preserve"> as a response to misfortune</w:t>
      </w:r>
      <w:r>
        <w:t>. Social assistance, on the other hand addresses poverty, vulnerability</w:t>
      </w:r>
      <w:r w:rsidR="00C64613">
        <w:t>,</w:t>
      </w:r>
      <w:r>
        <w:t xml:space="preserve"> and</w:t>
      </w:r>
      <w:r w:rsidR="00C64613">
        <w:t xml:space="preserve"> disadvantage as outcomes of</w:t>
      </w:r>
      <w:r>
        <w:t xml:space="preserve"> economic </w:t>
      </w:r>
      <w:r w:rsidR="00C64613">
        <w:t>structures</w:t>
      </w:r>
      <w:r>
        <w:t xml:space="preserve">.  </w:t>
      </w:r>
    </w:p>
    <w:p w14:paraId="72B6BE3F" w14:textId="77777777" w:rsidR="00F045AD" w:rsidRDefault="00F045AD"/>
    <w:p w14:paraId="67AD7DC1" w14:textId="77777777" w:rsidR="00C64613" w:rsidRDefault="00C64613">
      <w:r>
        <w:t xml:space="preserve">The following table summarises </w:t>
      </w:r>
      <w:r w:rsidR="003B0889">
        <w:t xml:space="preserve">institutional </w:t>
      </w:r>
      <w:r>
        <w:t>features of social assistance vis-a-vis humanitarian and emergency assistance.</w:t>
      </w:r>
      <w:r w:rsidR="00F045AD">
        <w:t xml:space="preserve"> </w:t>
      </w:r>
      <w:r w:rsidR="003565C6">
        <w:t xml:space="preserve"> </w:t>
      </w:r>
    </w:p>
    <w:p w14:paraId="05BE5385" w14:textId="77777777" w:rsidR="00C64613" w:rsidRDefault="00C64613"/>
    <w:p w14:paraId="7196D933" w14:textId="77777777" w:rsidR="00C64613" w:rsidRDefault="00C64613" w:rsidP="00C64613">
      <w:pPr>
        <w:spacing w:after="120"/>
        <w:rPr>
          <w:rFonts w:ascii="Palatino Linotype" w:hAnsi="Palatino Linotype"/>
          <w:sz w:val="36"/>
          <w:szCs w:val="36"/>
        </w:rPr>
      </w:pPr>
    </w:p>
    <w:tbl>
      <w:tblPr>
        <w:tblStyle w:val="TableGrid"/>
        <w:tblW w:w="0" w:type="auto"/>
        <w:tblLook w:val="04A0" w:firstRow="1" w:lastRow="0" w:firstColumn="1" w:lastColumn="0" w:noHBand="0" w:noVBand="1"/>
      </w:tblPr>
      <w:tblGrid>
        <w:gridCol w:w="4250"/>
        <w:gridCol w:w="4606"/>
      </w:tblGrid>
      <w:tr w:rsidR="00C64613" w:rsidRPr="00F41864" w14:paraId="309A3BD8" w14:textId="77777777" w:rsidTr="00F40CC6">
        <w:tc>
          <w:tcPr>
            <w:tcW w:w="7397" w:type="dxa"/>
          </w:tcPr>
          <w:p w14:paraId="43176919" w14:textId="77777777" w:rsidR="00C64613" w:rsidRPr="00C64613" w:rsidRDefault="00C64613" w:rsidP="00F40CC6">
            <w:pPr>
              <w:jc w:val="center"/>
              <w:rPr>
                <w:rFonts w:eastAsia="Times New Roman" w:cs="Arial"/>
                <w:b/>
                <w:color w:val="222222"/>
                <w:sz w:val="20"/>
                <w:szCs w:val="20"/>
              </w:rPr>
            </w:pPr>
            <w:r w:rsidRPr="00C64613">
              <w:rPr>
                <w:rFonts w:eastAsia="Times New Roman" w:cs="Arial"/>
                <w:b/>
                <w:color w:val="222222"/>
                <w:sz w:val="20"/>
                <w:szCs w:val="20"/>
              </w:rPr>
              <w:t>Emergency assistance</w:t>
            </w:r>
          </w:p>
        </w:tc>
        <w:tc>
          <w:tcPr>
            <w:tcW w:w="7621" w:type="dxa"/>
          </w:tcPr>
          <w:p w14:paraId="7427A963" w14:textId="77777777" w:rsidR="00C64613" w:rsidRPr="00C64613" w:rsidRDefault="00C64613" w:rsidP="00F40CC6">
            <w:pPr>
              <w:jc w:val="center"/>
              <w:rPr>
                <w:rFonts w:eastAsia="Times New Roman" w:cs="Arial"/>
                <w:b/>
                <w:color w:val="222222"/>
                <w:sz w:val="20"/>
                <w:szCs w:val="20"/>
              </w:rPr>
            </w:pPr>
            <w:r w:rsidRPr="00C64613">
              <w:rPr>
                <w:rFonts w:eastAsia="Times New Roman" w:cs="Arial"/>
                <w:b/>
                <w:color w:val="222222"/>
                <w:sz w:val="20"/>
                <w:szCs w:val="20"/>
              </w:rPr>
              <w:t>Social assistance</w:t>
            </w:r>
          </w:p>
        </w:tc>
      </w:tr>
      <w:tr w:rsidR="00C64613" w:rsidRPr="00C64613" w14:paraId="2D89CD44" w14:textId="77777777" w:rsidTr="00F40CC6">
        <w:tc>
          <w:tcPr>
            <w:tcW w:w="7397" w:type="dxa"/>
          </w:tcPr>
          <w:p w14:paraId="27F69121"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addresses misfortune</w:t>
            </w:r>
          </w:p>
        </w:tc>
        <w:tc>
          <w:tcPr>
            <w:tcW w:w="7621" w:type="dxa"/>
          </w:tcPr>
          <w:p w14:paraId="392A79A7"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addresses poverty and vulnerability (generated by economic system)</w:t>
            </w:r>
          </w:p>
        </w:tc>
      </w:tr>
      <w:tr w:rsidR="00C64613" w:rsidRPr="00C64613" w14:paraId="100780D7" w14:textId="77777777" w:rsidTr="00F40CC6">
        <w:tc>
          <w:tcPr>
            <w:tcW w:w="7397" w:type="dxa"/>
          </w:tcPr>
          <w:p w14:paraId="1A947C20"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lastRenderedPageBreak/>
              <w:t>short term</w:t>
            </w:r>
          </w:p>
        </w:tc>
        <w:tc>
          <w:tcPr>
            <w:tcW w:w="7621" w:type="dxa"/>
          </w:tcPr>
          <w:p w14:paraId="4D6AA9F8"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 xml:space="preserve">regular and reliable transfers </w:t>
            </w:r>
          </w:p>
        </w:tc>
      </w:tr>
      <w:tr w:rsidR="00C64613" w:rsidRPr="00C64613" w14:paraId="3D61F0F3" w14:textId="77777777" w:rsidTr="00F40CC6">
        <w:tc>
          <w:tcPr>
            <w:tcW w:w="7397" w:type="dxa"/>
          </w:tcPr>
          <w:p w14:paraId="0AE6613F"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targets people affected by hazards</w:t>
            </w:r>
            <w:r w:rsidR="003B0889">
              <w:rPr>
                <w:rFonts w:eastAsia="Times New Roman" w:cs="Arial"/>
                <w:color w:val="222222"/>
                <w:sz w:val="20"/>
                <w:szCs w:val="20"/>
              </w:rPr>
              <w:t>, it</w:t>
            </w:r>
            <w:r w:rsidRPr="00C64613">
              <w:rPr>
                <w:rFonts w:eastAsia="Times New Roman" w:cs="Arial"/>
                <w:color w:val="222222"/>
                <w:sz w:val="20"/>
                <w:szCs w:val="20"/>
              </w:rPr>
              <w:t xml:space="preserve"> does not select by socio-economic status</w:t>
            </w:r>
          </w:p>
        </w:tc>
        <w:tc>
          <w:tcPr>
            <w:tcW w:w="7621" w:type="dxa"/>
          </w:tcPr>
          <w:p w14:paraId="432D56A6"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targets citizens with incomes below a minimum income threshold</w:t>
            </w:r>
          </w:p>
        </w:tc>
      </w:tr>
      <w:tr w:rsidR="00C64613" w:rsidRPr="00C64613" w14:paraId="18D4E8EF" w14:textId="77777777" w:rsidTr="00F40CC6">
        <w:tc>
          <w:tcPr>
            <w:tcW w:w="7397" w:type="dxa"/>
          </w:tcPr>
          <w:p w14:paraId="71658187"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financed by budget reserves or international assistance</w:t>
            </w:r>
          </w:p>
        </w:tc>
        <w:tc>
          <w:tcPr>
            <w:tcW w:w="7621" w:type="dxa"/>
          </w:tcPr>
          <w:p w14:paraId="5E26FD6B"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budget/tax financed</w:t>
            </w:r>
          </w:p>
        </w:tc>
      </w:tr>
      <w:tr w:rsidR="00C64613" w:rsidRPr="00C64613" w14:paraId="06BF953D" w14:textId="77777777" w:rsidTr="00F40CC6">
        <w:tc>
          <w:tcPr>
            <w:tcW w:w="7397" w:type="dxa"/>
          </w:tcPr>
          <w:p w14:paraId="3AF8E45A"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Samaritan principle - help those affected by disasters/hazards</w:t>
            </w:r>
          </w:p>
        </w:tc>
        <w:tc>
          <w:tcPr>
            <w:tcW w:w="7621" w:type="dxa"/>
          </w:tcPr>
          <w:p w14:paraId="795D2E21"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Citizenship principle - commitment to ensuring minimum living standards</w:t>
            </w:r>
          </w:p>
        </w:tc>
      </w:tr>
      <w:tr w:rsidR="00C64613" w:rsidRPr="00C64613" w14:paraId="39D65D30" w14:textId="77777777" w:rsidTr="00F40CC6">
        <w:tc>
          <w:tcPr>
            <w:tcW w:w="7397" w:type="dxa"/>
          </w:tcPr>
          <w:p w14:paraId="7ECCF257"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no link to domestic politics</w:t>
            </w:r>
          </w:p>
        </w:tc>
        <w:tc>
          <w:tcPr>
            <w:tcW w:w="7621" w:type="dxa"/>
          </w:tcPr>
          <w:p w14:paraId="1779E1C1"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requires domestic political support</w:t>
            </w:r>
          </w:p>
        </w:tc>
      </w:tr>
      <w:tr w:rsidR="00C64613" w:rsidRPr="00C64613" w14:paraId="6E8A843E" w14:textId="77777777" w:rsidTr="00F40CC6">
        <w:tc>
          <w:tcPr>
            <w:tcW w:w="7397" w:type="dxa"/>
          </w:tcPr>
          <w:p w14:paraId="6FC1DD7D"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transfers are discretionary</w:t>
            </w:r>
          </w:p>
        </w:tc>
        <w:tc>
          <w:tcPr>
            <w:tcW w:w="7621" w:type="dxa"/>
          </w:tcPr>
          <w:p w14:paraId="7B5B098E"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transfers are entitlements; they are rules-based</w:t>
            </w:r>
          </w:p>
        </w:tc>
      </w:tr>
      <w:tr w:rsidR="00C64613" w:rsidRPr="00C64613" w14:paraId="35AB5E31" w14:textId="77777777" w:rsidTr="00F40CC6">
        <w:tc>
          <w:tcPr>
            <w:tcW w:w="7397" w:type="dxa"/>
          </w:tcPr>
          <w:p w14:paraId="530041DF" w14:textId="77777777" w:rsidR="00C64613" w:rsidRPr="00C64613" w:rsidRDefault="003B0889" w:rsidP="00F40CC6">
            <w:pPr>
              <w:jc w:val="center"/>
              <w:rPr>
                <w:rFonts w:eastAsia="Times New Roman" w:cs="Arial"/>
                <w:color w:val="222222"/>
                <w:sz w:val="20"/>
                <w:szCs w:val="20"/>
              </w:rPr>
            </w:pPr>
            <w:r>
              <w:rPr>
                <w:rFonts w:eastAsia="Times New Roman" w:cs="Arial"/>
                <w:color w:val="222222"/>
                <w:sz w:val="20"/>
                <w:szCs w:val="20"/>
              </w:rPr>
              <w:t>Provided by NGOs; charities; UN</w:t>
            </w:r>
            <w:r w:rsidR="00C64613" w:rsidRPr="00C64613">
              <w:rPr>
                <w:rFonts w:eastAsia="Times New Roman" w:cs="Arial"/>
                <w:color w:val="222222"/>
                <w:sz w:val="20"/>
                <w:szCs w:val="20"/>
              </w:rPr>
              <w:t xml:space="preserve"> agencies</w:t>
            </w:r>
          </w:p>
        </w:tc>
        <w:tc>
          <w:tcPr>
            <w:tcW w:w="7621" w:type="dxa"/>
          </w:tcPr>
          <w:p w14:paraId="4BEBF1E3"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Ministries of Social Development</w:t>
            </w:r>
          </w:p>
        </w:tc>
      </w:tr>
      <w:tr w:rsidR="00C64613" w:rsidRPr="00C64613" w14:paraId="267A70A4" w14:textId="77777777" w:rsidTr="00F40CC6">
        <w:tc>
          <w:tcPr>
            <w:tcW w:w="7397" w:type="dxa"/>
          </w:tcPr>
          <w:p w14:paraId="0A4957A5"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limited legal framework except human rights if applicable</w:t>
            </w:r>
          </w:p>
        </w:tc>
        <w:tc>
          <w:tcPr>
            <w:tcW w:w="7621" w:type="dxa"/>
          </w:tcPr>
          <w:p w14:paraId="3AB40040"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Legislation/regulations</w:t>
            </w:r>
          </w:p>
        </w:tc>
      </w:tr>
      <w:tr w:rsidR="00C64613" w:rsidRPr="00C64613" w14:paraId="751687D4" w14:textId="77777777" w:rsidTr="00F40CC6">
        <w:tc>
          <w:tcPr>
            <w:tcW w:w="7397" w:type="dxa"/>
          </w:tcPr>
          <w:p w14:paraId="424011CE"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dominant instrument: transfers in-kind although increasingly in cash</w:t>
            </w:r>
          </w:p>
        </w:tc>
        <w:tc>
          <w:tcPr>
            <w:tcW w:w="7621" w:type="dxa"/>
          </w:tcPr>
          <w:p w14:paraId="2EF7D797"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dominant instrument: old age transfers(budget)/ c</w:t>
            </w:r>
            <w:r w:rsidR="003B0889">
              <w:rPr>
                <w:rFonts w:eastAsia="Times New Roman" w:cs="Arial"/>
                <w:color w:val="222222"/>
                <w:sz w:val="20"/>
                <w:szCs w:val="20"/>
              </w:rPr>
              <w:t>onditional income transfer</w:t>
            </w:r>
            <w:r w:rsidRPr="00C64613">
              <w:rPr>
                <w:rFonts w:eastAsia="Times New Roman" w:cs="Arial"/>
                <w:color w:val="222222"/>
                <w:sz w:val="20"/>
                <w:szCs w:val="20"/>
              </w:rPr>
              <w:t>s (participants)</w:t>
            </w:r>
          </w:p>
        </w:tc>
      </w:tr>
      <w:tr w:rsidR="00C64613" w:rsidRPr="00C64613" w14:paraId="1C242283" w14:textId="77777777" w:rsidTr="00F40CC6">
        <w:tc>
          <w:tcPr>
            <w:tcW w:w="7397" w:type="dxa"/>
          </w:tcPr>
          <w:p w14:paraId="7C65D742"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consumption and recovery</w:t>
            </w:r>
          </w:p>
        </w:tc>
        <w:tc>
          <w:tcPr>
            <w:tcW w:w="7621" w:type="dxa"/>
          </w:tcPr>
          <w:p w14:paraId="69FFF9EF" w14:textId="77777777" w:rsidR="00C64613" w:rsidRPr="00C64613" w:rsidRDefault="00C64613" w:rsidP="00F40CC6">
            <w:pPr>
              <w:jc w:val="center"/>
              <w:rPr>
                <w:rFonts w:eastAsia="Times New Roman" w:cs="Arial"/>
                <w:color w:val="222222"/>
                <w:sz w:val="20"/>
                <w:szCs w:val="20"/>
              </w:rPr>
            </w:pPr>
            <w:r w:rsidRPr="00C64613">
              <w:rPr>
                <w:rFonts w:eastAsia="Times New Roman" w:cs="Arial"/>
                <w:color w:val="222222"/>
                <w:sz w:val="20"/>
                <w:szCs w:val="20"/>
              </w:rPr>
              <w:t>consumption and social investment</w:t>
            </w:r>
          </w:p>
        </w:tc>
      </w:tr>
    </w:tbl>
    <w:p w14:paraId="314CC984" w14:textId="77777777" w:rsidR="00C64613" w:rsidRDefault="00C64613"/>
    <w:p w14:paraId="69DBA332" w14:textId="77777777" w:rsidR="00C64613" w:rsidRDefault="00C64613"/>
    <w:p w14:paraId="58AF8682" w14:textId="7FDA7084" w:rsidR="00A61F22" w:rsidRDefault="003B0889">
      <w:r>
        <w:t>A</w:t>
      </w:r>
      <w:r w:rsidR="00C64613">
        <w:t xml:space="preserve">pplying this distinction can be hard to do </w:t>
      </w:r>
      <w:r w:rsidR="00C763D0">
        <w:t>in some contexts</w:t>
      </w:r>
      <w:r w:rsidR="00C64613">
        <w:t xml:space="preserve">. In sub-Saharan Africa for example, it implied excluding public works schemes and school feeding programmes. Public works schemes are short-term and do not generate entitlements as employment guaranteed schemes do. School feeding programmes are education interventions </w:t>
      </w:r>
      <w:r w:rsidR="00A61F22">
        <w:t xml:space="preserve">improving children's capacity to learn. </w:t>
      </w:r>
      <w:r w:rsidR="00C763D0">
        <w:t>They are very useful but they are not social assistance.</w:t>
      </w:r>
    </w:p>
    <w:p w14:paraId="60C80BD5" w14:textId="77777777" w:rsidR="00A61F22" w:rsidRDefault="00A61F22"/>
    <w:p w14:paraId="294E28FB" w14:textId="3C57049E" w:rsidR="002044B4" w:rsidRPr="002044B4" w:rsidRDefault="00C64613">
      <w:pPr>
        <w:rPr>
          <w:b/>
        </w:rPr>
      </w:pPr>
      <w:r>
        <w:t xml:space="preserve"> </w:t>
      </w:r>
      <w:r w:rsidR="002044B4" w:rsidRPr="002044B4">
        <w:rPr>
          <w:b/>
        </w:rPr>
        <w:t xml:space="preserve">How </w:t>
      </w:r>
      <w:r w:rsidR="00F40CC6">
        <w:rPr>
          <w:b/>
        </w:rPr>
        <w:t>p</w:t>
      </w:r>
      <w:r w:rsidR="00345EA6" w:rsidRPr="002044B4">
        <w:rPr>
          <w:b/>
        </w:rPr>
        <w:t>rogramme</w:t>
      </w:r>
      <w:r w:rsidR="00F40CC6">
        <w:rPr>
          <w:b/>
        </w:rPr>
        <w:t>s</w:t>
      </w:r>
      <w:r w:rsidR="00345EA6" w:rsidRPr="002044B4">
        <w:rPr>
          <w:b/>
        </w:rPr>
        <w:t xml:space="preserve"> </w:t>
      </w:r>
      <w:r w:rsidR="00F40CC6">
        <w:rPr>
          <w:b/>
        </w:rPr>
        <w:t xml:space="preserve">were </w:t>
      </w:r>
      <w:r w:rsidR="00345EA6" w:rsidRPr="002044B4">
        <w:rPr>
          <w:b/>
        </w:rPr>
        <w:t>selected</w:t>
      </w:r>
      <w:r w:rsidR="002044B4" w:rsidRPr="002044B4">
        <w:rPr>
          <w:b/>
        </w:rPr>
        <w:t xml:space="preserve"> for inclusion</w:t>
      </w:r>
      <w:r w:rsidR="00345EA6" w:rsidRPr="002044B4">
        <w:rPr>
          <w:b/>
        </w:rPr>
        <w:t>?</w:t>
      </w:r>
    </w:p>
    <w:p w14:paraId="71E73263" w14:textId="77777777" w:rsidR="002044B4" w:rsidRDefault="002044B4"/>
    <w:p w14:paraId="120F0E0D" w14:textId="12D14CB8" w:rsidR="00581F60" w:rsidRDefault="002044B4" w:rsidP="00581F60">
      <w:pPr>
        <w:widowControl w:val="0"/>
        <w:autoSpaceDE w:val="0"/>
        <w:autoSpaceDN w:val="0"/>
        <w:adjustRightInd w:val="0"/>
        <w:rPr>
          <w:rFonts w:ascii="Times New Roman" w:hAnsi="Times New Roman" w:cs="Times New Roman"/>
          <w:color w:val="000000"/>
          <w:lang w:val="en-US"/>
        </w:rPr>
      </w:pPr>
      <w:r>
        <w:t>The data collection included all countries defined as low and middle income in the 2016 version of the World Bank Country Classification</w:t>
      </w:r>
      <w:r w:rsidR="00581F60">
        <w:t>:</w:t>
      </w:r>
    </w:p>
    <w:p w14:paraId="252EB3CC" w14:textId="669ABDB2" w:rsidR="00C763D0" w:rsidRDefault="00581F60" w:rsidP="00581F60">
      <w:r>
        <w:rPr>
          <w:rFonts w:ascii="Times New Roman" w:hAnsi="Times New Roman" w:cs="Times New Roman"/>
          <w:color w:val="0000FF"/>
          <w:lang w:val="en-US"/>
        </w:rPr>
        <w:t>data.worldbank.org/about/country-and-lending-groups</w:t>
      </w:r>
      <w:r w:rsidR="002044B4">
        <w:t xml:space="preserve">. </w:t>
      </w:r>
    </w:p>
    <w:p w14:paraId="212CAE2C" w14:textId="77777777" w:rsidR="00C763D0" w:rsidRDefault="00C763D0"/>
    <w:p w14:paraId="757AC5B7" w14:textId="6AC04AA7" w:rsidR="00C64613" w:rsidRDefault="00C763D0">
      <w:r>
        <w:t xml:space="preserve">An inventory of potential social assistance programmes was developed for each country. The </w:t>
      </w:r>
      <w:r w:rsidR="006001EE">
        <w:t>definition described above</w:t>
      </w:r>
      <w:r>
        <w:t xml:space="preserve"> was then applied to identify social assistance programmes. </w:t>
      </w:r>
      <w:r w:rsidR="006001EE">
        <w:t xml:space="preserve">For some countries with a large number of small or localised programmes, the data collection focused on nationwide, large-scale, and/or leading programmes. For example, some states in India have localised programmes. These were excluded from the data collection. In sub-Saharan Africa some programmes are very small in scale but they are significant in leading the expansion of social assistance. They were included. </w:t>
      </w:r>
    </w:p>
    <w:p w14:paraId="577D0849" w14:textId="77777777" w:rsidR="006001EE" w:rsidRDefault="006001EE"/>
    <w:p w14:paraId="72B3C4DD" w14:textId="2983D868" w:rsidR="006001EE" w:rsidRDefault="007E7EC4">
      <w:r>
        <w:t xml:space="preserve">Where programmes </w:t>
      </w:r>
      <w:r w:rsidR="00C763D0">
        <w:t>consolidate</w:t>
      </w:r>
      <w:r>
        <w:t xml:space="preserve"> pre-existing programmes, for example Brazil's Bolsa Família, the dataset includes Bolsa Família a</w:t>
      </w:r>
      <w:r w:rsidR="00C763D0">
        <w:t xml:space="preserve">s well as its </w:t>
      </w:r>
      <w:r>
        <w:t xml:space="preserve">component programmes. </w:t>
      </w:r>
    </w:p>
    <w:p w14:paraId="13BAA44D" w14:textId="77777777" w:rsidR="007E7EC4" w:rsidRDefault="007E7EC4"/>
    <w:p w14:paraId="7A3DDAA9" w14:textId="73A1C7CA" w:rsidR="007E7EC4" w:rsidRPr="007E7EC4" w:rsidRDefault="007E7EC4">
      <w:pPr>
        <w:rPr>
          <w:b/>
        </w:rPr>
      </w:pPr>
      <w:r w:rsidRPr="007E7EC4">
        <w:rPr>
          <w:b/>
        </w:rPr>
        <w:t>How was the programme data collected?</w:t>
      </w:r>
    </w:p>
    <w:p w14:paraId="31FA8A8B" w14:textId="77777777" w:rsidR="007E7EC4" w:rsidRDefault="007E7EC4"/>
    <w:p w14:paraId="74EB0ADD" w14:textId="1B79C4F8" w:rsidR="00B95418" w:rsidRDefault="003D1950">
      <w:r>
        <w:t>Data were</w:t>
      </w:r>
      <w:r w:rsidR="00B95418">
        <w:t xml:space="preserve"> collected from a variety of sources: global and regional datasets (ASPIRE, ODI, CEPAL, ADB's SPI, IPC-PG); national governme</w:t>
      </w:r>
      <w:r w:rsidR="00114020">
        <w:t>nt websites; programme agency</w:t>
      </w:r>
      <w:r w:rsidR="00B95418">
        <w:t xml:space="preserve"> reports; research papers; evaluation reports; policy documents; IFIs project documentation and reports; personal communication with programme agencies.</w:t>
      </w:r>
    </w:p>
    <w:p w14:paraId="7F18BF2E" w14:textId="77777777" w:rsidR="00B95418" w:rsidRDefault="00B95418"/>
    <w:p w14:paraId="1ECB9EC1" w14:textId="77777777" w:rsidR="00114020" w:rsidRDefault="00B95418">
      <w:r>
        <w:t xml:space="preserve">The collection of the data was organised around a codebook, describing each of the variables and the specific coding of the information. The codebook was constructed after extensive consultation with specialist researchers. The codebook is available from the data webpage in the website. </w:t>
      </w:r>
    </w:p>
    <w:p w14:paraId="0AFF5C6B" w14:textId="77777777" w:rsidR="00114020" w:rsidRDefault="00114020"/>
    <w:p w14:paraId="39DBF053" w14:textId="049609B7" w:rsidR="003D1950" w:rsidRDefault="00B95418">
      <w:r>
        <w:t>Specialist consultants supported data collection in had-to-rea</w:t>
      </w:r>
      <w:r w:rsidR="00114020">
        <w:t>ch areas. The data collected were</w:t>
      </w:r>
      <w:r>
        <w:t xml:space="preserve"> checked against alternative sources of information where </w:t>
      </w:r>
      <w:r w:rsidR="00114020">
        <w:t>available</w:t>
      </w:r>
      <w:r>
        <w:t>.</w:t>
      </w:r>
    </w:p>
    <w:p w14:paraId="216221CA" w14:textId="77777777" w:rsidR="00216168" w:rsidRDefault="00216168"/>
    <w:p w14:paraId="4CB70CC9" w14:textId="304D9527" w:rsidR="00216168" w:rsidRPr="00216168" w:rsidRDefault="00216168">
      <w:pPr>
        <w:rPr>
          <w:b/>
        </w:rPr>
      </w:pPr>
      <w:r w:rsidRPr="00216168">
        <w:rPr>
          <w:b/>
        </w:rPr>
        <w:t>Programme Types</w:t>
      </w:r>
    </w:p>
    <w:p w14:paraId="25726306" w14:textId="77777777" w:rsidR="00216168" w:rsidRDefault="00216168"/>
    <w:p w14:paraId="47745430" w14:textId="56023359" w:rsidR="005F410E" w:rsidRDefault="005F410E">
      <w:r>
        <w:t xml:space="preserve">The policy literature often classifies social assistance programmes on the basis of their function: conditional transfer, unconditional transfer, old age pension, disability pension, etc. The variable </w:t>
      </w:r>
      <w:r w:rsidRPr="005F410E">
        <w:rPr>
          <w:i/>
        </w:rPr>
        <w:t>profunc</w:t>
      </w:r>
      <w:r>
        <w:t xml:space="preserve"> classifies programmes in line with a functional classification widely employed by international organisations. </w:t>
      </w:r>
    </w:p>
    <w:p w14:paraId="123ED545" w14:textId="77777777" w:rsidR="005F410E" w:rsidRDefault="005F410E"/>
    <w:p w14:paraId="2B5FC6F2" w14:textId="7C0DD16E" w:rsidR="00216168" w:rsidRDefault="005F410E">
      <w:r>
        <w:t>From an analytica</w:t>
      </w:r>
      <w:r w:rsidR="00783713">
        <w:t>l</w:t>
      </w:r>
      <w:r>
        <w:t xml:space="preserve"> perspective </w:t>
      </w:r>
      <w:r w:rsidR="00783713">
        <w:t xml:space="preserve">the functional classification might not be helpful, especially as the categories overlap. The variable </w:t>
      </w:r>
      <w:r w:rsidR="00783713" w:rsidRPr="00783713">
        <w:rPr>
          <w:i/>
        </w:rPr>
        <w:t>protype</w:t>
      </w:r>
      <w:r>
        <w:t xml:space="preserve"> </w:t>
      </w:r>
      <w:r w:rsidR="003D71C3">
        <w:t>classifies social assistance programmes on the basis of their underlying conceptualisation of poverty. Programmes are classified into four 'ideal types' described in the table below.</w:t>
      </w:r>
    </w:p>
    <w:p w14:paraId="04C7B23F" w14:textId="77777777" w:rsidR="003D71C3" w:rsidRPr="001C2B29" w:rsidRDefault="003D71C3">
      <w:pPr>
        <w:rPr>
          <w:sz w:val="20"/>
          <w:szCs w:val="20"/>
        </w:rPr>
      </w:pPr>
    </w:p>
    <w:tbl>
      <w:tblPr>
        <w:tblStyle w:val="TableGrid"/>
        <w:tblW w:w="0" w:type="auto"/>
        <w:tblLook w:val="04A0" w:firstRow="1" w:lastRow="0" w:firstColumn="1" w:lastColumn="0" w:noHBand="0" w:noVBand="1"/>
      </w:tblPr>
      <w:tblGrid>
        <w:gridCol w:w="3952"/>
        <w:gridCol w:w="4904"/>
      </w:tblGrid>
      <w:tr w:rsidR="001C2B29" w:rsidRPr="001C2B29" w14:paraId="3758B2BB" w14:textId="77777777" w:rsidTr="001C2B29">
        <w:tc>
          <w:tcPr>
            <w:tcW w:w="3942" w:type="dxa"/>
          </w:tcPr>
          <w:p w14:paraId="3A177E16" w14:textId="77777777" w:rsidR="001C2B29" w:rsidRPr="001C2B29" w:rsidRDefault="001C2B29" w:rsidP="006A4845">
            <w:pPr>
              <w:rPr>
                <w:rFonts w:cs="Arial"/>
                <w:b/>
                <w:i/>
                <w:sz w:val="20"/>
                <w:szCs w:val="20"/>
              </w:rPr>
            </w:pPr>
          </w:p>
          <w:p w14:paraId="324CE251" w14:textId="77777777" w:rsidR="001C2B29" w:rsidRPr="001C2B29" w:rsidRDefault="001C2B29" w:rsidP="006A4845">
            <w:pPr>
              <w:rPr>
                <w:rFonts w:cs="Arial"/>
                <w:b/>
                <w:i/>
                <w:sz w:val="20"/>
                <w:szCs w:val="20"/>
              </w:rPr>
            </w:pPr>
            <w:r w:rsidRPr="001C2B29">
              <w:rPr>
                <w:rFonts w:cs="Arial"/>
                <w:b/>
                <w:i/>
                <w:sz w:val="20"/>
                <w:szCs w:val="20"/>
              </w:rPr>
              <w:t>Understanding of poverty</w:t>
            </w:r>
          </w:p>
        </w:tc>
        <w:tc>
          <w:tcPr>
            <w:tcW w:w="4914" w:type="dxa"/>
          </w:tcPr>
          <w:p w14:paraId="4A930C7A" w14:textId="77777777" w:rsidR="001C2B29" w:rsidRPr="001C2B29" w:rsidRDefault="001C2B29" w:rsidP="006A4845">
            <w:pPr>
              <w:rPr>
                <w:rFonts w:cs="Arial"/>
                <w:b/>
                <w:i/>
                <w:sz w:val="20"/>
                <w:szCs w:val="20"/>
              </w:rPr>
            </w:pPr>
          </w:p>
          <w:p w14:paraId="06527000" w14:textId="77777777" w:rsidR="001C2B29" w:rsidRPr="001C2B29" w:rsidRDefault="001C2B29" w:rsidP="006A4845">
            <w:pPr>
              <w:rPr>
                <w:rFonts w:cs="Arial"/>
                <w:b/>
                <w:i/>
                <w:sz w:val="20"/>
                <w:szCs w:val="20"/>
              </w:rPr>
            </w:pPr>
            <w:r w:rsidRPr="001C2B29">
              <w:rPr>
                <w:rFonts w:cs="Arial"/>
                <w:b/>
                <w:i/>
                <w:sz w:val="20"/>
                <w:szCs w:val="20"/>
              </w:rPr>
              <w:t>'Ideal type' of social assistance programme</w:t>
            </w:r>
          </w:p>
          <w:p w14:paraId="239F7503" w14:textId="77777777" w:rsidR="001C2B29" w:rsidRPr="001C2B29" w:rsidRDefault="001C2B29" w:rsidP="006A4845">
            <w:pPr>
              <w:rPr>
                <w:rFonts w:cs="Arial"/>
                <w:b/>
                <w:i/>
                <w:sz w:val="20"/>
                <w:szCs w:val="20"/>
              </w:rPr>
            </w:pPr>
          </w:p>
        </w:tc>
      </w:tr>
      <w:tr w:rsidR="001C2B29" w:rsidRPr="001C2B29" w14:paraId="590A236C" w14:textId="77777777" w:rsidTr="001C2B29">
        <w:tc>
          <w:tcPr>
            <w:tcW w:w="3942" w:type="dxa"/>
          </w:tcPr>
          <w:p w14:paraId="60CD8414" w14:textId="77777777" w:rsidR="001C2B29" w:rsidRPr="001C2B29" w:rsidRDefault="001C2B29" w:rsidP="006A4845">
            <w:pPr>
              <w:rPr>
                <w:rFonts w:cs="Arial"/>
                <w:sz w:val="20"/>
                <w:szCs w:val="20"/>
              </w:rPr>
            </w:pPr>
          </w:p>
          <w:p w14:paraId="4750CC6E" w14:textId="77777777" w:rsidR="001C2B29" w:rsidRPr="001C2B29" w:rsidRDefault="001C2B29" w:rsidP="006A4845">
            <w:pPr>
              <w:rPr>
                <w:rFonts w:cs="Arial"/>
                <w:sz w:val="20"/>
                <w:szCs w:val="20"/>
              </w:rPr>
            </w:pPr>
            <w:r w:rsidRPr="001C2B29">
              <w:rPr>
                <w:rFonts w:cs="Arial"/>
                <w:sz w:val="20"/>
                <w:szCs w:val="20"/>
              </w:rPr>
              <w:t>Poverty as consumption deficit</w:t>
            </w:r>
          </w:p>
          <w:p w14:paraId="01BF77A6" w14:textId="77777777" w:rsidR="001C2B29" w:rsidRPr="001C2B29" w:rsidRDefault="001C2B29" w:rsidP="006A4845">
            <w:pPr>
              <w:rPr>
                <w:rFonts w:cs="Arial"/>
                <w:sz w:val="20"/>
                <w:szCs w:val="20"/>
              </w:rPr>
            </w:pPr>
          </w:p>
        </w:tc>
        <w:tc>
          <w:tcPr>
            <w:tcW w:w="4914" w:type="dxa"/>
          </w:tcPr>
          <w:p w14:paraId="295DCD0F" w14:textId="77777777" w:rsidR="001C2B29" w:rsidRPr="001C2B29" w:rsidRDefault="001C2B29" w:rsidP="006A4845">
            <w:pPr>
              <w:rPr>
                <w:rFonts w:cs="Arial"/>
                <w:sz w:val="20"/>
                <w:szCs w:val="20"/>
              </w:rPr>
            </w:pPr>
          </w:p>
          <w:p w14:paraId="0E90834F" w14:textId="77777777" w:rsidR="001C2B29" w:rsidRPr="001C2B29" w:rsidRDefault="001C2B29" w:rsidP="006A4845">
            <w:pPr>
              <w:rPr>
                <w:rFonts w:cs="Arial"/>
                <w:b/>
                <w:sz w:val="20"/>
                <w:szCs w:val="20"/>
              </w:rPr>
            </w:pPr>
            <w:r w:rsidRPr="001C2B29">
              <w:rPr>
                <w:rFonts w:cs="Arial"/>
                <w:b/>
                <w:sz w:val="20"/>
                <w:szCs w:val="20"/>
              </w:rPr>
              <w:t>Pure income transfers</w:t>
            </w:r>
          </w:p>
        </w:tc>
      </w:tr>
      <w:tr w:rsidR="001C2B29" w:rsidRPr="001C2B29" w14:paraId="1855CA92" w14:textId="77777777" w:rsidTr="001C2B29">
        <w:tc>
          <w:tcPr>
            <w:tcW w:w="3942" w:type="dxa"/>
          </w:tcPr>
          <w:p w14:paraId="74FDC923" w14:textId="77777777" w:rsidR="001C2B29" w:rsidRPr="001C2B29" w:rsidRDefault="001C2B29" w:rsidP="006A4845">
            <w:pPr>
              <w:rPr>
                <w:rFonts w:cs="Arial"/>
                <w:sz w:val="20"/>
                <w:szCs w:val="20"/>
              </w:rPr>
            </w:pPr>
          </w:p>
          <w:p w14:paraId="471A3AED" w14:textId="7648A98C" w:rsidR="001C2B29" w:rsidRPr="001C2B29" w:rsidRDefault="001C2B29" w:rsidP="006A4845">
            <w:pPr>
              <w:rPr>
                <w:rFonts w:cs="Arial"/>
                <w:sz w:val="20"/>
                <w:szCs w:val="20"/>
              </w:rPr>
            </w:pPr>
            <w:r w:rsidRPr="001C2B29">
              <w:rPr>
                <w:rFonts w:cs="Arial"/>
                <w:sz w:val="20"/>
                <w:szCs w:val="20"/>
              </w:rPr>
              <w:t xml:space="preserve">Poverty as </w:t>
            </w:r>
            <w:r>
              <w:rPr>
                <w:rFonts w:cs="Arial"/>
                <w:sz w:val="20"/>
                <w:szCs w:val="20"/>
              </w:rPr>
              <w:t xml:space="preserve">consumption and </w:t>
            </w:r>
            <w:r w:rsidRPr="001C2B29">
              <w:rPr>
                <w:rFonts w:cs="Arial"/>
                <w:sz w:val="20"/>
                <w:szCs w:val="20"/>
              </w:rPr>
              <w:t>productivity deficit</w:t>
            </w:r>
          </w:p>
        </w:tc>
        <w:tc>
          <w:tcPr>
            <w:tcW w:w="4914" w:type="dxa"/>
          </w:tcPr>
          <w:p w14:paraId="54536FA3" w14:textId="77777777" w:rsidR="001C2B29" w:rsidRPr="001C2B29" w:rsidRDefault="001C2B29" w:rsidP="006A4845">
            <w:pPr>
              <w:rPr>
                <w:rFonts w:cs="Arial"/>
                <w:sz w:val="20"/>
                <w:szCs w:val="20"/>
              </w:rPr>
            </w:pPr>
          </w:p>
          <w:p w14:paraId="1FEE9C61" w14:textId="77777777" w:rsidR="001C2B29" w:rsidRPr="001C2B29" w:rsidRDefault="001C2B29" w:rsidP="006A4845">
            <w:pPr>
              <w:rPr>
                <w:rFonts w:cs="Arial"/>
                <w:sz w:val="20"/>
                <w:szCs w:val="20"/>
              </w:rPr>
            </w:pPr>
            <w:r w:rsidRPr="001C2B29">
              <w:rPr>
                <w:rFonts w:cs="Arial"/>
                <w:sz w:val="20"/>
                <w:szCs w:val="20"/>
              </w:rPr>
              <w:t>Income transfers combined with asset accumulation</w:t>
            </w:r>
          </w:p>
          <w:p w14:paraId="1FF1F8C0" w14:textId="77777777" w:rsidR="001C2B29" w:rsidRPr="001C2B29" w:rsidRDefault="001C2B29" w:rsidP="006A4845">
            <w:pPr>
              <w:rPr>
                <w:rFonts w:cs="Arial"/>
                <w:sz w:val="20"/>
                <w:szCs w:val="20"/>
              </w:rPr>
            </w:pPr>
            <w:r w:rsidRPr="001C2B29">
              <w:rPr>
                <w:rFonts w:cs="Arial"/>
                <w:sz w:val="20"/>
                <w:szCs w:val="20"/>
              </w:rPr>
              <w:t xml:space="preserve">     </w:t>
            </w:r>
            <w:r w:rsidRPr="001C2B29">
              <w:rPr>
                <w:rFonts w:cs="Arial"/>
                <w:b/>
                <w:sz w:val="20"/>
                <w:szCs w:val="20"/>
              </w:rPr>
              <w:t>Employment guarantees</w:t>
            </w:r>
            <w:r w:rsidRPr="001C2B29">
              <w:rPr>
                <w:rFonts w:cs="Arial"/>
                <w:sz w:val="20"/>
                <w:szCs w:val="20"/>
              </w:rPr>
              <w:t xml:space="preserve"> (community assets)</w:t>
            </w:r>
          </w:p>
          <w:p w14:paraId="20E0AA7B" w14:textId="77777777" w:rsidR="001C2B29" w:rsidRPr="001C2B29" w:rsidRDefault="001C2B29" w:rsidP="006A4845">
            <w:pPr>
              <w:rPr>
                <w:rFonts w:cs="Arial"/>
                <w:sz w:val="20"/>
                <w:szCs w:val="20"/>
              </w:rPr>
            </w:pPr>
            <w:r w:rsidRPr="001C2B29">
              <w:rPr>
                <w:rFonts w:cs="Arial"/>
                <w:sz w:val="20"/>
                <w:szCs w:val="20"/>
              </w:rPr>
              <w:t xml:space="preserve">     </w:t>
            </w:r>
            <w:r w:rsidRPr="001C2B29">
              <w:rPr>
                <w:rFonts w:cs="Arial"/>
                <w:b/>
                <w:sz w:val="20"/>
                <w:szCs w:val="20"/>
              </w:rPr>
              <w:t>Conditional income transfers</w:t>
            </w:r>
            <w:r w:rsidRPr="001C2B29">
              <w:rPr>
                <w:rFonts w:cs="Arial"/>
                <w:sz w:val="20"/>
                <w:szCs w:val="20"/>
              </w:rPr>
              <w:t xml:space="preserve"> (human capital)</w:t>
            </w:r>
          </w:p>
          <w:p w14:paraId="65F8E428" w14:textId="77777777" w:rsidR="001C2B29" w:rsidRPr="001C2B29" w:rsidRDefault="001C2B29" w:rsidP="006A4845">
            <w:pPr>
              <w:rPr>
                <w:rFonts w:cs="Arial"/>
                <w:sz w:val="20"/>
                <w:szCs w:val="20"/>
              </w:rPr>
            </w:pPr>
          </w:p>
        </w:tc>
      </w:tr>
      <w:tr w:rsidR="001C2B29" w:rsidRPr="001C2B29" w14:paraId="2B494B83" w14:textId="77777777" w:rsidTr="001C2B29">
        <w:tc>
          <w:tcPr>
            <w:tcW w:w="3942" w:type="dxa"/>
          </w:tcPr>
          <w:p w14:paraId="2E48F611" w14:textId="77777777" w:rsidR="001C2B29" w:rsidRPr="001C2B29" w:rsidRDefault="001C2B29" w:rsidP="006A4845">
            <w:pPr>
              <w:rPr>
                <w:rFonts w:cs="Arial"/>
                <w:sz w:val="20"/>
                <w:szCs w:val="20"/>
              </w:rPr>
            </w:pPr>
          </w:p>
          <w:p w14:paraId="4014B867" w14:textId="0674F3FE" w:rsidR="001C2B29" w:rsidRPr="001C2B29" w:rsidRDefault="001C2B29" w:rsidP="006A4845">
            <w:pPr>
              <w:rPr>
                <w:rFonts w:cs="Arial"/>
                <w:sz w:val="20"/>
                <w:szCs w:val="20"/>
              </w:rPr>
            </w:pPr>
            <w:r w:rsidRPr="001C2B29">
              <w:rPr>
                <w:rFonts w:cs="Arial"/>
                <w:sz w:val="20"/>
                <w:szCs w:val="20"/>
              </w:rPr>
              <w:t xml:space="preserve">Poverty as </w:t>
            </w:r>
            <w:r>
              <w:rPr>
                <w:rFonts w:cs="Arial"/>
                <w:sz w:val="20"/>
                <w:szCs w:val="20"/>
              </w:rPr>
              <w:t xml:space="preserve">consumption, </w:t>
            </w:r>
            <w:r w:rsidRPr="001C2B29">
              <w:rPr>
                <w:rFonts w:cs="Arial"/>
                <w:sz w:val="20"/>
                <w:szCs w:val="20"/>
              </w:rPr>
              <w:t xml:space="preserve">productivity </w:t>
            </w:r>
            <w:r>
              <w:rPr>
                <w:rFonts w:cs="Arial"/>
                <w:sz w:val="20"/>
                <w:szCs w:val="20"/>
              </w:rPr>
              <w:t xml:space="preserve">and </w:t>
            </w:r>
            <w:r w:rsidRPr="001C2B29">
              <w:rPr>
                <w:rFonts w:cs="Arial"/>
                <w:sz w:val="20"/>
                <w:szCs w:val="20"/>
              </w:rPr>
              <w:t>inclusion deficit</w:t>
            </w:r>
          </w:p>
          <w:p w14:paraId="75F3132B" w14:textId="77777777" w:rsidR="001C2B29" w:rsidRPr="001C2B29" w:rsidRDefault="001C2B29" w:rsidP="006A4845">
            <w:pPr>
              <w:rPr>
                <w:rFonts w:cs="Arial"/>
                <w:sz w:val="20"/>
                <w:szCs w:val="20"/>
              </w:rPr>
            </w:pPr>
          </w:p>
        </w:tc>
        <w:tc>
          <w:tcPr>
            <w:tcW w:w="4914" w:type="dxa"/>
          </w:tcPr>
          <w:p w14:paraId="09334AF7" w14:textId="77777777" w:rsidR="001C2B29" w:rsidRPr="001C2B29" w:rsidRDefault="001C2B29" w:rsidP="006A4845">
            <w:pPr>
              <w:rPr>
                <w:rFonts w:cs="Arial"/>
                <w:sz w:val="20"/>
                <w:szCs w:val="20"/>
              </w:rPr>
            </w:pPr>
          </w:p>
          <w:p w14:paraId="0FCFA067" w14:textId="77777777" w:rsidR="001C2B29" w:rsidRPr="001C2B29" w:rsidRDefault="001C2B29" w:rsidP="006A4845">
            <w:pPr>
              <w:rPr>
                <w:rFonts w:cs="Arial"/>
                <w:b/>
                <w:sz w:val="20"/>
                <w:szCs w:val="20"/>
              </w:rPr>
            </w:pPr>
            <w:r w:rsidRPr="001C2B29">
              <w:rPr>
                <w:rFonts w:cs="Arial"/>
                <w:b/>
                <w:sz w:val="20"/>
                <w:szCs w:val="20"/>
              </w:rPr>
              <w:t>Integrated antipoverty transfer programmes</w:t>
            </w:r>
          </w:p>
        </w:tc>
      </w:tr>
      <w:tr w:rsidR="001C2B29" w:rsidRPr="001C2B29" w14:paraId="5439B51A" w14:textId="77777777" w:rsidTr="006A4845">
        <w:tc>
          <w:tcPr>
            <w:tcW w:w="0" w:type="auto"/>
            <w:gridSpan w:val="2"/>
          </w:tcPr>
          <w:p w14:paraId="35E2ADFE" w14:textId="74F2B108" w:rsidR="001C2B29" w:rsidRPr="001C2B29" w:rsidRDefault="001C2B29" w:rsidP="001C2B29">
            <w:pPr>
              <w:rPr>
                <w:rFonts w:cs="Arial"/>
                <w:sz w:val="20"/>
                <w:szCs w:val="20"/>
              </w:rPr>
            </w:pPr>
            <w:r w:rsidRPr="001C2B29">
              <w:rPr>
                <w:rFonts w:cs="Arial"/>
                <w:i/>
                <w:sz w:val="20"/>
                <w:szCs w:val="20"/>
              </w:rPr>
              <w:t xml:space="preserve">Source: </w:t>
            </w:r>
            <w:r>
              <w:rPr>
                <w:rFonts w:cs="Arial"/>
                <w:i/>
                <w:sz w:val="20"/>
                <w:szCs w:val="20"/>
              </w:rPr>
              <w:t>Barrientos [2013] Social assistance in developing countries, Cambridge: Cambridge University Pess.</w:t>
            </w:r>
          </w:p>
        </w:tc>
      </w:tr>
    </w:tbl>
    <w:p w14:paraId="39287228" w14:textId="77777777" w:rsidR="003D71C3" w:rsidRDefault="003D71C3"/>
    <w:p w14:paraId="0FF5AF85" w14:textId="77777777" w:rsidR="003D1950" w:rsidRDefault="003D1950"/>
    <w:p w14:paraId="4B4F8709" w14:textId="77777777" w:rsidR="003D1950" w:rsidRDefault="003D1950">
      <w:pPr>
        <w:rPr>
          <w:b/>
        </w:rPr>
      </w:pPr>
      <w:r w:rsidRPr="003D1950">
        <w:rPr>
          <w:b/>
        </w:rPr>
        <w:t>Reach data</w:t>
      </w:r>
      <w:r w:rsidR="00B95418" w:rsidRPr="003D1950">
        <w:rPr>
          <w:b/>
        </w:rPr>
        <w:t xml:space="preserve">  </w:t>
      </w:r>
    </w:p>
    <w:p w14:paraId="1C54C4EF" w14:textId="77777777" w:rsidR="003D1950" w:rsidRDefault="003D1950"/>
    <w:p w14:paraId="3EFEE7CC" w14:textId="7208698E" w:rsidR="004E599C" w:rsidRDefault="003D1950">
      <w:r>
        <w:t>Data on programme participants released by the respective agencies re</w:t>
      </w:r>
      <w:r w:rsidR="00114020">
        <w:t>port</w:t>
      </w:r>
      <w:r>
        <w:t xml:space="preserve"> </w:t>
      </w:r>
      <w:r w:rsidR="00114020">
        <w:t>the numbers of direct individual recipient</w:t>
      </w:r>
      <w:r>
        <w:t xml:space="preserve"> </w:t>
      </w:r>
      <w:r w:rsidRPr="003D1950">
        <w:t xml:space="preserve">or the numbers of </w:t>
      </w:r>
      <w:r w:rsidR="00114020">
        <w:t xml:space="preserve">participant </w:t>
      </w:r>
      <w:r w:rsidRPr="003D1950">
        <w:t>households</w:t>
      </w:r>
      <w:r>
        <w:t xml:space="preserve">. </w:t>
      </w:r>
      <w:r w:rsidR="00114020">
        <w:t xml:space="preserve">For example, social pension programmes report the </w:t>
      </w:r>
      <w:r w:rsidR="00114020" w:rsidRPr="003D1950">
        <w:t xml:space="preserve">number of pensioners </w:t>
      </w:r>
      <w:r w:rsidR="00114020">
        <w:t xml:space="preserve">while conditional income transfers report the number of participant households. </w:t>
      </w:r>
      <w:r>
        <w:t xml:space="preserve">The dataset reports on the reach of programmes in terms of </w:t>
      </w:r>
      <w:r w:rsidR="004E599C">
        <w:t xml:space="preserve">individuals and households. </w:t>
      </w:r>
      <w:r>
        <w:t xml:space="preserve">Where the </w:t>
      </w:r>
      <w:r w:rsidR="004E599C">
        <w:t xml:space="preserve">raw </w:t>
      </w:r>
      <w:r>
        <w:t xml:space="preserve">data reported the number of </w:t>
      </w:r>
      <w:r w:rsidR="00114020">
        <w:t xml:space="preserve">individual </w:t>
      </w:r>
      <w:r w:rsidR="004E599C">
        <w:t xml:space="preserve">recipients, it was multiplied by the average household size for the specific country to calculate the full reach of the programme. </w:t>
      </w:r>
      <w:r>
        <w:t xml:space="preserve"> </w:t>
      </w:r>
      <w:r w:rsidR="004E599C">
        <w:t>Where the raw data reported the number of households, it was multiplied by the average household s</w:t>
      </w:r>
      <w:r w:rsidR="00114020">
        <w:t>ize</w:t>
      </w:r>
      <w:r w:rsidR="004E599C">
        <w:t xml:space="preserve"> for the specific country to calculate the full reach of the programme.</w:t>
      </w:r>
    </w:p>
    <w:p w14:paraId="6AE0C173" w14:textId="77777777" w:rsidR="004E599C" w:rsidRDefault="004E599C"/>
    <w:p w14:paraId="207A93A9" w14:textId="707AFCAA" w:rsidR="007E7EC4" w:rsidRDefault="004E599C">
      <w:r>
        <w:t>Information on average household size is from</w:t>
      </w:r>
      <w:r w:rsidR="00114020">
        <w:t>:</w:t>
      </w:r>
      <w:r>
        <w:t xml:space="preserve"> </w:t>
      </w:r>
      <w:r w:rsidR="00114020" w:rsidRPr="004E599C">
        <w:rPr>
          <w:rFonts w:ascii="Cambria"/>
          <w:lang w:val="en-US"/>
        </w:rPr>
        <w:t xml:space="preserve">UNDESA. (2017). </w:t>
      </w:r>
      <w:r w:rsidR="00114020" w:rsidRPr="004E599C">
        <w:rPr>
          <w:rFonts w:ascii="Cambria"/>
          <w:i/>
          <w:iCs/>
          <w:lang w:val="en-US"/>
        </w:rPr>
        <w:t>Household Size and composition around the world 2017 - Data Booklet</w:t>
      </w:r>
      <w:r w:rsidR="00114020" w:rsidRPr="004E599C">
        <w:rPr>
          <w:rFonts w:ascii="Cambria"/>
          <w:lang w:val="en-US"/>
        </w:rPr>
        <w:t xml:space="preserve"> (Data Booklet No. ST/ESA/SER.A/405). New York: United National Department of Economic and Social Affairs, Population Division.</w:t>
      </w:r>
      <w:r w:rsidR="00114020">
        <w:t xml:space="preserve"> </w:t>
      </w:r>
    </w:p>
    <w:p w14:paraId="06E304E9" w14:textId="77777777" w:rsidR="004E599C" w:rsidRDefault="004E599C"/>
    <w:p w14:paraId="4E400B00" w14:textId="79C779BD" w:rsidR="004E599C" w:rsidRPr="004E599C" w:rsidRDefault="004E599C">
      <w:pPr>
        <w:rPr>
          <w:b/>
        </w:rPr>
      </w:pPr>
      <w:r w:rsidRPr="004E599C">
        <w:rPr>
          <w:b/>
        </w:rPr>
        <w:t>Financi</w:t>
      </w:r>
      <w:r w:rsidR="006A4845">
        <w:rPr>
          <w:b/>
        </w:rPr>
        <w:t>al</w:t>
      </w:r>
      <w:r w:rsidRPr="004E599C">
        <w:rPr>
          <w:b/>
        </w:rPr>
        <w:t xml:space="preserve"> data</w:t>
      </w:r>
    </w:p>
    <w:p w14:paraId="59207392" w14:textId="77777777" w:rsidR="004E599C" w:rsidRDefault="004E599C"/>
    <w:p w14:paraId="4EB2FD3D" w14:textId="2A594147" w:rsidR="00523D93" w:rsidRDefault="00523D93">
      <w:r>
        <w:t>All financial data</w:t>
      </w:r>
      <w:r w:rsidR="00114020">
        <w:t xml:space="preserve"> -</w:t>
      </w:r>
      <w:r>
        <w:t xml:space="preserve"> transfers values and programme budgets</w:t>
      </w:r>
      <w:r w:rsidR="00114020">
        <w:t xml:space="preserve"> for example -</w:t>
      </w:r>
      <w:r>
        <w:t xml:space="preserve"> are reported in domestic currency and in purchasing power parity</w:t>
      </w:r>
      <w:r w:rsidR="00114020">
        <w:t>. Purchasing poverty parity exchange rates enable</w:t>
      </w:r>
      <w:r>
        <w:t xml:space="preserve"> </w:t>
      </w:r>
      <w:r w:rsidR="00114020">
        <w:t xml:space="preserve">consistent </w:t>
      </w:r>
      <w:r>
        <w:t xml:space="preserve">comparison across countries. </w:t>
      </w:r>
    </w:p>
    <w:p w14:paraId="22710B19" w14:textId="77777777" w:rsidR="00523D93" w:rsidRDefault="00523D93"/>
    <w:p w14:paraId="65C3705B" w14:textId="30ABD760" w:rsidR="00523D93" w:rsidRDefault="00523D93">
      <w:r>
        <w:t xml:space="preserve">PPP exchange rates </w:t>
      </w:r>
      <w:r w:rsidR="00B73297">
        <w:t>were taken from World Development Indicators (</w:t>
      </w:r>
      <w:r w:rsidR="006A4845" w:rsidRPr="006A4845">
        <w:t>https://data.worldbank.org/indicator/PA.NUS.PPP</w:t>
      </w:r>
      <w:r w:rsidR="006A4845">
        <w:t xml:space="preserve">; </w:t>
      </w:r>
      <w:r w:rsidR="00B73297">
        <w:t>accessed 21/11/2017)</w:t>
      </w:r>
      <w:r>
        <w:t>.</w:t>
      </w:r>
      <w:r w:rsidR="006A4845">
        <w:t xml:space="preserve"> </w:t>
      </w:r>
      <w:r w:rsidR="006A4845">
        <w:rPr>
          <w:rFonts w:eastAsia="Times New Roman"/>
        </w:rPr>
        <w:t>Purchasing power parity conversion factor is the number of units of a country's currency required to buy the same amounts of goods and services in the domestic market as U.S. dollar would buy in the United States. For most economies PPP figures are extrapolated from the 2011 International Comparison Program (ICP) benchmark estimates or imputed using a statistical model based on the 2011 ICP.</w:t>
      </w:r>
    </w:p>
    <w:p w14:paraId="43A9F3BD" w14:textId="77777777" w:rsidR="00523D93" w:rsidRDefault="00523D93"/>
    <w:p w14:paraId="7DEEE90A" w14:textId="786E4CBD" w:rsidR="009544A5" w:rsidRDefault="009544A5">
      <w:r>
        <w:t>R</w:t>
      </w:r>
      <w:r w:rsidR="00523D93">
        <w:t xml:space="preserve">eporting </w:t>
      </w:r>
      <w:r w:rsidR="000F23DA">
        <w:t xml:space="preserve">on the financial resources </w:t>
      </w:r>
      <w:r>
        <w:t xml:space="preserve">associated with social assistance </w:t>
      </w:r>
      <w:r w:rsidR="000F23DA">
        <w:t>programme</w:t>
      </w:r>
      <w:r>
        <w:t>s</w:t>
      </w:r>
      <w:r w:rsidR="000F23DA">
        <w:t xml:space="preserve"> </w:t>
      </w:r>
      <w:r w:rsidR="00523D93">
        <w:t>show</w:t>
      </w:r>
      <w:r>
        <w:t>s</w:t>
      </w:r>
      <w:r w:rsidR="00523D93">
        <w:t xml:space="preserve"> significant variation across countries. The codebook included three data formats: </w:t>
      </w:r>
      <w:r>
        <w:t xml:space="preserve">(i) </w:t>
      </w:r>
      <w:r w:rsidR="00523D93">
        <w:t>budgeted resources</w:t>
      </w:r>
      <w:r>
        <w:t xml:space="preserve"> (</w:t>
      </w:r>
      <w:r w:rsidRPr="009544A5">
        <w:rPr>
          <w:i/>
        </w:rPr>
        <w:t>bugt</w:t>
      </w:r>
      <w:r>
        <w:t>)</w:t>
      </w:r>
      <w:r w:rsidR="00523D93">
        <w:t xml:space="preserve">; </w:t>
      </w:r>
      <w:r>
        <w:t xml:space="preserve">(ii) </w:t>
      </w:r>
      <w:r w:rsidR="00523D93">
        <w:t>programme expenditure</w:t>
      </w:r>
      <w:r>
        <w:t xml:space="preserve"> (</w:t>
      </w:r>
      <w:r w:rsidRPr="009544A5">
        <w:rPr>
          <w:i/>
        </w:rPr>
        <w:t>cost</w:t>
      </w:r>
      <w:r>
        <w:t>)</w:t>
      </w:r>
      <w:r w:rsidR="00523D93">
        <w:t xml:space="preserve">; and </w:t>
      </w:r>
      <w:r>
        <w:t>(iii) donor/government financing expenditure (</w:t>
      </w:r>
      <w:r w:rsidRPr="009544A5">
        <w:rPr>
          <w:i/>
        </w:rPr>
        <w:t>dfinex/govfinex</w:t>
      </w:r>
      <w:r>
        <w:t>)</w:t>
      </w:r>
      <w:r w:rsidR="00523D93">
        <w:t xml:space="preserve">. </w:t>
      </w:r>
      <w:r>
        <w:t xml:space="preserve">One or more of these was reported for the majority of programmes. Where the amount reported referred to more than one year, it was allocated proportionally to each year. </w:t>
      </w:r>
    </w:p>
    <w:p w14:paraId="3A82F203" w14:textId="77777777" w:rsidR="009544A5" w:rsidRDefault="009544A5"/>
    <w:p w14:paraId="4C8B209A" w14:textId="4DCA05C4" w:rsidR="009544A5" w:rsidRDefault="009544A5">
      <w:r>
        <w:t xml:space="preserve">A derived variable </w:t>
      </w:r>
      <w:r w:rsidR="00230E9B" w:rsidRPr="00230E9B">
        <w:rPr>
          <w:i/>
        </w:rPr>
        <w:t>finres</w:t>
      </w:r>
      <w:r w:rsidR="00230E9B">
        <w:t xml:space="preserve"> consolidates the information for each country/year by reporting </w:t>
      </w:r>
      <w:r w:rsidR="00F40CC6">
        <w:t xml:space="preserve">only </w:t>
      </w:r>
      <w:r w:rsidR="00230E9B">
        <w:t>one da</w:t>
      </w:r>
      <w:r w:rsidR="00F40CC6">
        <w:t>ta format where more than one was</w:t>
      </w:r>
      <w:bookmarkStart w:id="0" w:name="_GoBack"/>
      <w:bookmarkEnd w:id="0"/>
      <w:r w:rsidR="00230E9B">
        <w:t xml:space="preserve"> available</w:t>
      </w:r>
      <w:r w:rsidR="00F40CC6">
        <w:t>. This was done by</w:t>
      </w:r>
      <w:r w:rsidR="00230E9B">
        <w:t xml:space="preserve"> ordering the data (i), (ii), (iii) and selecting the first one available.  The variable </w:t>
      </w:r>
      <w:r w:rsidR="00230E9B" w:rsidRPr="00230E9B">
        <w:rPr>
          <w:i/>
        </w:rPr>
        <w:t>finresour</w:t>
      </w:r>
      <w:r w:rsidR="00230E9B">
        <w:t xml:space="preserve"> indicates the data format selected. </w:t>
      </w:r>
    </w:p>
    <w:p w14:paraId="562A36E5" w14:textId="77777777" w:rsidR="00581F60" w:rsidRDefault="00581F60"/>
    <w:p w14:paraId="2C88C19D" w14:textId="77777777" w:rsidR="00581F60" w:rsidRDefault="00581F60"/>
    <w:p w14:paraId="36EE0B21" w14:textId="553C9D0B" w:rsidR="004E599C" w:rsidRDefault="00581F60">
      <w:r>
        <w:t>ab.31/1/19</w:t>
      </w:r>
    </w:p>
    <w:p w14:paraId="652DB4A6" w14:textId="77777777" w:rsidR="004E599C" w:rsidRDefault="004E599C"/>
    <w:p w14:paraId="25781EF8" w14:textId="77777777" w:rsidR="004E599C" w:rsidRDefault="004E599C"/>
    <w:p w14:paraId="0C48E1B2" w14:textId="77777777" w:rsidR="004E599C" w:rsidRDefault="004E599C"/>
    <w:p w14:paraId="37447F99" w14:textId="77777777" w:rsidR="004E599C" w:rsidRDefault="004E599C" w:rsidP="00523D93">
      <w:pPr>
        <w:ind w:left="720" w:hanging="720"/>
      </w:pPr>
    </w:p>
    <w:p w14:paraId="59DFD178" w14:textId="77777777" w:rsidR="004E599C" w:rsidRPr="003D1950" w:rsidRDefault="004E599C"/>
    <w:sectPr w:rsidR="004E599C" w:rsidRPr="003D1950" w:rsidSect="00EF18C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40D70" w14:textId="77777777" w:rsidR="009544A5" w:rsidRDefault="009544A5" w:rsidP="00345EA6">
      <w:r>
        <w:separator/>
      </w:r>
    </w:p>
  </w:endnote>
  <w:endnote w:type="continuationSeparator" w:id="0">
    <w:p w14:paraId="03B1BD66" w14:textId="77777777" w:rsidR="009544A5" w:rsidRDefault="009544A5" w:rsidP="0034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C1EEC" w14:textId="77777777" w:rsidR="009544A5" w:rsidRDefault="009544A5" w:rsidP="00345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549C6" w14:textId="77777777" w:rsidR="009544A5" w:rsidRDefault="009544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9FFF" w14:textId="77777777" w:rsidR="009544A5" w:rsidRDefault="009544A5" w:rsidP="00345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CC6">
      <w:rPr>
        <w:rStyle w:val="PageNumber"/>
        <w:noProof/>
      </w:rPr>
      <w:t>1</w:t>
    </w:r>
    <w:r>
      <w:rPr>
        <w:rStyle w:val="PageNumber"/>
      </w:rPr>
      <w:fldChar w:fldCharType="end"/>
    </w:r>
  </w:p>
  <w:p w14:paraId="3724B724" w14:textId="77777777" w:rsidR="009544A5" w:rsidRDefault="009544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B7D73" w14:textId="77777777" w:rsidR="009544A5" w:rsidRDefault="009544A5" w:rsidP="00345EA6">
      <w:r>
        <w:separator/>
      </w:r>
    </w:p>
  </w:footnote>
  <w:footnote w:type="continuationSeparator" w:id="0">
    <w:p w14:paraId="5C90077C" w14:textId="77777777" w:rsidR="009544A5" w:rsidRDefault="009544A5" w:rsidP="00345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C6"/>
    <w:rsid w:val="000F23DA"/>
    <w:rsid w:val="00114020"/>
    <w:rsid w:val="001C2B29"/>
    <w:rsid w:val="00203357"/>
    <w:rsid w:val="002044B4"/>
    <w:rsid w:val="00216168"/>
    <w:rsid w:val="00230E9B"/>
    <w:rsid w:val="00345EA6"/>
    <w:rsid w:val="003565C6"/>
    <w:rsid w:val="0038539C"/>
    <w:rsid w:val="003958F7"/>
    <w:rsid w:val="003B0889"/>
    <w:rsid w:val="003D1950"/>
    <w:rsid w:val="003D71C3"/>
    <w:rsid w:val="004E599C"/>
    <w:rsid w:val="00523D93"/>
    <w:rsid w:val="00581F60"/>
    <w:rsid w:val="005F410E"/>
    <w:rsid w:val="006001EE"/>
    <w:rsid w:val="006A4845"/>
    <w:rsid w:val="00783713"/>
    <w:rsid w:val="007E7EC4"/>
    <w:rsid w:val="00937382"/>
    <w:rsid w:val="0094092E"/>
    <w:rsid w:val="009544A5"/>
    <w:rsid w:val="00A61F22"/>
    <w:rsid w:val="00B73297"/>
    <w:rsid w:val="00B95418"/>
    <w:rsid w:val="00BA2BDE"/>
    <w:rsid w:val="00C64613"/>
    <w:rsid w:val="00C763D0"/>
    <w:rsid w:val="00EE1E77"/>
    <w:rsid w:val="00EF18C8"/>
    <w:rsid w:val="00F045AD"/>
    <w:rsid w:val="00F40CC6"/>
    <w:rsid w:val="00FB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5E3A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3958F7"/>
    <w:rPr>
      <w:sz w:val="20"/>
      <w:szCs w:val="20"/>
      <w:lang w:val="en-US"/>
    </w:rPr>
  </w:style>
  <w:style w:type="character" w:customStyle="1" w:styleId="FootnoteTextChar">
    <w:name w:val="Footnote Text Char"/>
    <w:basedOn w:val="DefaultParagraphFont"/>
    <w:link w:val="FootnoteText"/>
    <w:uiPriority w:val="99"/>
    <w:rsid w:val="003958F7"/>
    <w:rPr>
      <w:sz w:val="20"/>
      <w:szCs w:val="20"/>
    </w:rPr>
  </w:style>
  <w:style w:type="character" w:styleId="FootnoteReference">
    <w:name w:val="footnote reference"/>
    <w:basedOn w:val="DefaultParagraphFont"/>
    <w:uiPriority w:val="99"/>
    <w:unhideWhenUsed/>
    <w:qFormat/>
    <w:rsid w:val="00937382"/>
    <w:rPr>
      <w:rFonts w:asciiTheme="minorHAnsi" w:hAnsiTheme="minorHAnsi"/>
      <w:sz w:val="24"/>
      <w:vertAlign w:val="superscript"/>
    </w:rPr>
  </w:style>
  <w:style w:type="table" w:styleId="TableGrid">
    <w:name w:val="Table Grid"/>
    <w:basedOn w:val="TableNormal"/>
    <w:uiPriority w:val="59"/>
    <w:rsid w:val="00C64613"/>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45EA6"/>
    <w:pPr>
      <w:tabs>
        <w:tab w:val="center" w:pos="4320"/>
        <w:tab w:val="right" w:pos="8640"/>
      </w:tabs>
    </w:pPr>
  </w:style>
  <w:style w:type="character" w:customStyle="1" w:styleId="FooterChar">
    <w:name w:val="Footer Char"/>
    <w:basedOn w:val="DefaultParagraphFont"/>
    <w:link w:val="Footer"/>
    <w:uiPriority w:val="99"/>
    <w:rsid w:val="00345EA6"/>
    <w:rPr>
      <w:lang w:val="en-GB"/>
    </w:rPr>
  </w:style>
  <w:style w:type="character" w:styleId="PageNumber">
    <w:name w:val="page number"/>
    <w:basedOn w:val="DefaultParagraphFont"/>
    <w:uiPriority w:val="99"/>
    <w:semiHidden/>
    <w:unhideWhenUsed/>
    <w:rsid w:val="00345EA6"/>
  </w:style>
  <w:style w:type="paragraph" w:styleId="Bibliography">
    <w:name w:val="Bibliography"/>
    <w:basedOn w:val="Normal"/>
    <w:next w:val="Normal"/>
    <w:uiPriority w:val="37"/>
    <w:unhideWhenUsed/>
    <w:rsid w:val="004E599C"/>
    <w:pPr>
      <w:spacing w:line="480" w:lineRule="auto"/>
      <w:ind w:left="720" w:hanging="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3958F7"/>
    <w:rPr>
      <w:sz w:val="20"/>
      <w:szCs w:val="20"/>
      <w:lang w:val="en-US"/>
    </w:rPr>
  </w:style>
  <w:style w:type="character" w:customStyle="1" w:styleId="FootnoteTextChar">
    <w:name w:val="Footnote Text Char"/>
    <w:basedOn w:val="DefaultParagraphFont"/>
    <w:link w:val="FootnoteText"/>
    <w:uiPriority w:val="99"/>
    <w:rsid w:val="003958F7"/>
    <w:rPr>
      <w:sz w:val="20"/>
      <w:szCs w:val="20"/>
    </w:rPr>
  </w:style>
  <w:style w:type="character" w:styleId="FootnoteReference">
    <w:name w:val="footnote reference"/>
    <w:basedOn w:val="DefaultParagraphFont"/>
    <w:uiPriority w:val="99"/>
    <w:unhideWhenUsed/>
    <w:qFormat/>
    <w:rsid w:val="00937382"/>
    <w:rPr>
      <w:rFonts w:asciiTheme="minorHAnsi" w:hAnsiTheme="minorHAnsi"/>
      <w:sz w:val="24"/>
      <w:vertAlign w:val="superscript"/>
    </w:rPr>
  </w:style>
  <w:style w:type="table" w:styleId="TableGrid">
    <w:name w:val="Table Grid"/>
    <w:basedOn w:val="TableNormal"/>
    <w:uiPriority w:val="59"/>
    <w:rsid w:val="00C64613"/>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45EA6"/>
    <w:pPr>
      <w:tabs>
        <w:tab w:val="center" w:pos="4320"/>
        <w:tab w:val="right" w:pos="8640"/>
      </w:tabs>
    </w:pPr>
  </w:style>
  <w:style w:type="character" w:customStyle="1" w:styleId="FooterChar">
    <w:name w:val="Footer Char"/>
    <w:basedOn w:val="DefaultParagraphFont"/>
    <w:link w:val="Footer"/>
    <w:uiPriority w:val="99"/>
    <w:rsid w:val="00345EA6"/>
    <w:rPr>
      <w:lang w:val="en-GB"/>
    </w:rPr>
  </w:style>
  <w:style w:type="character" w:styleId="PageNumber">
    <w:name w:val="page number"/>
    <w:basedOn w:val="DefaultParagraphFont"/>
    <w:uiPriority w:val="99"/>
    <w:semiHidden/>
    <w:unhideWhenUsed/>
    <w:rsid w:val="00345EA6"/>
  </w:style>
  <w:style w:type="paragraph" w:styleId="Bibliography">
    <w:name w:val="Bibliography"/>
    <w:basedOn w:val="Normal"/>
    <w:next w:val="Normal"/>
    <w:uiPriority w:val="37"/>
    <w:unhideWhenUsed/>
    <w:rsid w:val="004E599C"/>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217E-2017-2044-A4FE-034A84E6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1343</Words>
  <Characters>7656</Characters>
  <Application>Microsoft Macintosh Word</Application>
  <DocSecurity>0</DocSecurity>
  <Lines>63</Lines>
  <Paragraphs>17</Paragraphs>
  <ScaleCrop>false</ScaleCrop>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barrientos</dc:creator>
  <cp:keywords/>
  <dc:description/>
  <cp:lastModifiedBy>armando barrientos</cp:lastModifiedBy>
  <cp:revision>17</cp:revision>
  <dcterms:created xsi:type="dcterms:W3CDTF">2019-01-25T15:13:00Z</dcterms:created>
  <dcterms:modified xsi:type="dcterms:W3CDTF">2019-01-31T12:41:00Z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id="1WZRlltw"/&gt;&lt;style id="http://www.zotero.org/styles/journal-of-development-studies" hasBibliography="1" bibliographyStyleHasBeenSet="1"/&gt;&lt;prefs&gt;&lt;pref name="fieldType" value="Field"/&gt;&lt;/prefs&gt;&lt;/data</vt:lpwstr>
  </property>
  <property fmtid="{D5CDD505-2E9C-101B-9397-08002B2CF9AE}" pid="3" name="ZOTERO_PREF_2">
    <vt:lpwstr>&gt;</vt:lpwstr>
  </property>
</Properties>
</file>