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119B" w:rsidRDefault="00626283">
      <w:r w:rsidRPr="00626283">
        <w:t xml:space="preserve">A mixed methods approach was used for the project. In this section we outline the process of selecting the samples for both quantitative and qualitative data collection; and the data collection process. </w:t>
      </w:r>
      <w:r w:rsidRPr="00626283">
        <w:cr/>
        <w:t xml:space="preserve"> </w:t>
      </w:r>
      <w:r w:rsidRPr="00626283">
        <w:cr/>
        <w:t xml:space="preserve"> 1) Quantitative data collection</w:t>
      </w:r>
      <w:r w:rsidRPr="00626283">
        <w:cr/>
        <w:t xml:space="preserve"> 1.1) School sampling for quantitative data collection in 60/61 schools: </w:t>
      </w:r>
      <w:r w:rsidRPr="00626283">
        <w:cr/>
        <w:t xml:space="preserve"> The first objective of the project, identifying the number of exceptional rural and township primary schools in South Africa, motivated the use of a purposeful school sampling approach. </w:t>
      </w:r>
      <w:r w:rsidRPr="00626283">
        <w:cr/>
        <w:t xml:space="preserve"> </w:t>
      </w:r>
      <w:r w:rsidRPr="00626283">
        <w:cr/>
        <w:t xml:space="preserve"> We engaged in an intensive search to identify the 30 best possible high-performing no-fee schools in three provinces (KwaZulu-Natal, Gauteng and Limpopo). The three provinces are chosen to represent distinct levels of administrative functionality: Gauteng (a highly functional administration), KwaZulu-Natal (medium functionality) and Limpopo (low functionality).</w:t>
      </w:r>
      <w:r w:rsidRPr="00626283">
        <w:cr/>
        <w:t xml:space="preserve"> </w:t>
      </w:r>
      <w:r w:rsidRPr="00626283">
        <w:cr/>
        <w:t xml:space="preserve"> This search process (described in detail in Wills (2017)) relied on identifying top performing schools in system-wide low stakes testing data – namely the Annual National Assessments - corroborated against a large dataset we collected of recommended ‘good’ schools from a host of sources (district officials, school principals and administrative clerks, education related NGOs, unions, other stakeholders, secondary schools performing well in the school-leaving certificate). Then 30 lower performing schools located in similar geographic locations as the higher performing pairs were included in the sample. The schools were also selected based on either their language of instruction or the dominant student language in the school being Zulu, Sepedi or Xitsonga. (Please see Wills 2017 for a fuller discussion of why each of the schools was selected for the sample).</w:t>
      </w:r>
      <w:r w:rsidRPr="00626283">
        <w:cr/>
        <w:t xml:space="preserve"> </w:t>
      </w:r>
      <w:r w:rsidRPr="00626283">
        <w:cr/>
        <w:t xml:space="preserve"> At project onset, a mixed methods approach with a matched pairs design was envisaged. Each outlier school is paired with a nearby typical or under-performing school. The matched pairs approach assumes that given a similar geographical position each school should share similar socioeconomic characteristics and cultural/political/local dynamics. This largely supports the qualitative component of the project. By making comparisons across high-performing and low-performing schools one can factor out the influence of some unobserved characteristic on the findings. However, the first challenge in establishing a set of schools to visit was to identify the outlier school pairs. This intention informed the purposive school sampling approach. </w:t>
      </w:r>
      <w:r w:rsidRPr="00626283">
        <w:cr/>
        <w:t xml:space="preserve"> </w:t>
      </w:r>
      <w:r w:rsidRPr="00626283">
        <w:cr/>
        <w:t xml:space="preserve"> The purposeful sampling approach was also hypothesised to aid the detection of leadership effects, in estimating the relationship between management and leadership indicators collected in our study and literacy outcomes. A possible reason cited in the international literature for the identification of weak associations between school management and leadership and student learning is that study samples selected lack variation in both student learning and SLM practices. The 60 schools were purposively selected to artificially add as much student performance variation as possibly exists in the available sampling frame of public schools reaching poorer student populations in three provinces. </w:t>
      </w:r>
      <w:r w:rsidRPr="00626283">
        <w:cr/>
        <w:t xml:space="preserve"> </w:t>
      </w:r>
      <w:r w:rsidRPr="00626283">
        <w:cr/>
        <w:t xml:space="preserve"> It must be noted that in February/March 2017 we surveyed 61 schools (30 high performing pairs matched to 30 low performing pairs and 1 additional higher performing school). In October/November 2017, 1 school refused to be surveyed in October, leading to a final pre- and post-test sample of 60 schools. </w:t>
      </w:r>
      <w:r w:rsidRPr="00626283">
        <w:cr/>
        <w:t xml:space="preserve"> </w:t>
      </w:r>
      <w:r w:rsidRPr="00626283">
        <w:cr/>
        <w:t xml:space="preserve"> 1.2)</w:t>
      </w:r>
      <w:r w:rsidRPr="00626283">
        <w:tab/>
        <w:t xml:space="preserve">Literacy assessments and student sampling </w:t>
      </w:r>
      <w:r w:rsidRPr="00626283">
        <w:cr/>
      </w:r>
      <w:r w:rsidRPr="00626283">
        <w:lastRenderedPageBreak/>
        <w:t xml:space="preserve"> Pre-test literacy and reading scores for grade 3 and grade 6 learners were obtained at the beginning (February/March) of the 2017 year in 61 schools. This process was necessary to verify the quality of the selected schools and to select case-study schools for the qualitative work. The same tests were administered again at the end of year to (October/November) of the same year to obtain post-test scores for students. In this respect we have a panel of assessment data for grade 3 and grade 6 learners. </w:t>
      </w:r>
      <w:r w:rsidRPr="00626283">
        <w:cr/>
        <w:t xml:space="preserve"> </w:t>
      </w:r>
      <w:r w:rsidRPr="00626283">
        <w:cr/>
        <w:t xml:space="preserve"> 1.2.1) Grade 6 literacy data </w:t>
      </w:r>
      <w:r w:rsidRPr="00626283">
        <w:cr/>
        <w:t xml:space="preserve"> The grade 6 English literacy test consisted of a written silent reading comprehension test and written vocabulary test administered to one entire class of grade 6 students in each school (unless opt-out forms were returned by the learners to the school). Of the original pre-test sample of 2 656 students, 2 379 wrote the post-test, indicating a low attrition rate of 11%. The two comprehension tests consisted of released items from previous rounds of the grade 4 PIRLS assessment. Permission was received from the IEA for their use. The reliability of these assessments is reflected in a high correlation between pre-test and post-test </w:t>
      </w:r>
      <w:proofErr w:type="gramStart"/>
      <w:r w:rsidRPr="00626283">
        <w:t>scores .</w:t>
      </w:r>
      <w:proofErr w:type="gramEnd"/>
      <w:r w:rsidRPr="00626283">
        <w:t xml:space="preserve"> </w:t>
      </w:r>
      <w:r w:rsidRPr="00626283">
        <w:cr/>
        <w:t xml:space="preserve"> </w:t>
      </w:r>
      <w:r w:rsidRPr="00626283">
        <w:cr/>
        <w:t xml:space="preserve"> Additionally, pre- and post-test English one-on-one assessments including Oral Reading Fluency (ORF) are available for 599 grade 6 students. The grade 6 learners tested one-on-one are a sub-sample of the classes completing the written assessment. Specifically, fieldworkers administered oral one-on-one assessments to 2 of the grade 6 teachers’ best identified learners and then a random sample of an additional 8 to 10 students from the same class list. ORF tests in African language were also administered to these students but only at the end of the year. </w:t>
      </w:r>
      <w:r w:rsidRPr="00626283">
        <w:cr/>
        <w:t xml:space="preserve"> </w:t>
      </w:r>
      <w:r w:rsidRPr="00626283">
        <w:cr/>
        <w:t xml:space="preserve"> All one-on-one assessments were administered on tablets using Tangerine software, developed by RTI. The assessments were typically conducted in a quiet room to prevent distractions during the assessment. </w:t>
      </w:r>
      <w:r w:rsidRPr="00626283">
        <w:cr/>
        <w:t xml:space="preserve"> </w:t>
      </w:r>
      <w:r w:rsidRPr="00626283">
        <w:cr/>
        <w:t xml:space="preserve"> 1.2.2)</w:t>
      </w:r>
      <w:r w:rsidRPr="00626283">
        <w:tab/>
        <w:t xml:space="preserve">Grade 3 literacy data </w:t>
      </w:r>
      <w:r w:rsidRPr="00626283">
        <w:cr/>
        <w:t xml:space="preserve"> At the grade 3 level, a battery of literacy and reading tests – in English and African language (Sepedi, Xitsonga or Sepedi) - were administered. Pre- and post-test scores are available for 631 grade 3 students. The random selection of the Grade 3 students within each school for one-on-one assessments was executed as follows (and follows the same procedure as for the grade 6 one-one-one assessment sampling). First, the teacher was asked to select her top two learners. The fieldworker then randomly selected from the class list a further 8 or more learners to test. In some schools, the fieldworkers were not able to complete the full number of learner assessments as required. </w:t>
      </w:r>
      <w:r w:rsidRPr="00626283">
        <w:cr/>
        <w:t xml:space="preserve"> </w:t>
      </w:r>
      <w:r w:rsidRPr="00626283">
        <w:cr/>
        <w:t xml:space="preserve"> 1.3).</w:t>
      </w:r>
      <w:r w:rsidRPr="00626283">
        <w:tab/>
      </w:r>
      <w:proofErr w:type="gramStart"/>
      <w:r w:rsidRPr="00626283">
        <w:t>An</w:t>
      </w:r>
      <w:proofErr w:type="gramEnd"/>
      <w:r w:rsidRPr="00626283">
        <w:t xml:space="preserve"> overview of the contextual and school leadership and management related instruments and related data collection: </w:t>
      </w:r>
      <w:r w:rsidRPr="00626283">
        <w:cr/>
        <w:t xml:space="preserve"> In addition to the learner assessment data, a host of instruments were administered to collect contextual and background information on schools, students and teachers. </w:t>
      </w:r>
      <w:r w:rsidRPr="00626283">
        <w:cr/>
        <w:t xml:space="preserve"> </w:t>
      </w:r>
      <w:r w:rsidRPr="00626283">
        <w:cr/>
        <w:t xml:space="preserve"> Many of these instruments were designed with the intention of collecting information to quantify school leadership and management processes and practices in schools. The finalised SLM questions, which were distributed across 6 different instruments, were only administered in October. The majority of the February/March instruments were treated as pilot instruments used to explore whether questions provided any useful management information. The questions were completely changed for October/November data collection, with closer alignment to our “leadership for literacy </w:t>
      </w:r>
      <w:r w:rsidRPr="00626283">
        <w:lastRenderedPageBreak/>
        <w:t xml:space="preserve">theoretical framework” so that most variables related to these other instruments are not ‘longitudinal’ in nature. </w:t>
      </w:r>
      <w:r w:rsidRPr="00626283">
        <w:cr/>
        <w:t xml:space="preserve"> </w:t>
      </w:r>
      <w:r w:rsidRPr="00626283">
        <w:cr/>
        <w:t xml:space="preserve"> Many of the October instrument questions are specifically included to provide information to score schools in terms of their SLM practices. Wills and van der Berg (2018) and Taylor, Wills and </w:t>
      </w:r>
      <w:proofErr w:type="spellStart"/>
      <w:r w:rsidRPr="00626283">
        <w:t>Hoadley</w:t>
      </w:r>
      <w:proofErr w:type="spellEnd"/>
      <w:r w:rsidRPr="00626283">
        <w:t xml:space="preserve"> (2018) provide a description of the instrument development and item writing process which was strongly underpinned by a leadership for literacy theoretical framework commissioned for this study (see </w:t>
      </w:r>
      <w:proofErr w:type="spellStart"/>
      <w:r w:rsidRPr="00626283">
        <w:t>Hoadley</w:t>
      </w:r>
      <w:proofErr w:type="spellEnd"/>
      <w:r w:rsidRPr="00626283">
        <w:t xml:space="preserve"> 2018). </w:t>
      </w:r>
      <w:r w:rsidRPr="00626283">
        <w:cr/>
        <w:t xml:space="preserve"> </w:t>
      </w:r>
      <w:r w:rsidRPr="00626283">
        <w:cr/>
        <w:t xml:space="preserve"> In the user manual, Table 10 (Contextual and school leadership and management instruments administered) provides an overview of all filenames for relevant contextual instruments, when they were collected, related instruments and codebooks. </w:t>
      </w:r>
      <w:r w:rsidRPr="00626283">
        <w:cr/>
        <w:t xml:space="preserve"> </w:t>
      </w:r>
      <w:r w:rsidRPr="00626283">
        <w:cr/>
        <w:t xml:space="preserve"> Data for Contextual instruments were collected via paper-based surveys and/or directly inputted into tangerine. Where paper-based surveys were used, latex was used to electronically capture data from scanned paper based instruments using optical recognition software. Open-ended questions however were manually captured and then collated together with the electronically obtained close-ended response data. </w:t>
      </w:r>
      <w:r w:rsidRPr="00626283">
        <w:cr/>
        <w:t xml:space="preserve"> </w:t>
      </w:r>
      <w:r w:rsidRPr="00626283">
        <w:cr/>
        <w:t xml:space="preserve"> 1.4) Training: </w:t>
      </w:r>
      <w:r w:rsidRPr="00626283">
        <w:cr/>
        <w:t xml:space="preserve"> All fieldworkers were trained on the instruments and using Tangerine software for 4 days before each of the data collection periods (February/March and October/November). One of the training days involved all fieldworkers conducting simulations in real school settings - interviewing teachers, principals, </w:t>
      </w:r>
      <w:proofErr w:type="gramStart"/>
      <w:r w:rsidRPr="00626283">
        <w:t>deputy</w:t>
      </w:r>
      <w:proofErr w:type="gramEnd"/>
      <w:r w:rsidRPr="00626283">
        <w:t xml:space="preserve"> principals and testing children using Tangerine. </w:t>
      </w:r>
      <w:r w:rsidRPr="00626283">
        <w:cr/>
        <w:t xml:space="preserve"> </w:t>
      </w:r>
      <w:r w:rsidRPr="00626283">
        <w:cr/>
        <w:t xml:space="preserve"> 1.5) Permissions and consent: </w:t>
      </w:r>
      <w:r w:rsidRPr="00626283">
        <w:cr/>
        <w:t xml:space="preserve"> Permission was obtained to collect data in schools from the National Department of Basic Education, the three relevant Provincial Education Departments (KwaZulu-Natal, Limpopo, Gauteng) and principals of each school. </w:t>
      </w:r>
      <w:r w:rsidRPr="00626283">
        <w:cr/>
        <w:t xml:space="preserve"> </w:t>
      </w:r>
      <w:r w:rsidRPr="00626283">
        <w:cr/>
        <w:t xml:space="preserve"> Signed consent was obtained from teachers or school managers before commencing with interviews. </w:t>
      </w:r>
      <w:r w:rsidRPr="00626283">
        <w:cr/>
        <w:t xml:space="preserve"> </w:t>
      </w:r>
      <w:r w:rsidRPr="00626283">
        <w:cr/>
        <w:t xml:space="preserve"> Consent for testing was obtained from children. Opt-out letter were also sent to schools to give to students parents prior to data collection teams arriving at schools. </w:t>
      </w:r>
      <w:r w:rsidRPr="00626283">
        <w:cr/>
        <w:t xml:space="preserve"> </w:t>
      </w:r>
      <w:r w:rsidRPr="00626283">
        <w:cr/>
        <w:t xml:space="preserve"> 1.6) Data collection in school </w:t>
      </w:r>
      <w:r w:rsidRPr="00626283">
        <w:cr/>
        <w:t xml:space="preserve"> To minimise disruption of schooling, a team of 3 data collectors was sent into each school for a maximum of 1 to 1.5 days at each of the two data collection periods. One fieldworker was dedicated to grade 3 assessment, another fieldworker to grade 6 assessments and the third fieldworker to collecting contextual data and conducting interviews with teachers or school managers/leaders. </w:t>
      </w:r>
      <w:r w:rsidRPr="00626283">
        <w:cr/>
        <w:t xml:space="preserve"> </w:t>
      </w:r>
      <w:r w:rsidRPr="00626283">
        <w:cr/>
        <w:t xml:space="preserve"> 2) Case Studies</w:t>
      </w:r>
      <w:r w:rsidRPr="00626283">
        <w:cr/>
        <w:t xml:space="preserve"> 2.1) Overview </w:t>
      </w:r>
      <w:r w:rsidRPr="00626283">
        <w:cr/>
        <w:t xml:space="preserve"> As part of the broader mixed methods study, a key objective was to gain new insights into school leadership and management practices in high achieving schools relative to average or low-achieving schools in challenging contexts. The selection of 8 case study schools was central to achieving this objective. A link to the synthesis report on the case study findings is provided in: </w:t>
      </w:r>
      <w:r w:rsidRPr="00626283">
        <w:cr/>
      </w:r>
      <w:r w:rsidRPr="00626283">
        <w:lastRenderedPageBreak/>
        <w:t xml:space="preserve"> Taylor, N. and </w:t>
      </w:r>
      <w:proofErr w:type="spellStart"/>
      <w:r w:rsidRPr="00626283">
        <w:t>Hoadley</w:t>
      </w:r>
      <w:proofErr w:type="spellEnd"/>
      <w:r w:rsidRPr="00626283">
        <w:t xml:space="preserve">, U. (2018) Leadership for Literacy: Exploring leadership practices in township and rural primary schools serving poor communities in South Africa. Final Report on the Case Study Schools. RESEP Report. </w:t>
      </w:r>
      <w:r w:rsidRPr="00626283">
        <w:cr/>
        <w:t xml:space="preserve"> http://resep.sun.ac.za/leadership-for-literacy-final-report-on-the-case-study-schools/</w:t>
      </w:r>
      <w:r w:rsidRPr="00626283">
        <w:cr/>
        <w:t xml:space="preserve"> </w:t>
      </w:r>
      <w:r w:rsidRPr="00626283">
        <w:cr/>
        <w:t xml:space="preserve"> However, a wider team of qualitative and quantitative specialists completed individual case study reports for the selected 8 schools. These reports are anonymised and released with the following filenames as reflected in the table below. School pairs are represented by the letters A, B, C, </w:t>
      </w:r>
      <w:proofErr w:type="gramStart"/>
      <w:r w:rsidRPr="00626283">
        <w:t>D</w:t>
      </w:r>
      <w:proofErr w:type="gramEnd"/>
      <w:r w:rsidRPr="00626283">
        <w:t xml:space="preserve"> while the suffix H indicates that the school was the higher performing pair and L indicates that it was a lower performing pair. </w:t>
      </w:r>
      <w:r w:rsidRPr="00626283">
        <w:cr/>
        <w:t xml:space="preserve"> </w:t>
      </w:r>
      <w:r w:rsidRPr="00626283">
        <w:cr/>
        <w:t xml:space="preserve"> 2.2)</w:t>
      </w:r>
      <w:r w:rsidRPr="00626283">
        <w:tab/>
        <w:t xml:space="preserve">Sampling </w:t>
      </w:r>
      <w:r w:rsidRPr="00626283">
        <w:cr/>
        <w:t xml:space="preserve"> A matched pairs design guided the selection of case study schools. Four higher achieving schools were selected from the larger 60 school sample if they exhibited higher grade 6 literacy performance scores when measured at the medium and this performance exceeded expectations in terms of the socio-economic status level of the learners in the grade 6 sampled class. </w:t>
      </w:r>
      <w:r w:rsidRPr="00626283">
        <w:cr/>
        <w:t xml:space="preserve"> Two main factors determined the choice of lower performing matched pairs:</w:t>
      </w:r>
      <w:r w:rsidRPr="00626283">
        <w:cr/>
        <w:t xml:space="preserve"> a) Performance of the matched school in grade 6 literacy and at least one grade 3 language (English or African language) must be sufficiently below the performance of the outlier, again using the median class performance as the measure. </w:t>
      </w:r>
      <w:r w:rsidRPr="00626283">
        <w:cr/>
        <w:t xml:space="preserve"> b) There had to be enough overlap in the socio-economic status of the grade 6 class tested with the socio-economic status of grade 6 learners in the higher achieving pair. </w:t>
      </w:r>
      <w:r w:rsidRPr="00626283">
        <w:cr/>
        <w:t xml:space="preserve"> The matched pair preferably was chosen to have lower grade 3 performance in African and English language but this was not always possible. </w:t>
      </w:r>
      <w:r w:rsidRPr="00626283">
        <w:cr/>
        <w:t xml:space="preserve"> </w:t>
      </w:r>
      <w:r w:rsidRPr="00626283">
        <w:cr/>
        <w:t xml:space="preserve"> 2.3) </w:t>
      </w:r>
      <w:bookmarkStart w:id="0" w:name="_GoBack"/>
      <w:r w:rsidRPr="00626283">
        <w:t>Qualitative data collection (in-depth interviews)</w:t>
      </w:r>
      <w:r w:rsidRPr="00626283">
        <w:cr/>
        <w:t xml:space="preserve"> A team of 2 qualitative researchers spent three days in each of the 8 schools, conducting interviews with the principal, deputy principal, heads of department of various grade phases, as well grade 3 and grade 6 teachers. They also conducted detailed assessments of the literacy resources in schools and general observations of the school environments.</w:t>
      </w:r>
      <w:bookmarkEnd w:id="0"/>
      <w:r w:rsidRPr="00626283">
        <w:t xml:space="preserve"> This took place in the middle of the school year (June/July) in each school.</w:t>
      </w:r>
    </w:p>
    <w:sectPr w:rsidR="00F2119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D7106"/>
    <w:rsid w:val="002D7106"/>
    <w:rsid w:val="00626283"/>
    <w:rsid w:val="007B02F0"/>
    <w:rsid w:val="00F211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FADBCD3-C059-4BED-A8EE-005CBF43B1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28</TotalTime>
  <Pages>4</Pages>
  <Words>1832</Words>
  <Characters>10448</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12256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 Anca D</dc:creator>
  <cp:keywords/>
  <dc:description/>
  <cp:lastModifiedBy>Vlad, Anca D</cp:lastModifiedBy>
  <cp:revision>2</cp:revision>
  <dcterms:created xsi:type="dcterms:W3CDTF">2019-07-26T13:42:00Z</dcterms:created>
  <dcterms:modified xsi:type="dcterms:W3CDTF">2019-07-26T14:10:00Z</dcterms:modified>
</cp:coreProperties>
</file>