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092D8" w14:textId="77777777" w:rsidR="00D01EF7" w:rsidRDefault="00D01EF7" w:rsidP="001F2AA2">
      <w:pPr>
        <w:spacing w:after="0"/>
        <w:jc w:val="both"/>
        <w:rPr>
          <w:b/>
        </w:rPr>
      </w:pPr>
      <w:r>
        <w:rPr>
          <w:b/>
        </w:rPr>
        <w:t>Award: ESRC Centre for Climate Change Economics and Policy</w:t>
      </w:r>
    </w:p>
    <w:p w14:paraId="2E3E35DF" w14:textId="3B05352D" w:rsidR="00D01EF7" w:rsidRDefault="00D01EF7" w:rsidP="001F2AA2">
      <w:pPr>
        <w:spacing w:after="0"/>
        <w:jc w:val="both"/>
        <w:rPr>
          <w:b/>
        </w:rPr>
      </w:pPr>
      <w:r>
        <w:rPr>
          <w:b/>
        </w:rPr>
        <w:t xml:space="preserve">Project: </w:t>
      </w:r>
      <w:r w:rsidR="001E30B6" w:rsidRPr="001E30B6">
        <w:rPr>
          <w:b/>
        </w:rPr>
        <w:t>Enabling carbon markets: efficient carbon trading systems and finance</w:t>
      </w:r>
      <w:r w:rsidR="001E30B6">
        <w:rPr>
          <w:b/>
        </w:rPr>
        <w:t xml:space="preserve"> (CCCEP Phase 1</w:t>
      </w:r>
      <w:r w:rsidR="00E8495C">
        <w:rPr>
          <w:b/>
        </w:rPr>
        <w:t>)</w:t>
      </w:r>
    </w:p>
    <w:p w14:paraId="23A577D7" w14:textId="18781D87" w:rsidR="00D01EF7" w:rsidRDefault="00316313" w:rsidP="001F2AA2">
      <w:pPr>
        <w:spacing w:after="0"/>
        <w:jc w:val="both"/>
        <w:rPr>
          <w:b/>
        </w:rPr>
      </w:pPr>
      <w:r>
        <w:rPr>
          <w:b/>
        </w:rPr>
        <w:t xml:space="preserve">Project lead: </w:t>
      </w:r>
      <w:r w:rsidR="001E30B6" w:rsidRPr="001E30B6">
        <w:rPr>
          <w:b/>
        </w:rPr>
        <w:t>Pau</w:t>
      </w:r>
      <w:r w:rsidR="001E30B6">
        <w:rPr>
          <w:b/>
        </w:rPr>
        <w:t xml:space="preserve">line </w:t>
      </w:r>
      <w:proofErr w:type="spellStart"/>
      <w:r w:rsidR="001E30B6">
        <w:rPr>
          <w:b/>
        </w:rPr>
        <w:t>Barrieu</w:t>
      </w:r>
      <w:proofErr w:type="spellEnd"/>
      <w:r w:rsidR="001E30B6">
        <w:rPr>
          <w:b/>
        </w:rPr>
        <w:t xml:space="preserve">, Samuel </w:t>
      </w:r>
      <w:proofErr w:type="spellStart"/>
      <w:r w:rsidR="001E30B6">
        <w:rPr>
          <w:b/>
        </w:rPr>
        <w:t>Fankhauser</w:t>
      </w:r>
      <w:proofErr w:type="spellEnd"/>
      <w:r w:rsidR="001E30B6">
        <w:rPr>
          <w:b/>
        </w:rPr>
        <w:t xml:space="preserve">, </w:t>
      </w:r>
      <w:proofErr w:type="spellStart"/>
      <w:proofErr w:type="gramStart"/>
      <w:r w:rsidR="001E30B6" w:rsidRPr="001E30B6">
        <w:rPr>
          <w:b/>
        </w:rPr>
        <w:t>Umut</w:t>
      </w:r>
      <w:proofErr w:type="spellEnd"/>
      <w:proofErr w:type="gramEnd"/>
      <w:r w:rsidR="001E30B6" w:rsidRPr="001E30B6">
        <w:rPr>
          <w:b/>
        </w:rPr>
        <w:t xml:space="preserve"> Cetin</w:t>
      </w:r>
    </w:p>
    <w:p w14:paraId="1DF3460E" w14:textId="77777777" w:rsidR="00D01EF7" w:rsidRPr="00D01EF7" w:rsidRDefault="00D01EF7" w:rsidP="001F2AA2">
      <w:pPr>
        <w:spacing w:after="0"/>
        <w:jc w:val="both"/>
      </w:pPr>
      <w:r>
        <w:rPr>
          <w:b/>
        </w:rPr>
        <w:t xml:space="preserve">Contact: </w:t>
      </w:r>
      <w:hyperlink r:id="rId8" w:history="1">
        <w:r w:rsidRPr="00D01EF7">
          <w:rPr>
            <w:rStyle w:val="Hyperlink"/>
          </w:rPr>
          <w:t>gri@lse.ac.uk</w:t>
        </w:r>
      </w:hyperlink>
    </w:p>
    <w:p w14:paraId="18D33D7D" w14:textId="77777777" w:rsidR="001F2AA2" w:rsidRDefault="001F2AA2" w:rsidP="001F2AA2">
      <w:pPr>
        <w:spacing w:after="0"/>
        <w:jc w:val="both"/>
        <w:rPr>
          <w:b/>
        </w:rPr>
      </w:pPr>
    </w:p>
    <w:p w14:paraId="7AEA92F0" w14:textId="77777777" w:rsidR="00A9382A" w:rsidRDefault="00D01EF7" w:rsidP="001F2AA2">
      <w:pPr>
        <w:spacing w:after="0"/>
        <w:jc w:val="both"/>
        <w:rPr>
          <w:b/>
        </w:rPr>
      </w:pPr>
      <w:r>
        <w:rPr>
          <w:b/>
        </w:rPr>
        <w:t>Overview of project aims</w:t>
      </w:r>
    </w:p>
    <w:p w14:paraId="544A495E" w14:textId="77777777" w:rsidR="00316313" w:rsidRDefault="00316313" w:rsidP="001F2AA2">
      <w:pPr>
        <w:spacing w:after="0"/>
        <w:jc w:val="both"/>
      </w:pPr>
    </w:p>
    <w:p w14:paraId="52946777" w14:textId="6A161EE2" w:rsidR="001E30B6" w:rsidRDefault="001E30B6" w:rsidP="001E30B6">
      <w:pPr>
        <w:spacing w:after="0"/>
        <w:jc w:val="both"/>
      </w:pPr>
      <w:r w:rsidRPr="001E30B6">
        <w:t>This project looks at changes in carbon markets and emissions trading in more detail, and the way that their future evolution might help to promote efficient, effective markets for the post-2012 period.</w:t>
      </w:r>
      <w:r>
        <w:t xml:space="preserve"> Also</w:t>
      </w:r>
      <w:r w:rsidRPr="001E30B6">
        <w:t>, it seeks to improve the prospects for market-based approaches to climate change mitigation.</w:t>
      </w:r>
    </w:p>
    <w:p w14:paraId="5D5E1852" w14:textId="77777777" w:rsidR="001F2AA2" w:rsidRDefault="001F2AA2" w:rsidP="001F2AA2">
      <w:pPr>
        <w:spacing w:after="0"/>
        <w:jc w:val="both"/>
        <w:rPr>
          <w:b/>
        </w:rPr>
      </w:pPr>
    </w:p>
    <w:p w14:paraId="7DD7DDA6" w14:textId="77777777" w:rsidR="00D01EF7" w:rsidRDefault="00D01EF7" w:rsidP="001F2AA2">
      <w:pPr>
        <w:spacing w:after="0"/>
        <w:jc w:val="both"/>
        <w:rPr>
          <w:b/>
        </w:rPr>
      </w:pPr>
      <w:r>
        <w:rPr>
          <w:b/>
        </w:rPr>
        <w:t>Overview of data</w:t>
      </w:r>
    </w:p>
    <w:p w14:paraId="5D5F1DAB" w14:textId="73F915A9" w:rsidR="00D01EF7" w:rsidRDefault="00864018" w:rsidP="001F2AA2">
      <w:pPr>
        <w:pStyle w:val="ListParagraph"/>
        <w:numPr>
          <w:ilvl w:val="0"/>
          <w:numId w:val="1"/>
        </w:numPr>
        <w:spacing w:after="0"/>
        <w:jc w:val="both"/>
      </w:pPr>
      <w:r>
        <w:t xml:space="preserve">Practically the entirety of the </w:t>
      </w:r>
      <w:r w:rsidR="00D01EF7">
        <w:t xml:space="preserve">research in this project has been </w:t>
      </w:r>
      <w:r w:rsidR="004002CC">
        <w:t>based on theoretical models</w:t>
      </w:r>
      <w:r w:rsidR="00D01EF7">
        <w:t xml:space="preserve"> and has therefore not produced any data to be archived.</w:t>
      </w:r>
    </w:p>
    <w:p w14:paraId="6707F21B" w14:textId="36DFEAC6" w:rsidR="00A70D2F" w:rsidRDefault="00A70D2F" w:rsidP="00FC673E">
      <w:pPr>
        <w:pStyle w:val="ListParagraph"/>
        <w:numPr>
          <w:ilvl w:val="0"/>
          <w:numId w:val="1"/>
        </w:numPr>
        <w:spacing w:after="0"/>
        <w:jc w:val="both"/>
      </w:pPr>
      <w:r>
        <w:t xml:space="preserve">Paper 4 is a mostly theoretical paper, which includes one table with illustrative simulations. The </w:t>
      </w:r>
      <w:proofErr w:type="spellStart"/>
      <w:r>
        <w:t>spreadsheet</w:t>
      </w:r>
      <w:proofErr w:type="spellEnd"/>
      <w:r>
        <w:t xml:space="preserve"> containing those simulations is included in this submission.</w:t>
      </w:r>
    </w:p>
    <w:p w14:paraId="5EF1F20F" w14:textId="04B5BB9D" w:rsidR="00CA18BA" w:rsidRDefault="00CA18BA" w:rsidP="00FC673E">
      <w:pPr>
        <w:pStyle w:val="ListParagraph"/>
        <w:numPr>
          <w:ilvl w:val="0"/>
          <w:numId w:val="1"/>
        </w:numPr>
        <w:spacing w:after="0"/>
        <w:jc w:val="both"/>
      </w:pPr>
      <w:r>
        <w:t xml:space="preserve">Paper 5 </w:t>
      </w:r>
      <w:bookmarkStart w:id="0" w:name="_GoBack"/>
      <w:bookmarkEnd w:id="0"/>
      <w:r>
        <w:t xml:space="preserve">has used various proprietary data </w:t>
      </w:r>
      <w:r w:rsidRPr="00CA18BA">
        <w:t>sources covering 15 world regions and 17 sectors POLES for energy emissions, IIASA for forestry emissions and IMAGE for non-CO2 emissions</w:t>
      </w:r>
      <w:r w:rsidR="00B348A4">
        <w:t xml:space="preserve">. IIASA data is available at </w:t>
      </w:r>
      <w:hyperlink r:id="rId9" w:history="1">
        <w:r w:rsidR="00B348A4" w:rsidRPr="00E12096">
          <w:rPr>
            <w:rStyle w:val="Hyperlink"/>
          </w:rPr>
          <w:t>https://tntcat.iiasa.ac.at/SspDb/dsd?Action=htmlpage&amp;page=about</w:t>
        </w:r>
      </w:hyperlink>
      <w:r w:rsidR="00B348A4">
        <w:t xml:space="preserve"> and </w:t>
      </w:r>
      <w:r w:rsidR="00FC673E">
        <w:t xml:space="preserve">IMAGE data can be downloaded at </w:t>
      </w:r>
      <w:hyperlink r:id="rId10" w:history="1">
        <w:r w:rsidR="00FC673E" w:rsidRPr="00E12096">
          <w:rPr>
            <w:rStyle w:val="Hyperlink"/>
          </w:rPr>
          <w:t>http://models.pbl.nl/image/index.php/Download</w:t>
        </w:r>
      </w:hyperlink>
      <w:r w:rsidRPr="00CA18BA">
        <w:t xml:space="preserve"> </w:t>
      </w:r>
    </w:p>
    <w:p w14:paraId="0C0DE48C" w14:textId="4AB0AB8D" w:rsidR="00FC673E" w:rsidRDefault="00FC673E" w:rsidP="001F2AA2">
      <w:pPr>
        <w:pStyle w:val="ListParagraph"/>
        <w:numPr>
          <w:ilvl w:val="0"/>
          <w:numId w:val="1"/>
        </w:numPr>
        <w:spacing w:after="0"/>
        <w:jc w:val="both"/>
      </w:pPr>
      <w:r>
        <w:t>Paper 12</w:t>
      </w:r>
      <w:r w:rsidR="00673162">
        <w:t xml:space="preserve"> </w:t>
      </w:r>
      <w:r w:rsidR="00520E89">
        <w:t xml:space="preserve">has </w:t>
      </w:r>
      <w:r>
        <w:t xml:space="preserve">generated data in a laboratory experiment. The Appendix of the paper provides a detailed explanation of how data was generated and used. </w:t>
      </w:r>
    </w:p>
    <w:p w14:paraId="12545470" w14:textId="6E200B64" w:rsidR="00520E89" w:rsidRDefault="00673162" w:rsidP="00520E89">
      <w:pPr>
        <w:pStyle w:val="ListParagraph"/>
        <w:numPr>
          <w:ilvl w:val="0"/>
          <w:numId w:val="1"/>
        </w:numPr>
        <w:spacing w:after="0"/>
        <w:jc w:val="both"/>
      </w:pPr>
      <w:r>
        <w:t xml:space="preserve">Paper </w:t>
      </w:r>
      <w:r w:rsidR="00FC673E">
        <w:t>13</w:t>
      </w:r>
      <w:r w:rsidR="008641AC">
        <w:t xml:space="preserve"> </w:t>
      </w:r>
      <w:r w:rsidR="00FC673E">
        <w:t>has</w:t>
      </w:r>
      <w:r w:rsidR="008641AC">
        <w:t xml:space="preserve"> used </w:t>
      </w:r>
      <w:r w:rsidR="00C612D9">
        <w:t>data on agricultural profits, labour, fertiliser, fuel costs</w:t>
      </w:r>
      <w:proofErr w:type="gramStart"/>
      <w:r w:rsidR="00C612D9">
        <w:t>,  and</w:t>
      </w:r>
      <w:proofErr w:type="gramEnd"/>
      <w:r w:rsidR="00C612D9">
        <w:t xml:space="preserve"> clearance and conversion costs from </w:t>
      </w:r>
      <w:proofErr w:type="spellStart"/>
      <w:r w:rsidR="00C612D9" w:rsidRPr="00C612D9">
        <w:t>L'Instituto</w:t>
      </w:r>
      <w:proofErr w:type="spellEnd"/>
      <w:r w:rsidR="00C612D9" w:rsidRPr="00C612D9">
        <w:t xml:space="preserve"> </w:t>
      </w:r>
      <w:proofErr w:type="spellStart"/>
      <w:r w:rsidR="00C612D9" w:rsidRPr="00C612D9">
        <w:t>Brasileiro</w:t>
      </w:r>
      <w:proofErr w:type="spellEnd"/>
      <w:r w:rsidR="00C612D9" w:rsidRPr="00C612D9">
        <w:t xml:space="preserve"> de </w:t>
      </w:r>
      <w:proofErr w:type="spellStart"/>
      <w:r w:rsidR="00C612D9" w:rsidRPr="00C612D9">
        <w:t>Geografia</w:t>
      </w:r>
      <w:proofErr w:type="spellEnd"/>
      <w:r w:rsidR="00C612D9" w:rsidRPr="00C612D9">
        <w:t xml:space="preserve"> e </w:t>
      </w:r>
      <w:proofErr w:type="spellStart"/>
      <w:r w:rsidR="00C612D9" w:rsidRPr="00C612D9">
        <w:t>Estatística</w:t>
      </w:r>
      <w:proofErr w:type="spellEnd"/>
      <w:r w:rsidR="00C612D9" w:rsidRPr="00C612D9">
        <w:t xml:space="preserve"> </w:t>
      </w:r>
      <w:r w:rsidR="00C612D9">
        <w:t>IBGE. The data is available to download at</w:t>
      </w:r>
      <w:r w:rsidR="00C612D9" w:rsidRPr="00C612D9">
        <w:t xml:space="preserve"> </w:t>
      </w:r>
      <w:hyperlink r:id="rId11" w:history="1">
        <w:r w:rsidR="00C612D9" w:rsidRPr="004C5A76">
          <w:rPr>
            <w:rStyle w:val="Hyperlink"/>
          </w:rPr>
          <w:t>https://ww2.ibge.gov.br/english/</w:t>
        </w:r>
      </w:hyperlink>
      <w:proofErr w:type="gramStart"/>
      <w:r w:rsidR="00C612D9">
        <w:t xml:space="preserve"> </w:t>
      </w:r>
      <w:r w:rsidR="00FC673E">
        <w:t xml:space="preserve"> The</w:t>
      </w:r>
      <w:proofErr w:type="gramEnd"/>
      <w:r w:rsidR="00FC673E">
        <w:t xml:space="preserve"> Appendix of the paper </w:t>
      </w:r>
      <w:r w:rsidR="00690B6B">
        <w:t xml:space="preserve"> gives the references to the specific data sources. </w:t>
      </w:r>
      <w:r w:rsidR="00C612D9">
        <w:t>.</w:t>
      </w:r>
    </w:p>
    <w:p w14:paraId="31FFE3BC" w14:textId="77777777" w:rsidR="001F2AA2" w:rsidRDefault="001F2AA2" w:rsidP="001F2AA2">
      <w:pPr>
        <w:spacing w:after="0"/>
        <w:jc w:val="both"/>
        <w:rPr>
          <w:b/>
        </w:rPr>
      </w:pPr>
    </w:p>
    <w:p w14:paraId="40D06682" w14:textId="77777777" w:rsidR="00D01EF7" w:rsidRDefault="00D01EF7" w:rsidP="001F2AA2">
      <w:pPr>
        <w:spacing w:after="0"/>
        <w:jc w:val="both"/>
        <w:rPr>
          <w:b/>
        </w:rPr>
      </w:pPr>
      <w:r>
        <w:rPr>
          <w:b/>
        </w:rPr>
        <w:t>Links to other projects</w:t>
      </w:r>
    </w:p>
    <w:p w14:paraId="15F96072" w14:textId="6F40D0E8" w:rsidR="00D01EF7" w:rsidRDefault="00111006" w:rsidP="001F2AA2">
      <w:pPr>
        <w:spacing w:after="0"/>
        <w:jc w:val="both"/>
      </w:pPr>
      <w:r>
        <w:t xml:space="preserve">This project is related to a broader programme of work at the Grantham Research Institute on Climate Change and the Environment, LSE, on </w:t>
      </w:r>
      <w:r w:rsidR="00316313">
        <w:t>policy design and evaluation</w:t>
      </w:r>
      <w:r>
        <w:t xml:space="preserve">, under the </w:t>
      </w:r>
      <w:r w:rsidR="00316313">
        <w:rPr>
          <w:i/>
        </w:rPr>
        <w:t xml:space="preserve">Mitigation </w:t>
      </w:r>
      <w:r w:rsidR="00316313" w:rsidRPr="00316313">
        <w:t>programme</w:t>
      </w:r>
      <w:r>
        <w:t>.</w:t>
      </w:r>
    </w:p>
    <w:p w14:paraId="362DC0AA" w14:textId="77777777" w:rsidR="00510508" w:rsidRDefault="00510508" w:rsidP="001F2AA2">
      <w:pPr>
        <w:spacing w:after="0"/>
        <w:jc w:val="both"/>
      </w:pPr>
    </w:p>
    <w:p w14:paraId="144512A0" w14:textId="77777777" w:rsidR="00510508" w:rsidRPr="001F2AA2" w:rsidRDefault="00510508" w:rsidP="001F2AA2">
      <w:pPr>
        <w:spacing w:after="0"/>
        <w:jc w:val="both"/>
      </w:pPr>
    </w:p>
    <w:p w14:paraId="5FD5680C" w14:textId="77777777" w:rsidR="00FC7A83" w:rsidRDefault="00D01EF7" w:rsidP="001F2AA2">
      <w:pPr>
        <w:spacing w:after="0"/>
        <w:jc w:val="both"/>
        <w:rPr>
          <w:b/>
        </w:rPr>
      </w:pPr>
      <w:r>
        <w:rPr>
          <w:b/>
        </w:rPr>
        <w:t>CCCEP p</w:t>
      </w:r>
      <w:r w:rsidR="00A9382A">
        <w:rPr>
          <w:b/>
        </w:rPr>
        <w:t>ublications</w:t>
      </w:r>
    </w:p>
    <w:p w14:paraId="7A6FE439" w14:textId="77777777" w:rsidR="007F38CC" w:rsidRPr="00510508" w:rsidRDefault="007F38CC" w:rsidP="001E30B6">
      <w:pPr>
        <w:pStyle w:val="ListParagraph"/>
        <w:numPr>
          <w:ilvl w:val="0"/>
          <w:numId w:val="2"/>
        </w:numPr>
        <w:spacing w:after="0" w:line="240" w:lineRule="auto"/>
        <w:jc w:val="both"/>
        <w:rPr>
          <w:i/>
        </w:rPr>
      </w:pPr>
      <w:r>
        <w:t xml:space="preserve">“Pricing and Hedging in Carbon Emissions Markets”, </w:t>
      </w:r>
      <w:proofErr w:type="spellStart"/>
      <w:r>
        <w:t>Umut</w:t>
      </w:r>
      <w:proofErr w:type="spellEnd"/>
      <w:r>
        <w:t xml:space="preserve"> Cetin and Michael </w:t>
      </w:r>
      <w:proofErr w:type="spellStart"/>
      <w:r>
        <w:t>Versuchere</w:t>
      </w:r>
      <w:proofErr w:type="spellEnd"/>
      <w:r>
        <w:t>. International Journal of Theoretical and Applied Finance – Vol. 12 (7): 949-967 (2009)</w:t>
      </w:r>
    </w:p>
    <w:p w14:paraId="38E847F0" w14:textId="3F56DC06" w:rsidR="00510508" w:rsidRPr="00CA18BA" w:rsidRDefault="00510508" w:rsidP="001E30B6">
      <w:pPr>
        <w:pStyle w:val="ListParagraph"/>
        <w:numPr>
          <w:ilvl w:val="0"/>
          <w:numId w:val="2"/>
        </w:numPr>
        <w:spacing w:after="0" w:line="240" w:lineRule="auto"/>
        <w:jc w:val="both"/>
        <w:rPr>
          <w:i/>
        </w:rPr>
      </w:pPr>
      <w:r>
        <w:t xml:space="preserve">“Designing Carbon Markets – Part I: Carbon markets in time”, Samuel </w:t>
      </w:r>
      <w:proofErr w:type="spellStart"/>
      <w:proofErr w:type="gramStart"/>
      <w:r>
        <w:t>Fankauser</w:t>
      </w:r>
      <w:proofErr w:type="spellEnd"/>
      <w:r>
        <w:t xml:space="preserve">  and</w:t>
      </w:r>
      <w:proofErr w:type="gramEnd"/>
      <w:r>
        <w:t xml:space="preserve"> Cameron Hepburn. </w:t>
      </w:r>
      <w:r w:rsidRPr="00CA18BA">
        <w:rPr>
          <w:i/>
        </w:rPr>
        <w:t>Energy Policy</w:t>
      </w:r>
      <w:r>
        <w:t xml:space="preserve"> –</w:t>
      </w:r>
      <w:r w:rsidR="00CA18BA">
        <w:t xml:space="preserve"> </w:t>
      </w:r>
      <w:proofErr w:type="spellStart"/>
      <w:r w:rsidR="00CA18BA">
        <w:t>Vol</w:t>
      </w:r>
      <w:proofErr w:type="spellEnd"/>
      <w:r w:rsidR="00CA18BA">
        <w:t xml:space="preserve"> 38(8)</w:t>
      </w:r>
      <w:proofErr w:type="gramStart"/>
      <w:r w:rsidR="00CA18BA">
        <w:t>:</w:t>
      </w:r>
      <w:r>
        <w:t>4363</w:t>
      </w:r>
      <w:proofErr w:type="gramEnd"/>
      <w:r w:rsidR="00CA18BA">
        <w:t>-4370</w:t>
      </w:r>
    </w:p>
    <w:p w14:paraId="7A953D31" w14:textId="32A9318B" w:rsidR="00CA18BA" w:rsidRPr="00CA18BA" w:rsidRDefault="00CA18BA" w:rsidP="00CA18BA">
      <w:pPr>
        <w:pStyle w:val="ListParagraph"/>
        <w:numPr>
          <w:ilvl w:val="0"/>
          <w:numId w:val="2"/>
        </w:numPr>
        <w:spacing w:after="0" w:line="240" w:lineRule="auto"/>
        <w:jc w:val="both"/>
        <w:rPr>
          <w:i/>
        </w:rPr>
      </w:pPr>
      <w:r>
        <w:t xml:space="preserve">“Designing Carbon Markets – Part II: Carbon markets in space”, Samuel </w:t>
      </w:r>
      <w:proofErr w:type="spellStart"/>
      <w:proofErr w:type="gramStart"/>
      <w:r>
        <w:t>Fankauser</w:t>
      </w:r>
      <w:proofErr w:type="spellEnd"/>
      <w:r>
        <w:t xml:space="preserve">  and</w:t>
      </w:r>
      <w:proofErr w:type="gramEnd"/>
      <w:r>
        <w:t xml:space="preserve"> Cameron Hepburn. </w:t>
      </w:r>
      <w:r w:rsidRPr="00CA18BA">
        <w:rPr>
          <w:i/>
        </w:rPr>
        <w:t xml:space="preserve">Energy Policy </w:t>
      </w:r>
      <w:r>
        <w:t xml:space="preserve">– </w:t>
      </w:r>
      <w:proofErr w:type="spellStart"/>
      <w:r>
        <w:t>Vol</w:t>
      </w:r>
      <w:proofErr w:type="spellEnd"/>
      <w:r>
        <w:t xml:space="preserve"> 38(8)</w:t>
      </w:r>
      <w:proofErr w:type="gramStart"/>
      <w:r>
        <w:t>:4363</w:t>
      </w:r>
      <w:proofErr w:type="gramEnd"/>
      <w:r>
        <w:t>-4370</w:t>
      </w:r>
    </w:p>
    <w:p w14:paraId="73FE342D" w14:textId="31934D4D" w:rsidR="001E30B6" w:rsidRPr="0065698C" w:rsidRDefault="001E30B6" w:rsidP="001E30B6">
      <w:pPr>
        <w:pStyle w:val="ListParagraph"/>
        <w:numPr>
          <w:ilvl w:val="0"/>
          <w:numId w:val="2"/>
        </w:numPr>
        <w:spacing w:after="0" w:line="240" w:lineRule="auto"/>
        <w:jc w:val="both"/>
        <w:rPr>
          <w:i/>
        </w:rPr>
      </w:pPr>
      <w:r>
        <w:t xml:space="preserve">“Combining Multiple Climate Policy Instruments: How not to Do It”, Samuel </w:t>
      </w:r>
      <w:proofErr w:type="spellStart"/>
      <w:r>
        <w:t>Fankhauser</w:t>
      </w:r>
      <w:proofErr w:type="spellEnd"/>
      <w:r>
        <w:t xml:space="preserve">, Cameron Hepburn and </w:t>
      </w:r>
      <w:proofErr w:type="spellStart"/>
      <w:r>
        <w:t>Jisung</w:t>
      </w:r>
      <w:proofErr w:type="spellEnd"/>
      <w:r>
        <w:t xml:space="preserve"> Park. </w:t>
      </w:r>
      <w:r w:rsidRPr="001E30B6">
        <w:rPr>
          <w:i/>
        </w:rPr>
        <w:t>Climate Change Economics</w:t>
      </w:r>
      <w:r>
        <w:t xml:space="preserve"> – Vol. 1 (3)</w:t>
      </w:r>
      <w:proofErr w:type="gramStart"/>
      <w:r>
        <w:t>:209</w:t>
      </w:r>
      <w:proofErr w:type="gramEnd"/>
      <w:r>
        <w:t>-225 (2010).</w:t>
      </w:r>
    </w:p>
    <w:p w14:paraId="4236FA16" w14:textId="0DA37FC2" w:rsidR="007F38CC" w:rsidRPr="007F38CC" w:rsidRDefault="0065698C" w:rsidP="007F38CC">
      <w:pPr>
        <w:pStyle w:val="ListParagraph"/>
        <w:numPr>
          <w:ilvl w:val="0"/>
          <w:numId w:val="2"/>
        </w:numPr>
        <w:spacing w:after="0" w:line="240" w:lineRule="auto"/>
        <w:jc w:val="both"/>
      </w:pPr>
      <w:r w:rsidRPr="007F38CC">
        <w:t>“The Economics of the CDM Levy: Revenue Potential, Tax Incidence</w:t>
      </w:r>
      <w:r w:rsidR="007F38CC">
        <w:t xml:space="preserve"> and Distortionary Effects”, Samuel </w:t>
      </w:r>
      <w:proofErr w:type="spellStart"/>
      <w:r w:rsidR="007F38CC" w:rsidRPr="007F38CC">
        <w:t>Fankhauser</w:t>
      </w:r>
      <w:proofErr w:type="spellEnd"/>
      <w:r w:rsidR="007F38CC" w:rsidRPr="007F38CC">
        <w:t xml:space="preserve"> and </w:t>
      </w:r>
      <w:r w:rsidR="005E3C3C">
        <w:t>Nat</w:t>
      </w:r>
      <w:r w:rsidR="007F38CC" w:rsidRPr="007F38CC">
        <w:t xml:space="preserve"> Martin (2010). </w:t>
      </w:r>
      <w:r w:rsidRPr="007F38CC">
        <w:t xml:space="preserve"> </w:t>
      </w:r>
      <w:r w:rsidRPr="007F38CC">
        <w:rPr>
          <w:i/>
        </w:rPr>
        <w:t>Energy Policy</w:t>
      </w:r>
      <w:r w:rsidR="007F38CC">
        <w:t xml:space="preserve"> - </w:t>
      </w:r>
      <w:r w:rsidR="007F38CC" w:rsidRPr="007F38CC">
        <w:t>Vol. 38(1)</w:t>
      </w:r>
      <w:proofErr w:type="gramStart"/>
      <w:r w:rsidR="007F38CC" w:rsidRPr="007F38CC">
        <w:t>:357</w:t>
      </w:r>
      <w:proofErr w:type="gramEnd"/>
      <w:r w:rsidR="007F38CC" w:rsidRPr="007F38CC">
        <w:t>-363 (2010)</w:t>
      </w:r>
    </w:p>
    <w:p w14:paraId="7B0960B4" w14:textId="241CCC0F" w:rsidR="007F38CC" w:rsidRDefault="007F38CC" w:rsidP="007F38CC">
      <w:pPr>
        <w:pStyle w:val="ListParagraph"/>
        <w:numPr>
          <w:ilvl w:val="0"/>
          <w:numId w:val="2"/>
        </w:numPr>
        <w:spacing w:after="0" w:line="240" w:lineRule="auto"/>
        <w:jc w:val="both"/>
      </w:pPr>
      <w:r>
        <w:t>“</w:t>
      </w:r>
      <w:r w:rsidRPr="007F38CC">
        <w:t>Storage Co</w:t>
      </w:r>
      <w:r>
        <w:t xml:space="preserve">sts in Commodity Option Pricing” </w:t>
      </w:r>
      <w:proofErr w:type="spellStart"/>
      <w:r>
        <w:t>Juri</w:t>
      </w:r>
      <w:proofErr w:type="spellEnd"/>
      <w:r>
        <w:t xml:space="preserve"> </w:t>
      </w:r>
      <w:proofErr w:type="spellStart"/>
      <w:r>
        <w:t>Hinz</w:t>
      </w:r>
      <w:proofErr w:type="spellEnd"/>
      <w:r>
        <w:t xml:space="preserve"> and</w:t>
      </w:r>
      <w:r w:rsidRPr="007F38CC">
        <w:t xml:space="preserve"> M</w:t>
      </w:r>
      <w:r>
        <w:t>ax Fehr.</w:t>
      </w:r>
      <w:r w:rsidRPr="007F38CC">
        <w:t xml:space="preserve"> </w:t>
      </w:r>
      <w:r>
        <w:t xml:space="preserve"> </w:t>
      </w:r>
      <w:r w:rsidRPr="007F38CC">
        <w:rPr>
          <w:i/>
        </w:rPr>
        <w:t>SIAM Journal of Financial Mathematics</w:t>
      </w:r>
      <w:r w:rsidRPr="007F38CC">
        <w:t xml:space="preserve"> </w:t>
      </w:r>
      <w:r>
        <w:t xml:space="preserve">– Vol. </w:t>
      </w:r>
      <w:r w:rsidRPr="007F38CC">
        <w:t>1(1): 729-751 (2010)</w:t>
      </w:r>
      <w:r>
        <w:t>.</w:t>
      </w:r>
    </w:p>
    <w:p w14:paraId="1A9058D0" w14:textId="357D0B2F" w:rsidR="007F38CC" w:rsidRPr="007F38CC" w:rsidRDefault="007F38CC" w:rsidP="007F38CC">
      <w:pPr>
        <w:pStyle w:val="ListParagraph"/>
        <w:numPr>
          <w:ilvl w:val="0"/>
          <w:numId w:val="2"/>
        </w:numPr>
        <w:spacing w:after="0" w:line="240" w:lineRule="auto"/>
        <w:jc w:val="both"/>
      </w:pPr>
      <w:r>
        <w:lastRenderedPageBreak/>
        <w:t xml:space="preserve">“Market Design for Emission Trading Schemes” Rene Carmona, Max Fehr, </w:t>
      </w:r>
      <w:proofErr w:type="spellStart"/>
      <w:r>
        <w:t>Juri</w:t>
      </w:r>
      <w:proofErr w:type="spellEnd"/>
      <w:r>
        <w:t xml:space="preserve"> </w:t>
      </w:r>
      <w:proofErr w:type="spellStart"/>
      <w:r>
        <w:t>Hinz</w:t>
      </w:r>
      <w:proofErr w:type="spellEnd"/>
      <w:r>
        <w:t xml:space="preserve"> and</w:t>
      </w:r>
      <w:r w:rsidRPr="007F38CC">
        <w:t xml:space="preserve"> </w:t>
      </w:r>
      <w:r>
        <w:t xml:space="preserve">Arnaud </w:t>
      </w:r>
      <w:proofErr w:type="spellStart"/>
      <w:r>
        <w:t>Porchet</w:t>
      </w:r>
      <w:proofErr w:type="spellEnd"/>
      <w:r>
        <w:t>.</w:t>
      </w:r>
      <w:r w:rsidRPr="007F38CC">
        <w:t xml:space="preserve"> </w:t>
      </w:r>
      <w:r>
        <w:t xml:space="preserve"> </w:t>
      </w:r>
      <w:r w:rsidRPr="007F38CC">
        <w:rPr>
          <w:i/>
        </w:rPr>
        <w:t>SIAM Review</w:t>
      </w:r>
      <w:r>
        <w:t xml:space="preserve"> – Vol. 52(3): 403:452.</w:t>
      </w:r>
    </w:p>
    <w:p w14:paraId="17ACF331" w14:textId="77777777" w:rsidR="007F38CC" w:rsidRPr="007F38CC" w:rsidRDefault="001E30B6" w:rsidP="007F38CC">
      <w:pPr>
        <w:pStyle w:val="ListParagraph"/>
        <w:numPr>
          <w:ilvl w:val="0"/>
          <w:numId w:val="2"/>
        </w:numPr>
        <w:spacing w:after="0" w:line="240" w:lineRule="auto"/>
        <w:jc w:val="both"/>
        <w:rPr>
          <w:i/>
        </w:rPr>
      </w:pPr>
      <w:r w:rsidRPr="007F38CC">
        <w:t>“Cap-and-Trade Properties</w:t>
      </w:r>
      <w:r w:rsidRPr="007F38CC">
        <w:rPr>
          <w:i/>
        </w:rPr>
        <w:t xml:space="preserve"> Under</w:t>
      </w:r>
      <w:r w:rsidRPr="007F38CC">
        <w:t xml:space="preserve"> Different</w:t>
      </w:r>
      <w:r w:rsidRPr="001E30B6">
        <w:t xml:space="preserve"> Hybrid Scheme Designs”, Georg </w:t>
      </w:r>
      <w:proofErr w:type="spellStart"/>
      <w:r w:rsidRPr="001E30B6">
        <w:t>Grull</w:t>
      </w:r>
      <w:proofErr w:type="spellEnd"/>
      <w:r w:rsidRPr="001E30B6">
        <w:t xml:space="preserve"> and Luca </w:t>
      </w:r>
      <w:proofErr w:type="spellStart"/>
      <w:r w:rsidRPr="001E30B6">
        <w:t>Taschini</w:t>
      </w:r>
      <w:proofErr w:type="spellEnd"/>
      <w:r w:rsidRPr="001E30B6">
        <w:rPr>
          <w:i/>
        </w:rPr>
        <w:t xml:space="preserve">, Journal of Environmental Economics and Management - </w:t>
      </w:r>
      <w:r w:rsidRPr="007F38CC">
        <w:t>Vol. 61 (1)</w:t>
      </w:r>
      <w:proofErr w:type="gramStart"/>
      <w:r w:rsidRPr="007F38CC">
        <w:t>:107</w:t>
      </w:r>
      <w:proofErr w:type="gramEnd"/>
      <w:r w:rsidRPr="007F38CC">
        <w:t>-118 (2011).</w:t>
      </w:r>
    </w:p>
    <w:p w14:paraId="0E9204B5" w14:textId="77777777" w:rsidR="007F38CC" w:rsidRPr="007F38CC" w:rsidRDefault="001E30B6" w:rsidP="007F38CC">
      <w:pPr>
        <w:pStyle w:val="ListParagraph"/>
        <w:numPr>
          <w:ilvl w:val="0"/>
          <w:numId w:val="2"/>
        </w:numPr>
        <w:spacing w:after="0" w:line="240" w:lineRule="auto"/>
        <w:jc w:val="both"/>
        <w:rPr>
          <w:i/>
        </w:rPr>
      </w:pPr>
      <w:r w:rsidRPr="001E30B6">
        <w:t xml:space="preserve">“The Endogenous Price Dynamics of Emission Allowances and an Application to CO2 Op- </w:t>
      </w:r>
      <w:proofErr w:type="spellStart"/>
      <w:r w:rsidRPr="001E30B6">
        <w:t>tion</w:t>
      </w:r>
      <w:proofErr w:type="spellEnd"/>
      <w:r w:rsidRPr="001E30B6">
        <w:t xml:space="preserve"> Pricing”, Luca </w:t>
      </w:r>
      <w:proofErr w:type="spellStart"/>
      <w:r w:rsidRPr="001E30B6">
        <w:t>Taschini</w:t>
      </w:r>
      <w:proofErr w:type="spellEnd"/>
      <w:r w:rsidRPr="001E30B6">
        <w:t xml:space="preserve"> and Marc Chesney.</w:t>
      </w:r>
      <w:r w:rsidRPr="007F38CC">
        <w:rPr>
          <w:i/>
        </w:rPr>
        <w:t xml:space="preserve"> Applied Mathematical Finance </w:t>
      </w:r>
      <w:r w:rsidRPr="001E30B6">
        <w:t>- Vol. 19 (5)</w:t>
      </w:r>
      <w:proofErr w:type="gramStart"/>
      <w:r w:rsidRPr="001E30B6">
        <w:t>:447</w:t>
      </w:r>
      <w:proofErr w:type="gramEnd"/>
      <w:r w:rsidRPr="001E30B6">
        <w:t>-475 (2012).</w:t>
      </w:r>
    </w:p>
    <w:p w14:paraId="14A25F88" w14:textId="77777777" w:rsidR="007F38CC" w:rsidRPr="007F38CC" w:rsidRDefault="001E30B6" w:rsidP="007F38CC">
      <w:pPr>
        <w:pStyle w:val="ListParagraph"/>
        <w:numPr>
          <w:ilvl w:val="0"/>
          <w:numId w:val="2"/>
        </w:numPr>
        <w:spacing w:after="0" w:line="240" w:lineRule="auto"/>
        <w:jc w:val="both"/>
        <w:rPr>
          <w:i/>
        </w:rPr>
      </w:pPr>
      <w:r w:rsidRPr="001E30B6">
        <w:t>“Linking Emission</w:t>
      </w:r>
      <w:r>
        <w:t xml:space="preserve"> Trading Schemes”, Georg </w:t>
      </w:r>
      <w:proofErr w:type="spellStart"/>
      <w:r>
        <w:t>Grull</w:t>
      </w:r>
      <w:proofErr w:type="spellEnd"/>
      <w:r>
        <w:t xml:space="preserve"> and Luca </w:t>
      </w:r>
      <w:proofErr w:type="spellStart"/>
      <w:r>
        <w:t>Taschini</w:t>
      </w:r>
      <w:proofErr w:type="spellEnd"/>
      <w:r>
        <w:t xml:space="preserve">. </w:t>
      </w:r>
      <w:r w:rsidRPr="007F38CC">
        <w:rPr>
          <w:i/>
        </w:rPr>
        <w:t xml:space="preserve">Economics of Energy &amp; Environmental Policy </w:t>
      </w:r>
      <w:r w:rsidRPr="001E30B6">
        <w:t>- Vol. 1 (3)</w:t>
      </w:r>
      <w:proofErr w:type="gramStart"/>
      <w:r w:rsidRPr="001E30B6">
        <w:t>:31</w:t>
      </w:r>
      <w:proofErr w:type="gramEnd"/>
      <w:r w:rsidRPr="001E30B6">
        <w:t>-38 (2012).</w:t>
      </w:r>
    </w:p>
    <w:p w14:paraId="35709D93" w14:textId="77777777" w:rsidR="007F38CC" w:rsidRPr="007F38CC" w:rsidRDefault="001E30B6" w:rsidP="007F38CC">
      <w:pPr>
        <w:pStyle w:val="ListParagraph"/>
        <w:numPr>
          <w:ilvl w:val="0"/>
          <w:numId w:val="2"/>
        </w:numPr>
        <w:spacing w:after="0" w:line="240" w:lineRule="auto"/>
        <w:jc w:val="both"/>
        <w:rPr>
          <w:i/>
        </w:rPr>
      </w:pPr>
      <w:r w:rsidRPr="001E30B6">
        <w:t>“The Role of Stocks &amp; Shocks Concepts in the Debate Over Price vs. Quantity”</w:t>
      </w:r>
      <w:r>
        <w:t>,</w:t>
      </w:r>
      <w:r w:rsidRPr="001E30B6">
        <w:t xml:space="preserve"> </w:t>
      </w:r>
      <w:r>
        <w:t xml:space="preserve">John E. Parsons and Luca </w:t>
      </w:r>
      <w:proofErr w:type="spellStart"/>
      <w:r>
        <w:t>Taschini</w:t>
      </w:r>
      <w:proofErr w:type="spellEnd"/>
      <w:r>
        <w:t xml:space="preserve">. </w:t>
      </w:r>
      <w:r w:rsidRPr="007F38CC">
        <w:rPr>
          <w:i/>
        </w:rPr>
        <w:t>Environmental and Resource Economics</w:t>
      </w:r>
      <w:r w:rsidRPr="001E30B6">
        <w:t xml:space="preserve"> - Vol. 55 (1)</w:t>
      </w:r>
      <w:proofErr w:type="gramStart"/>
      <w:r w:rsidRPr="001E30B6">
        <w:t>:71</w:t>
      </w:r>
      <w:proofErr w:type="gramEnd"/>
      <w:r w:rsidRPr="001E30B6">
        <w:t>-86 (2013).</w:t>
      </w:r>
    </w:p>
    <w:p w14:paraId="20BD5832" w14:textId="77777777" w:rsidR="007F38CC" w:rsidRPr="007F38CC" w:rsidRDefault="001E30B6" w:rsidP="007F38CC">
      <w:pPr>
        <w:pStyle w:val="ListParagraph"/>
        <w:numPr>
          <w:ilvl w:val="0"/>
          <w:numId w:val="2"/>
        </w:numPr>
        <w:spacing w:after="0" w:line="240" w:lineRule="auto"/>
        <w:jc w:val="both"/>
        <w:rPr>
          <w:i/>
        </w:rPr>
      </w:pPr>
      <w:r w:rsidRPr="001E30B6">
        <w:t>“Experimental Comparison between Markets on Dynamic Permit Trading and Investment in Irreversible Abatement with and w</w:t>
      </w:r>
      <w:r>
        <w:t xml:space="preserve">ithout Non-Regulated Companies”. Luca </w:t>
      </w:r>
      <w:proofErr w:type="spellStart"/>
      <w:r>
        <w:t>Taschini</w:t>
      </w:r>
      <w:proofErr w:type="spellEnd"/>
      <w:r>
        <w:t xml:space="preserve">, Marc Chesney and </w:t>
      </w:r>
      <w:proofErr w:type="spellStart"/>
      <w:r>
        <w:t>Mey</w:t>
      </w:r>
      <w:proofErr w:type="spellEnd"/>
      <w:r>
        <w:t xml:space="preserve"> Wang. </w:t>
      </w:r>
      <w:r w:rsidRPr="007F38CC">
        <w:rPr>
          <w:i/>
        </w:rPr>
        <w:t>Journal of Regulatory Economics</w:t>
      </w:r>
      <w:r w:rsidRPr="001E30B6">
        <w:t xml:space="preserve"> - Vol. 46 (1)</w:t>
      </w:r>
      <w:proofErr w:type="gramStart"/>
      <w:r w:rsidRPr="001E30B6">
        <w:t>:24</w:t>
      </w:r>
      <w:proofErr w:type="gramEnd"/>
      <w:r w:rsidRPr="001E30B6">
        <w:t>-50 (2014).</w:t>
      </w:r>
    </w:p>
    <w:p w14:paraId="402BAB47" w14:textId="1AED3123" w:rsidR="001E30B6" w:rsidRPr="007F38CC" w:rsidRDefault="001E30B6" w:rsidP="007F38CC">
      <w:pPr>
        <w:pStyle w:val="ListParagraph"/>
        <w:numPr>
          <w:ilvl w:val="0"/>
          <w:numId w:val="2"/>
        </w:numPr>
        <w:spacing w:after="0" w:line="240" w:lineRule="auto"/>
        <w:jc w:val="both"/>
        <w:rPr>
          <w:i/>
        </w:rPr>
      </w:pPr>
      <w:r w:rsidRPr="001E30B6">
        <w:t>“Conservation Pa</w:t>
      </w:r>
      <w:r>
        <w:t xml:space="preserve">yments under Uncertainty” Stefanie Engel, Charles Palmer, Luca </w:t>
      </w:r>
      <w:proofErr w:type="spellStart"/>
      <w:proofErr w:type="gramStart"/>
      <w:r>
        <w:t>Taschini</w:t>
      </w:r>
      <w:proofErr w:type="spellEnd"/>
      <w:r>
        <w:t xml:space="preserve">  and</w:t>
      </w:r>
      <w:proofErr w:type="gramEnd"/>
      <w:r>
        <w:t xml:space="preserve"> Simon </w:t>
      </w:r>
      <w:proofErr w:type="spellStart"/>
      <w:r>
        <w:t>Urech</w:t>
      </w:r>
      <w:proofErr w:type="spellEnd"/>
      <w:r>
        <w:t xml:space="preserve">. </w:t>
      </w:r>
      <w:r w:rsidRPr="007F38CC">
        <w:rPr>
          <w:i/>
        </w:rPr>
        <w:t>Land Economics</w:t>
      </w:r>
      <w:r w:rsidRPr="001E30B6">
        <w:t xml:space="preserve"> - Vol. 91 (1)</w:t>
      </w:r>
      <w:proofErr w:type="gramStart"/>
      <w:r w:rsidRPr="001E30B6">
        <w:t>:36</w:t>
      </w:r>
      <w:proofErr w:type="gramEnd"/>
      <w:r w:rsidRPr="001E30B6">
        <w:t xml:space="preserve">-56 (2015). </w:t>
      </w:r>
    </w:p>
    <w:p w14:paraId="249B3B03" w14:textId="77777777" w:rsidR="001E30B6" w:rsidRDefault="001E30B6" w:rsidP="001E30B6">
      <w:pPr>
        <w:spacing w:after="0" w:line="240" w:lineRule="auto"/>
        <w:jc w:val="both"/>
      </w:pPr>
    </w:p>
    <w:p w14:paraId="13823F0D" w14:textId="77777777" w:rsidR="001E30B6" w:rsidRDefault="001E30B6" w:rsidP="001E30B6">
      <w:pPr>
        <w:spacing w:after="0" w:line="240" w:lineRule="auto"/>
        <w:jc w:val="both"/>
      </w:pPr>
    </w:p>
    <w:p w14:paraId="0B8C9230" w14:textId="5AF26B4D" w:rsidR="0043750C" w:rsidRPr="00690B6B" w:rsidRDefault="0043750C" w:rsidP="001E30B6">
      <w:pPr>
        <w:pStyle w:val="ListParagraph"/>
        <w:spacing w:after="0" w:line="240" w:lineRule="auto"/>
        <w:jc w:val="both"/>
      </w:pPr>
    </w:p>
    <w:sectPr w:rsidR="0043750C" w:rsidRPr="00690B6B">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EC0F0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DAC78" w14:textId="77777777" w:rsidR="00FA788A" w:rsidRDefault="00FA788A" w:rsidP="00A9382A">
      <w:pPr>
        <w:spacing w:after="0" w:line="240" w:lineRule="auto"/>
      </w:pPr>
      <w:r>
        <w:separator/>
      </w:r>
    </w:p>
  </w:endnote>
  <w:endnote w:type="continuationSeparator" w:id="0">
    <w:p w14:paraId="5208AD27" w14:textId="77777777" w:rsidR="00FA788A" w:rsidRDefault="00FA788A" w:rsidP="00A93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Times New Roman"/>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35EA4" w14:textId="77777777" w:rsidR="00FA788A" w:rsidRDefault="00FA788A" w:rsidP="00A9382A">
      <w:pPr>
        <w:spacing w:after="0" w:line="240" w:lineRule="auto"/>
      </w:pPr>
      <w:r>
        <w:separator/>
      </w:r>
    </w:p>
  </w:footnote>
  <w:footnote w:type="continuationSeparator" w:id="0">
    <w:p w14:paraId="33B8C404" w14:textId="77777777" w:rsidR="00FA788A" w:rsidRDefault="00FA788A" w:rsidP="00A9382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01F"/>
    <w:multiLevelType w:val="hybridMultilevel"/>
    <w:tmpl w:val="2974A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8945ED"/>
    <w:multiLevelType w:val="hybridMultilevel"/>
    <w:tmpl w:val="2974A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B24BDE"/>
    <w:multiLevelType w:val="hybridMultilevel"/>
    <w:tmpl w:val="8626E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210D27"/>
    <w:multiLevelType w:val="hybridMultilevel"/>
    <w:tmpl w:val="2974A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ACF0F5A"/>
    <w:multiLevelType w:val="multilevel"/>
    <w:tmpl w:val="9C3427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E295F9C"/>
    <w:multiLevelType w:val="hybridMultilevel"/>
    <w:tmpl w:val="7DA8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6C1380"/>
    <w:multiLevelType w:val="hybridMultilevel"/>
    <w:tmpl w:val="A596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C97D89"/>
    <w:multiLevelType w:val="hybridMultilevel"/>
    <w:tmpl w:val="9C342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9504091"/>
    <w:multiLevelType w:val="hybridMultilevel"/>
    <w:tmpl w:val="5FF2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6"/>
  </w:num>
  <w:num w:numId="5">
    <w:abstractNumId w:val="7"/>
  </w:num>
  <w:num w:numId="6">
    <w:abstractNumId w:val="4"/>
  </w:num>
  <w:num w:numId="7">
    <w:abstractNumId w:val="8"/>
  </w:num>
  <w:num w:numId="8">
    <w:abstractNumId w:val="5"/>
  </w:num>
  <w:num w:numId="9">
    <w:abstractNumId w:val="3"/>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nkhauser,S">
    <w15:presenceInfo w15:providerId="AD" w15:userId="S-1-5-21-70982057-922121612-1704399178-168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FA0"/>
    <w:rsid w:val="00011816"/>
    <w:rsid w:val="00091CF4"/>
    <w:rsid w:val="000D08CA"/>
    <w:rsid w:val="000E182B"/>
    <w:rsid w:val="001007C6"/>
    <w:rsid w:val="00111006"/>
    <w:rsid w:val="0011534B"/>
    <w:rsid w:val="0012518B"/>
    <w:rsid w:val="001B4078"/>
    <w:rsid w:val="001E30B6"/>
    <w:rsid w:val="001F2AA2"/>
    <w:rsid w:val="00256D80"/>
    <w:rsid w:val="002F78A6"/>
    <w:rsid w:val="00316313"/>
    <w:rsid w:val="004002CC"/>
    <w:rsid w:val="0043750C"/>
    <w:rsid w:val="00510508"/>
    <w:rsid w:val="00520E89"/>
    <w:rsid w:val="0057179B"/>
    <w:rsid w:val="005E3C3C"/>
    <w:rsid w:val="006501DD"/>
    <w:rsid w:val="0065698C"/>
    <w:rsid w:val="00673162"/>
    <w:rsid w:val="00690B6B"/>
    <w:rsid w:val="007E55F1"/>
    <w:rsid w:val="007F38CC"/>
    <w:rsid w:val="00845870"/>
    <w:rsid w:val="00864018"/>
    <w:rsid w:val="008641AC"/>
    <w:rsid w:val="008F2D36"/>
    <w:rsid w:val="00A70830"/>
    <w:rsid w:val="00A70D2F"/>
    <w:rsid w:val="00A9382A"/>
    <w:rsid w:val="00B06EF8"/>
    <w:rsid w:val="00B348A4"/>
    <w:rsid w:val="00B563D3"/>
    <w:rsid w:val="00BD0925"/>
    <w:rsid w:val="00C612D9"/>
    <w:rsid w:val="00C66FC3"/>
    <w:rsid w:val="00CA18BA"/>
    <w:rsid w:val="00D01EF7"/>
    <w:rsid w:val="00D042EF"/>
    <w:rsid w:val="00D313B6"/>
    <w:rsid w:val="00D93BE5"/>
    <w:rsid w:val="00DD4187"/>
    <w:rsid w:val="00E8495C"/>
    <w:rsid w:val="00EA4FA0"/>
    <w:rsid w:val="00F36ED6"/>
    <w:rsid w:val="00FA788A"/>
    <w:rsid w:val="00FC0484"/>
    <w:rsid w:val="00FC673E"/>
    <w:rsid w:val="00FC7A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39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82A"/>
  </w:style>
  <w:style w:type="paragraph" w:styleId="Footer">
    <w:name w:val="footer"/>
    <w:basedOn w:val="Normal"/>
    <w:link w:val="FooterChar"/>
    <w:uiPriority w:val="99"/>
    <w:unhideWhenUsed/>
    <w:rsid w:val="00A93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82A"/>
  </w:style>
  <w:style w:type="paragraph" w:styleId="ListParagraph">
    <w:name w:val="List Paragraph"/>
    <w:basedOn w:val="Normal"/>
    <w:uiPriority w:val="34"/>
    <w:qFormat/>
    <w:rsid w:val="00D93BE5"/>
    <w:pPr>
      <w:ind w:left="720"/>
      <w:contextualSpacing/>
    </w:pPr>
  </w:style>
  <w:style w:type="character" w:styleId="Hyperlink">
    <w:name w:val="Hyperlink"/>
    <w:basedOn w:val="DefaultParagraphFont"/>
    <w:uiPriority w:val="99"/>
    <w:unhideWhenUsed/>
    <w:rsid w:val="00D93BE5"/>
    <w:rPr>
      <w:color w:val="0563C1" w:themeColor="hyperlink"/>
      <w:u w:val="single"/>
    </w:rPr>
  </w:style>
  <w:style w:type="character" w:styleId="CommentReference">
    <w:name w:val="annotation reference"/>
    <w:basedOn w:val="DefaultParagraphFont"/>
    <w:uiPriority w:val="99"/>
    <w:semiHidden/>
    <w:unhideWhenUsed/>
    <w:rsid w:val="00A70830"/>
    <w:rPr>
      <w:sz w:val="16"/>
      <w:szCs w:val="16"/>
    </w:rPr>
  </w:style>
  <w:style w:type="paragraph" w:styleId="CommentText">
    <w:name w:val="annotation text"/>
    <w:basedOn w:val="Normal"/>
    <w:link w:val="CommentTextChar"/>
    <w:uiPriority w:val="99"/>
    <w:semiHidden/>
    <w:unhideWhenUsed/>
    <w:rsid w:val="00A70830"/>
    <w:pPr>
      <w:spacing w:line="240" w:lineRule="auto"/>
    </w:pPr>
    <w:rPr>
      <w:sz w:val="20"/>
      <w:szCs w:val="20"/>
    </w:rPr>
  </w:style>
  <w:style w:type="character" w:customStyle="1" w:styleId="CommentTextChar">
    <w:name w:val="Comment Text Char"/>
    <w:basedOn w:val="DefaultParagraphFont"/>
    <w:link w:val="CommentText"/>
    <w:uiPriority w:val="99"/>
    <w:semiHidden/>
    <w:rsid w:val="00A70830"/>
    <w:rPr>
      <w:sz w:val="20"/>
      <w:szCs w:val="20"/>
    </w:rPr>
  </w:style>
  <w:style w:type="paragraph" w:styleId="CommentSubject">
    <w:name w:val="annotation subject"/>
    <w:basedOn w:val="CommentText"/>
    <w:next w:val="CommentText"/>
    <w:link w:val="CommentSubjectChar"/>
    <w:uiPriority w:val="99"/>
    <w:semiHidden/>
    <w:unhideWhenUsed/>
    <w:rsid w:val="00A70830"/>
    <w:rPr>
      <w:b/>
      <w:bCs/>
    </w:rPr>
  </w:style>
  <w:style w:type="character" w:customStyle="1" w:styleId="CommentSubjectChar">
    <w:name w:val="Comment Subject Char"/>
    <w:basedOn w:val="CommentTextChar"/>
    <w:link w:val="CommentSubject"/>
    <w:uiPriority w:val="99"/>
    <w:semiHidden/>
    <w:rsid w:val="00A70830"/>
    <w:rPr>
      <w:b/>
      <w:bCs/>
      <w:sz w:val="20"/>
      <w:szCs w:val="20"/>
    </w:rPr>
  </w:style>
  <w:style w:type="paragraph" w:styleId="BalloonText">
    <w:name w:val="Balloon Text"/>
    <w:basedOn w:val="Normal"/>
    <w:link w:val="BalloonTextChar"/>
    <w:uiPriority w:val="99"/>
    <w:semiHidden/>
    <w:unhideWhenUsed/>
    <w:rsid w:val="00A70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830"/>
    <w:rPr>
      <w:rFonts w:ascii="Segoe UI" w:hAnsi="Segoe UI" w:cs="Segoe UI"/>
      <w:sz w:val="18"/>
      <w:szCs w:val="18"/>
    </w:rPr>
  </w:style>
  <w:style w:type="character" w:customStyle="1" w:styleId="apple-converted-space">
    <w:name w:val="apple-converted-space"/>
    <w:basedOn w:val="DefaultParagraphFont"/>
    <w:rsid w:val="00690B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82A"/>
  </w:style>
  <w:style w:type="paragraph" w:styleId="Footer">
    <w:name w:val="footer"/>
    <w:basedOn w:val="Normal"/>
    <w:link w:val="FooterChar"/>
    <w:uiPriority w:val="99"/>
    <w:unhideWhenUsed/>
    <w:rsid w:val="00A93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82A"/>
  </w:style>
  <w:style w:type="paragraph" w:styleId="ListParagraph">
    <w:name w:val="List Paragraph"/>
    <w:basedOn w:val="Normal"/>
    <w:uiPriority w:val="34"/>
    <w:qFormat/>
    <w:rsid w:val="00D93BE5"/>
    <w:pPr>
      <w:ind w:left="720"/>
      <w:contextualSpacing/>
    </w:pPr>
  </w:style>
  <w:style w:type="character" w:styleId="Hyperlink">
    <w:name w:val="Hyperlink"/>
    <w:basedOn w:val="DefaultParagraphFont"/>
    <w:uiPriority w:val="99"/>
    <w:unhideWhenUsed/>
    <w:rsid w:val="00D93BE5"/>
    <w:rPr>
      <w:color w:val="0563C1" w:themeColor="hyperlink"/>
      <w:u w:val="single"/>
    </w:rPr>
  </w:style>
  <w:style w:type="character" w:styleId="CommentReference">
    <w:name w:val="annotation reference"/>
    <w:basedOn w:val="DefaultParagraphFont"/>
    <w:uiPriority w:val="99"/>
    <w:semiHidden/>
    <w:unhideWhenUsed/>
    <w:rsid w:val="00A70830"/>
    <w:rPr>
      <w:sz w:val="16"/>
      <w:szCs w:val="16"/>
    </w:rPr>
  </w:style>
  <w:style w:type="paragraph" w:styleId="CommentText">
    <w:name w:val="annotation text"/>
    <w:basedOn w:val="Normal"/>
    <w:link w:val="CommentTextChar"/>
    <w:uiPriority w:val="99"/>
    <w:semiHidden/>
    <w:unhideWhenUsed/>
    <w:rsid w:val="00A70830"/>
    <w:pPr>
      <w:spacing w:line="240" w:lineRule="auto"/>
    </w:pPr>
    <w:rPr>
      <w:sz w:val="20"/>
      <w:szCs w:val="20"/>
    </w:rPr>
  </w:style>
  <w:style w:type="character" w:customStyle="1" w:styleId="CommentTextChar">
    <w:name w:val="Comment Text Char"/>
    <w:basedOn w:val="DefaultParagraphFont"/>
    <w:link w:val="CommentText"/>
    <w:uiPriority w:val="99"/>
    <w:semiHidden/>
    <w:rsid w:val="00A70830"/>
    <w:rPr>
      <w:sz w:val="20"/>
      <w:szCs w:val="20"/>
    </w:rPr>
  </w:style>
  <w:style w:type="paragraph" w:styleId="CommentSubject">
    <w:name w:val="annotation subject"/>
    <w:basedOn w:val="CommentText"/>
    <w:next w:val="CommentText"/>
    <w:link w:val="CommentSubjectChar"/>
    <w:uiPriority w:val="99"/>
    <w:semiHidden/>
    <w:unhideWhenUsed/>
    <w:rsid w:val="00A70830"/>
    <w:rPr>
      <w:b/>
      <w:bCs/>
    </w:rPr>
  </w:style>
  <w:style w:type="character" w:customStyle="1" w:styleId="CommentSubjectChar">
    <w:name w:val="Comment Subject Char"/>
    <w:basedOn w:val="CommentTextChar"/>
    <w:link w:val="CommentSubject"/>
    <w:uiPriority w:val="99"/>
    <w:semiHidden/>
    <w:rsid w:val="00A70830"/>
    <w:rPr>
      <w:b/>
      <w:bCs/>
      <w:sz w:val="20"/>
      <w:szCs w:val="20"/>
    </w:rPr>
  </w:style>
  <w:style w:type="paragraph" w:styleId="BalloonText">
    <w:name w:val="Balloon Text"/>
    <w:basedOn w:val="Normal"/>
    <w:link w:val="BalloonTextChar"/>
    <w:uiPriority w:val="99"/>
    <w:semiHidden/>
    <w:unhideWhenUsed/>
    <w:rsid w:val="00A70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830"/>
    <w:rPr>
      <w:rFonts w:ascii="Segoe UI" w:hAnsi="Segoe UI" w:cs="Segoe UI"/>
      <w:sz w:val="18"/>
      <w:szCs w:val="18"/>
    </w:rPr>
  </w:style>
  <w:style w:type="character" w:customStyle="1" w:styleId="apple-converted-space">
    <w:name w:val="apple-converted-space"/>
    <w:basedOn w:val="DefaultParagraphFont"/>
    <w:rsid w:val="00690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8714">
      <w:bodyDiv w:val="1"/>
      <w:marLeft w:val="0"/>
      <w:marRight w:val="0"/>
      <w:marTop w:val="0"/>
      <w:marBottom w:val="0"/>
      <w:divBdr>
        <w:top w:val="none" w:sz="0" w:space="0" w:color="auto"/>
        <w:left w:val="none" w:sz="0" w:space="0" w:color="auto"/>
        <w:bottom w:val="none" w:sz="0" w:space="0" w:color="auto"/>
        <w:right w:val="none" w:sz="0" w:space="0" w:color="auto"/>
      </w:divBdr>
    </w:div>
    <w:div w:id="1698503507">
      <w:bodyDiv w:val="1"/>
      <w:marLeft w:val="0"/>
      <w:marRight w:val="0"/>
      <w:marTop w:val="0"/>
      <w:marBottom w:val="0"/>
      <w:divBdr>
        <w:top w:val="none" w:sz="0" w:space="0" w:color="auto"/>
        <w:left w:val="none" w:sz="0" w:space="0" w:color="auto"/>
        <w:bottom w:val="none" w:sz="0" w:space="0" w:color="auto"/>
        <w:right w:val="none" w:sz="0" w:space="0" w:color="auto"/>
      </w:divBdr>
    </w:div>
    <w:div w:id="1866751479">
      <w:bodyDiv w:val="1"/>
      <w:marLeft w:val="0"/>
      <w:marRight w:val="0"/>
      <w:marTop w:val="0"/>
      <w:marBottom w:val="0"/>
      <w:divBdr>
        <w:top w:val="none" w:sz="0" w:space="0" w:color="auto"/>
        <w:left w:val="none" w:sz="0" w:space="0" w:color="auto"/>
        <w:bottom w:val="none" w:sz="0" w:space="0" w:color="auto"/>
        <w:right w:val="none" w:sz="0" w:space="0" w:color="auto"/>
      </w:divBdr>
    </w:div>
    <w:div w:id="201282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2.ibge.gov.br/english/" TargetMode="Externa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ri@lse.ac.uk" TargetMode="External"/><Relationship Id="rId9" Type="http://schemas.openxmlformats.org/officeDocument/2006/relationships/hyperlink" Target="https://tntcat.iiasa.ac.at/SspDb/dsd?Action=htmlpage&amp;page=about" TargetMode="External"/><Relationship Id="rId10" Type="http://schemas.openxmlformats.org/officeDocument/2006/relationships/hyperlink" Target="http://models.pbl.nl/image/index.php/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652</Words>
  <Characters>3717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Dietz,S</dc:creator>
  <cp:keywords/>
  <dc:description/>
  <cp:lastModifiedBy>Luca Taschini</cp:lastModifiedBy>
  <cp:revision>3</cp:revision>
  <cp:lastPrinted>2019-01-17T15:09:00Z</cp:lastPrinted>
  <dcterms:created xsi:type="dcterms:W3CDTF">2019-01-17T16:44:00Z</dcterms:created>
  <dcterms:modified xsi:type="dcterms:W3CDTF">2019-01-17T17:22:00Z</dcterms:modified>
</cp:coreProperties>
</file>