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092D8" w14:textId="77777777" w:rsidR="00D01EF7" w:rsidRDefault="00D01EF7" w:rsidP="001F2AA2">
      <w:pPr>
        <w:spacing w:after="0"/>
        <w:jc w:val="both"/>
        <w:rPr>
          <w:b/>
        </w:rPr>
      </w:pPr>
      <w:r>
        <w:rPr>
          <w:b/>
        </w:rPr>
        <w:t>Award: ESRC Centre for Climate Change Economics and Policy</w:t>
      </w:r>
    </w:p>
    <w:p w14:paraId="2E3E35DF" w14:textId="32E11906" w:rsidR="00D01EF7" w:rsidRDefault="00D01EF7" w:rsidP="001F2AA2">
      <w:pPr>
        <w:spacing w:after="0"/>
        <w:jc w:val="both"/>
        <w:rPr>
          <w:b/>
        </w:rPr>
      </w:pPr>
      <w:r>
        <w:rPr>
          <w:b/>
        </w:rPr>
        <w:t xml:space="preserve">Project: </w:t>
      </w:r>
      <w:r w:rsidR="00003527">
        <w:rPr>
          <w:b/>
        </w:rPr>
        <w:t xml:space="preserve">Carbon, Competitiveness &amp; Trade </w:t>
      </w:r>
      <w:r w:rsidR="00E8495C">
        <w:rPr>
          <w:b/>
        </w:rPr>
        <w:t>(CCCEP Phase 2)</w:t>
      </w:r>
    </w:p>
    <w:p w14:paraId="23A577D7" w14:textId="4045F8B0" w:rsidR="00D01EF7" w:rsidRDefault="00D01EF7" w:rsidP="001F2AA2">
      <w:pPr>
        <w:spacing w:after="0"/>
        <w:jc w:val="both"/>
        <w:rPr>
          <w:b/>
        </w:rPr>
      </w:pPr>
      <w:r>
        <w:rPr>
          <w:b/>
        </w:rPr>
        <w:t xml:space="preserve">Project lead: </w:t>
      </w:r>
      <w:r w:rsidR="00003527">
        <w:rPr>
          <w:b/>
        </w:rPr>
        <w:t>Antoine Dechezlepretre &amp; Ralf Martin</w:t>
      </w:r>
    </w:p>
    <w:p w14:paraId="1DF3460E" w14:textId="77777777" w:rsidR="00D01EF7" w:rsidRPr="00D01EF7" w:rsidRDefault="00D01EF7" w:rsidP="001F2AA2">
      <w:pPr>
        <w:spacing w:after="0"/>
        <w:jc w:val="both"/>
      </w:pPr>
      <w:r>
        <w:rPr>
          <w:b/>
        </w:rPr>
        <w:t xml:space="preserve">Contact: </w:t>
      </w:r>
      <w:hyperlink r:id="rId7" w:history="1">
        <w:r w:rsidRPr="00D01EF7">
          <w:rPr>
            <w:rStyle w:val="Hyperlink"/>
          </w:rPr>
          <w:t>gri@lse.ac.uk</w:t>
        </w:r>
      </w:hyperlink>
    </w:p>
    <w:p w14:paraId="18D33D7D" w14:textId="77777777" w:rsidR="001F2AA2" w:rsidRDefault="001F2AA2" w:rsidP="001F2AA2">
      <w:pPr>
        <w:spacing w:after="0"/>
        <w:jc w:val="both"/>
        <w:rPr>
          <w:b/>
        </w:rPr>
      </w:pPr>
    </w:p>
    <w:p w14:paraId="7AEA92F0" w14:textId="77777777" w:rsidR="00A9382A" w:rsidRDefault="00D01EF7" w:rsidP="001F2AA2">
      <w:pPr>
        <w:spacing w:after="0"/>
        <w:jc w:val="both"/>
        <w:rPr>
          <w:b/>
        </w:rPr>
      </w:pPr>
      <w:r>
        <w:rPr>
          <w:b/>
        </w:rPr>
        <w:t>Overview of project aims</w:t>
      </w:r>
    </w:p>
    <w:p w14:paraId="5D5E1852" w14:textId="5CB6C57F" w:rsidR="001F2AA2" w:rsidRDefault="00003527" w:rsidP="001F2AA2">
      <w:pPr>
        <w:spacing w:after="0"/>
        <w:jc w:val="both"/>
      </w:pPr>
      <w:r>
        <w:t xml:space="preserve">Unilateral climate policy can potentially </w:t>
      </w:r>
      <w:r w:rsidR="00F67F37">
        <w:t>harm competitiveness of businesses in regulated areas while leading to “carbon leakage” and thereby being ineffective. However, this is not necessarily so. Agglomeration rents and other location specific advantages imply that a certain degree of unilateral climate policy can be deployed without leading to leakage. In this project we search in several ways for evidence of carbon leakage</w:t>
      </w:r>
      <w:r w:rsidR="000F329D">
        <w:t>. We also try to come up with ways to determine tipping points for climate policy; i.e. levels of policy stringency that would render unilateral measures counterproductive.</w:t>
      </w:r>
    </w:p>
    <w:p w14:paraId="73A700DB" w14:textId="77777777" w:rsidR="00003527" w:rsidRDefault="00003527" w:rsidP="001F2AA2">
      <w:pPr>
        <w:spacing w:after="0"/>
        <w:jc w:val="both"/>
        <w:rPr>
          <w:b/>
        </w:rPr>
      </w:pPr>
    </w:p>
    <w:p w14:paraId="7DD7DDA6" w14:textId="08138E7E" w:rsidR="00D01EF7" w:rsidRDefault="00D01EF7" w:rsidP="001F2AA2">
      <w:pPr>
        <w:spacing w:after="0"/>
        <w:jc w:val="both"/>
        <w:rPr>
          <w:b/>
        </w:rPr>
      </w:pPr>
      <w:r>
        <w:rPr>
          <w:b/>
        </w:rPr>
        <w:t>Overview of data</w:t>
      </w:r>
    </w:p>
    <w:p w14:paraId="31FFE3BC" w14:textId="3E743DB6" w:rsidR="001F2AA2" w:rsidRDefault="000F329D" w:rsidP="000F329D">
      <w:r>
        <w:t>In this project we are relying on three types of data sources:</w:t>
      </w:r>
    </w:p>
    <w:p w14:paraId="17A28804" w14:textId="77777777" w:rsidR="000F329D" w:rsidRDefault="000F329D" w:rsidP="000F329D">
      <w:pPr>
        <w:pStyle w:val="ListParagraph"/>
        <w:numPr>
          <w:ilvl w:val="0"/>
          <w:numId w:val="4"/>
        </w:numPr>
      </w:pPr>
      <w:r>
        <w:t xml:space="preserve">Data collected by the Carbon Disclosure Project (CDP, </w:t>
      </w:r>
      <w:hyperlink r:id="rId8" w:history="1">
        <w:r w:rsidRPr="00CE1804">
          <w:rPr>
            <w:rStyle w:val="Hyperlink"/>
          </w:rPr>
          <w:t>https://www.cdp.net/en</w:t>
        </w:r>
      </w:hyperlink>
      <w:r>
        <w:t xml:space="preserve"> )</w:t>
      </w:r>
    </w:p>
    <w:p w14:paraId="1F9FEAA4" w14:textId="77777777" w:rsidR="007E15AA" w:rsidRDefault="007E15AA" w:rsidP="000F329D">
      <w:pPr>
        <w:pStyle w:val="ListParagraph"/>
        <w:numPr>
          <w:ilvl w:val="0"/>
          <w:numId w:val="4"/>
        </w:numPr>
      </w:pPr>
      <w:r>
        <w:t>The ORBIS dataset from Bureau van Dijk (</w:t>
      </w:r>
      <w:hyperlink r:id="rId9" w:history="1">
        <w:r w:rsidRPr="00CE1804">
          <w:rPr>
            <w:rStyle w:val="Hyperlink"/>
          </w:rPr>
          <w:t>http://tiny.cc/fr121y</w:t>
        </w:r>
      </w:hyperlink>
      <w:r>
        <w:t xml:space="preserve"> )</w:t>
      </w:r>
    </w:p>
    <w:p w14:paraId="50C64124" w14:textId="4C7C4C38" w:rsidR="00FE43C5" w:rsidRDefault="00FE43C5" w:rsidP="00FE43C5">
      <w:r>
        <w:t>In accessing these datasets we are restricted by data owners not to pass them on to third parties. However, in each case other researchers will be able gain access by engaging with the data providers directly.</w:t>
      </w:r>
    </w:p>
    <w:p w14:paraId="694C5967" w14:textId="01FC333C" w:rsidR="000F329D" w:rsidRDefault="000F329D" w:rsidP="00A56FA4">
      <w:pPr>
        <w:rPr>
          <w:b/>
        </w:rPr>
      </w:pPr>
      <w:r>
        <w:t xml:space="preserve"> </w:t>
      </w:r>
      <w:bookmarkStart w:id="0" w:name="_GoBack"/>
      <w:bookmarkEnd w:id="0"/>
    </w:p>
    <w:p w14:paraId="1AF5B960" w14:textId="77777777" w:rsidR="001F2AA2" w:rsidRPr="001F2AA2" w:rsidRDefault="001F2AA2" w:rsidP="001F2AA2">
      <w:pPr>
        <w:spacing w:after="0"/>
        <w:jc w:val="both"/>
      </w:pPr>
    </w:p>
    <w:p w14:paraId="5FD5680C" w14:textId="77777777" w:rsidR="00FC7A83" w:rsidRDefault="00D01EF7" w:rsidP="001F2AA2">
      <w:pPr>
        <w:spacing w:after="0"/>
        <w:jc w:val="both"/>
        <w:rPr>
          <w:b/>
        </w:rPr>
      </w:pPr>
      <w:r>
        <w:rPr>
          <w:b/>
        </w:rPr>
        <w:t>CCCEP p</w:t>
      </w:r>
      <w:r w:rsidR="00A9382A">
        <w:rPr>
          <w:b/>
        </w:rPr>
        <w:t>ublications</w:t>
      </w:r>
    </w:p>
    <w:p w14:paraId="0B8C9230" w14:textId="11FAC695" w:rsidR="0043750C" w:rsidRDefault="0043750C" w:rsidP="001F2AA2">
      <w:pPr>
        <w:spacing w:after="0"/>
        <w:jc w:val="both"/>
      </w:pPr>
    </w:p>
    <w:p w14:paraId="5CA0ECB0" w14:textId="77777777" w:rsidR="00270D9B" w:rsidRDefault="00270D9B" w:rsidP="001F2AA2">
      <w:pPr>
        <w:spacing w:after="0"/>
        <w:jc w:val="both"/>
      </w:pPr>
    </w:p>
    <w:p w14:paraId="62857D11" w14:textId="3A5916FF" w:rsidR="00270D9B" w:rsidRDefault="00270D9B" w:rsidP="00F42BDB">
      <w:pPr>
        <w:pStyle w:val="ListParagraph"/>
        <w:numPr>
          <w:ilvl w:val="0"/>
          <w:numId w:val="5"/>
        </w:numPr>
        <w:spacing w:after="0"/>
        <w:jc w:val="both"/>
      </w:pPr>
      <w:r w:rsidRPr="00F42BDB">
        <w:rPr>
          <w:rFonts w:ascii="Arial" w:hAnsi="Arial" w:cs="Arial"/>
          <w:color w:val="333333"/>
          <w:shd w:val="clear" w:color="auto" w:fill="FFFFFF"/>
        </w:rPr>
        <w:t>Antoine Dechezlepr</w:t>
      </w:r>
      <w:r w:rsidRPr="00F42BDB">
        <w:rPr>
          <w:rFonts w:ascii="Tahoma" w:hAnsi="Tahoma" w:cs="Tahoma"/>
          <w:color w:val="333333"/>
          <w:shd w:val="clear" w:color="auto" w:fill="FFFFFF"/>
        </w:rPr>
        <w:t>e</w:t>
      </w:r>
      <w:r w:rsidRPr="00F42BDB">
        <w:rPr>
          <w:rFonts w:ascii="Arial" w:hAnsi="Arial" w:cs="Arial"/>
          <w:color w:val="333333"/>
          <w:shd w:val="clear" w:color="auto" w:fill="FFFFFF"/>
        </w:rPr>
        <w:t>tre &amp; Caterina Gennaioli &amp; Ralf Martin &amp; Mirabelle Mu</w:t>
      </w:r>
      <w:r w:rsidRPr="00F42BDB">
        <w:rPr>
          <w:rFonts w:ascii="Tahoma" w:hAnsi="Tahoma" w:cs="Tahoma"/>
          <w:color w:val="333333"/>
          <w:shd w:val="clear" w:color="auto" w:fill="FFFFFF"/>
        </w:rPr>
        <w:t>u</w:t>
      </w:r>
      <w:r w:rsidRPr="00F42BDB">
        <w:rPr>
          <w:rFonts w:ascii="Arial" w:hAnsi="Arial" w:cs="Arial"/>
          <w:color w:val="333333"/>
          <w:shd w:val="clear" w:color="auto" w:fill="FFFFFF"/>
        </w:rPr>
        <w:t>ls, (2014). "</w:t>
      </w:r>
      <w:hyperlink r:id="rId10" w:history="1">
        <w:r w:rsidRPr="00F42BDB">
          <w:rPr>
            <w:rStyle w:val="Hyperlink"/>
            <w:rFonts w:ascii="Arial" w:hAnsi="Arial" w:cs="Arial"/>
            <w:b/>
            <w:bCs/>
            <w:color w:val="2D4E8B"/>
          </w:rPr>
          <w:t>Searching for carbon leaks in multinational companies</w:t>
        </w:r>
      </w:hyperlink>
      <w:r w:rsidRPr="00F42BDB">
        <w:rPr>
          <w:rFonts w:ascii="Arial" w:hAnsi="Arial" w:cs="Arial"/>
          <w:color w:val="333333"/>
          <w:shd w:val="clear" w:color="auto" w:fill="FFFFFF"/>
        </w:rPr>
        <w:t>," </w:t>
      </w:r>
      <w:hyperlink r:id="rId11" w:history="1">
        <w:r w:rsidRPr="00F42BDB">
          <w:rPr>
            <w:rStyle w:val="Hyperlink"/>
            <w:rFonts w:ascii="Arial" w:hAnsi="Arial" w:cs="Arial"/>
            <w:color w:val="2D4E8B"/>
          </w:rPr>
          <w:t>GRI Working Papers</w:t>
        </w:r>
      </w:hyperlink>
      <w:r w:rsidRPr="00F42BDB">
        <w:rPr>
          <w:rFonts w:ascii="Arial" w:hAnsi="Arial" w:cs="Arial"/>
          <w:color w:val="333333"/>
          <w:shd w:val="clear" w:color="auto" w:fill="FFFFFF"/>
        </w:rPr>
        <w:t> 165, Grantham Research Institute on Climate Change and the Environment.</w:t>
      </w:r>
    </w:p>
    <w:p w14:paraId="65E9E6B7" w14:textId="3E214398" w:rsidR="00270D9B" w:rsidRDefault="00270D9B" w:rsidP="001F2AA2">
      <w:pPr>
        <w:spacing w:after="0"/>
        <w:jc w:val="both"/>
      </w:pPr>
    </w:p>
    <w:p w14:paraId="1D2AEA80" w14:textId="16381D16" w:rsidR="004753A9" w:rsidRDefault="00F42BDB" w:rsidP="00F42BDB">
      <w:pPr>
        <w:pStyle w:val="ListParagraph"/>
        <w:numPr>
          <w:ilvl w:val="0"/>
          <w:numId w:val="5"/>
        </w:numPr>
        <w:spacing w:after="0"/>
        <w:jc w:val="both"/>
      </w:pPr>
      <w:r w:rsidRPr="00F42BDB">
        <w:t>Antoine Dechezlepretre, Stefania Lovo, Ralf Martin, Misato Sato</w:t>
      </w:r>
      <w:r>
        <w:t xml:space="preserve"> (2018)</w:t>
      </w:r>
      <w:r w:rsidRPr="00F42BDB">
        <w:rPr>
          <w:rFonts w:ascii="Cambria Math" w:hAnsi="Cambria Math" w:cs="Cambria Math"/>
        </w:rPr>
        <w:t xml:space="preserve">  “</w:t>
      </w:r>
      <w:r w:rsidR="004753A9" w:rsidRPr="004753A9">
        <w:t>Does climate change pose a risk to competitiveness? - Global firm level evidence</w:t>
      </w:r>
      <w:r>
        <w:t>” mimeo LSE</w:t>
      </w:r>
    </w:p>
    <w:p w14:paraId="5C1C8571" w14:textId="77777777" w:rsidR="004753A9" w:rsidRDefault="004753A9" w:rsidP="001F2AA2">
      <w:pPr>
        <w:spacing w:after="0"/>
        <w:jc w:val="both"/>
      </w:pPr>
    </w:p>
    <w:p w14:paraId="560B5490" w14:textId="308C508C" w:rsidR="00FE43C5" w:rsidRPr="0043750C" w:rsidRDefault="00270D9B" w:rsidP="00F42BDB">
      <w:pPr>
        <w:pStyle w:val="ListParagraph"/>
        <w:numPr>
          <w:ilvl w:val="0"/>
          <w:numId w:val="5"/>
        </w:numPr>
        <w:spacing w:after="0"/>
        <w:jc w:val="both"/>
      </w:pPr>
      <w:r>
        <w:t>Jonathan Colmer, Ralf Martin, Mirabelle Muuls, Ulrich Wager (2018) “</w:t>
      </w:r>
      <w:r w:rsidRPr="00270D9B">
        <w:t>Emissions Trading, Firm Behavior, and the Environment: Evidence from French Manufacturing Firms</w:t>
      </w:r>
      <w:r>
        <w:t>”, mimeo LSE</w:t>
      </w:r>
    </w:p>
    <w:sectPr w:rsidR="00FE43C5" w:rsidRPr="004375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E05BB" w14:textId="77777777" w:rsidR="00771CAA" w:rsidRDefault="00771CAA" w:rsidP="00A9382A">
      <w:pPr>
        <w:spacing w:after="0" w:line="240" w:lineRule="auto"/>
      </w:pPr>
      <w:r>
        <w:separator/>
      </w:r>
    </w:p>
  </w:endnote>
  <w:endnote w:type="continuationSeparator" w:id="0">
    <w:p w14:paraId="64E353EB" w14:textId="77777777" w:rsidR="00771CAA" w:rsidRDefault="00771CAA" w:rsidP="00A93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2A863" w14:textId="77777777" w:rsidR="00771CAA" w:rsidRDefault="00771CAA" w:rsidP="00A9382A">
      <w:pPr>
        <w:spacing w:after="0" w:line="240" w:lineRule="auto"/>
      </w:pPr>
      <w:r>
        <w:separator/>
      </w:r>
    </w:p>
  </w:footnote>
  <w:footnote w:type="continuationSeparator" w:id="0">
    <w:p w14:paraId="29E2F2AE" w14:textId="77777777" w:rsidR="00771CAA" w:rsidRDefault="00771CAA" w:rsidP="00A93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29E"/>
    <w:multiLevelType w:val="hybridMultilevel"/>
    <w:tmpl w:val="76B6A2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D601F"/>
    <w:multiLevelType w:val="hybridMultilevel"/>
    <w:tmpl w:val="9C3427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B24BDE"/>
    <w:multiLevelType w:val="hybridMultilevel"/>
    <w:tmpl w:val="8626E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B30F68"/>
    <w:multiLevelType w:val="hybridMultilevel"/>
    <w:tmpl w:val="54465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FA0"/>
    <w:rsid w:val="00003527"/>
    <w:rsid w:val="00011816"/>
    <w:rsid w:val="00091CF4"/>
    <w:rsid w:val="000D08CA"/>
    <w:rsid w:val="000E182B"/>
    <w:rsid w:val="000F329D"/>
    <w:rsid w:val="001007C6"/>
    <w:rsid w:val="00111006"/>
    <w:rsid w:val="0011534B"/>
    <w:rsid w:val="0012518B"/>
    <w:rsid w:val="001B4078"/>
    <w:rsid w:val="001F2AA2"/>
    <w:rsid w:val="00256D80"/>
    <w:rsid w:val="00270D9B"/>
    <w:rsid w:val="002F78A6"/>
    <w:rsid w:val="004002CC"/>
    <w:rsid w:val="0043750C"/>
    <w:rsid w:val="004753A9"/>
    <w:rsid w:val="00771CAA"/>
    <w:rsid w:val="007E15AA"/>
    <w:rsid w:val="007E55F1"/>
    <w:rsid w:val="00845870"/>
    <w:rsid w:val="008F035B"/>
    <w:rsid w:val="009F7B35"/>
    <w:rsid w:val="00A56FA4"/>
    <w:rsid w:val="00A70830"/>
    <w:rsid w:val="00A9382A"/>
    <w:rsid w:val="00B563D3"/>
    <w:rsid w:val="00BC199D"/>
    <w:rsid w:val="00C66FC3"/>
    <w:rsid w:val="00D01EF7"/>
    <w:rsid w:val="00D042EF"/>
    <w:rsid w:val="00D313B6"/>
    <w:rsid w:val="00D93BE5"/>
    <w:rsid w:val="00DC4841"/>
    <w:rsid w:val="00E8495C"/>
    <w:rsid w:val="00EA4FA0"/>
    <w:rsid w:val="00F36ED6"/>
    <w:rsid w:val="00F42BDB"/>
    <w:rsid w:val="00F67F37"/>
    <w:rsid w:val="00FC5800"/>
    <w:rsid w:val="00FC7A83"/>
    <w:rsid w:val="00FE4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997A"/>
  <w15:chartTrackingRefBased/>
  <w15:docId w15:val="{6D3F4B7F-FDDF-4A28-95A4-A0CA7A6F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8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82A"/>
  </w:style>
  <w:style w:type="paragraph" w:styleId="Footer">
    <w:name w:val="footer"/>
    <w:basedOn w:val="Normal"/>
    <w:link w:val="FooterChar"/>
    <w:uiPriority w:val="99"/>
    <w:unhideWhenUsed/>
    <w:rsid w:val="00A938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82A"/>
  </w:style>
  <w:style w:type="paragraph" w:styleId="ListParagraph">
    <w:name w:val="List Paragraph"/>
    <w:basedOn w:val="Normal"/>
    <w:uiPriority w:val="34"/>
    <w:qFormat/>
    <w:rsid w:val="00D93BE5"/>
    <w:pPr>
      <w:ind w:left="720"/>
      <w:contextualSpacing/>
    </w:pPr>
  </w:style>
  <w:style w:type="character" w:styleId="Hyperlink">
    <w:name w:val="Hyperlink"/>
    <w:basedOn w:val="DefaultParagraphFont"/>
    <w:uiPriority w:val="99"/>
    <w:unhideWhenUsed/>
    <w:rsid w:val="00D93BE5"/>
    <w:rPr>
      <w:color w:val="0563C1" w:themeColor="hyperlink"/>
      <w:u w:val="single"/>
    </w:rPr>
  </w:style>
  <w:style w:type="character" w:styleId="CommentReference">
    <w:name w:val="annotation reference"/>
    <w:basedOn w:val="DefaultParagraphFont"/>
    <w:uiPriority w:val="99"/>
    <w:semiHidden/>
    <w:unhideWhenUsed/>
    <w:rsid w:val="00A70830"/>
    <w:rPr>
      <w:sz w:val="16"/>
      <w:szCs w:val="16"/>
    </w:rPr>
  </w:style>
  <w:style w:type="paragraph" w:styleId="CommentText">
    <w:name w:val="annotation text"/>
    <w:basedOn w:val="Normal"/>
    <w:link w:val="CommentTextChar"/>
    <w:uiPriority w:val="99"/>
    <w:semiHidden/>
    <w:unhideWhenUsed/>
    <w:rsid w:val="00A70830"/>
    <w:pPr>
      <w:spacing w:line="240" w:lineRule="auto"/>
    </w:pPr>
    <w:rPr>
      <w:sz w:val="20"/>
      <w:szCs w:val="20"/>
    </w:rPr>
  </w:style>
  <w:style w:type="character" w:customStyle="1" w:styleId="CommentTextChar">
    <w:name w:val="Comment Text Char"/>
    <w:basedOn w:val="DefaultParagraphFont"/>
    <w:link w:val="CommentText"/>
    <w:uiPriority w:val="99"/>
    <w:semiHidden/>
    <w:rsid w:val="00A70830"/>
    <w:rPr>
      <w:sz w:val="20"/>
      <w:szCs w:val="20"/>
    </w:rPr>
  </w:style>
  <w:style w:type="paragraph" w:styleId="CommentSubject">
    <w:name w:val="annotation subject"/>
    <w:basedOn w:val="CommentText"/>
    <w:next w:val="CommentText"/>
    <w:link w:val="CommentSubjectChar"/>
    <w:uiPriority w:val="99"/>
    <w:semiHidden/>
    <w:unhideWhenUsed/>
    <w:rsid w:val="00A70830"/>
    <w:rPr>
      <w:b/>
      <w:bCs/>
    </w:rPr>
  </w:style>
  <w:style w:type="character" w:customStyle="1" w:styleId="CommentSubjectChar">
    <w:name w:val="Comment Subject Char"/>
    <w:basedOn w:val="CommentTextChar"/>
    <w:link w:val="CommentSubject"/>
    <w:uiPriority w:val="99"/>
    <w:semiHidden/>
    <w:rsid w:val="00A70830"/>
    <w:rPr>
      <w:b/>
      <w:bCs/>
      <w:sz w:val="20"/>
      <w:szCs w:val="20"/>
    </w:rPr>
  </w:style>
  <w:style w:type="paragraph" w:styleId="BalloonText">
    <w:name w:val="Balloon Text"/>
    <w:basedOn w:val="Normal"/>
    <w:link w:val="BalloonTextChar"/>
    <w:uiPriority w:val="99"/>
    <w:semiHidden/>
    <w:unhideWhenUsed/>
    <w:rsid w:val="00A70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830"/>
    <w:rPr>
      <w:rFonts w:ascii="Segoe UI" w:hAnsi="Segoe UI" w:cs="Segoe UI"/>
      <w:sz w:val="18"/>
      <w:szCs w:val="18"/>
    </w:rPr>
  </w:style>
  <w:style w:type="character" w:customStyle="1" w:styleId="UnresolvedMention">
    <w:name w:val="Unresolved Mention"/>
    <w:basedOn w:val="DefaultParagraphFont"/>
    <w:uiPriority w:val="99"/>
    <w:semiHidden/>
    <w:unhideWhenUsed/>
    <w:rsid w:val="000F3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68714">
      <w:bodyDiv w:val="1"/>
      <w:marLeft w:val="0"/>
      <w:marRight w:val="0"/>
      <w:marTop w:val="0"/>
      <w:marBottom w:val="0"/>
      <w:divBdr>
        <w:top w:val="none" w:sz="0" w:space="0" w:color="auto"/>
        <w:left w:val="none" w:sz="0" w:space="0" w:color="auto"/>
        <w:bottom w:val="none" w:sz="0" w:space="0" w:color="auto"/>
        <w:right w:val="none" w:sz="0" w:space="0" w:color="auto"/>
      </w:divBdr>
    </w:div>
    <w:div w:id="186675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p.net/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i@lse.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eas.repec.org/s/lsg/lsgwps.html" TargetMode="External"/><Relationship Id="rId5" Type="http://schemas.openxmlformats.org/officeDocument/2006/relationships/footnotes" Target="footnotes.xml"/><Relationship Id="rId10" Type="http://schemas.openxmlformats.org/officeDocument/2006/relationships/hyperlink" Target="https://ideas.repec.org/p/lsg/lsgwps/wp165.html" TargetMode="External"/><Relationship Id="rId4" Type="http://schemas.openxmlformats.org/officeDocument/2006/relationships/webSettings" Target="webSettings.xml"/><Relationship Id="rId9" Type="http://schemas.openxmlformats.org/officeDocument/2006/relationships/hyperlink" Target="http://tiny.cc/fr121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Dietz,S</dc:creator>
  <cp:keywords/>
  <dc:description/>
  <cp:lastModifiedBy>Vlad, Anca D</cp:lastModifiedBy>
  <cp:revision>8</cp:revision>
  <dcterms:created xsi:type="dcterms:W3CDTF">2018-12-30T19:30:00Z</dcterms:created>
  <dcterms:modified xsi:type="dcterms:W3CDTF">2019-07-25T14:20:00Z</dcterms:modified>
</cp:coreProperties>
</file>