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092D8" w14:textId="77777777" w:rsidR="00D01EF7" w:rsidRDefault="00D01EF7" w:rsidP="001F2AA2">
      <w:pPr>
        <w:spacing w:after="0"/>
        <w:jc w:val="both"/>
        <w:rPr>
          <w:b/>
        </w:rPr>
      </w:pPr>
      <w:r>
        <w:rPr>
          <w:b/>
        </w:rPr>
        <w:t>Award: ESRC Centre for Climate Change Economics and Policy</w:t>
      </w:r>
    </w:p>
    <w:p w14:paraId="2E3E35DF" w14:textId="0B6BE034" w:rsidR="00D01EF7" w:rsidRDefault="00D01EF7" w:rsidP="001F2AA2">
      <w:pPr>
        <w:spacing w:after="0"/>
        <w:jc w:val="both"/>
        <w:rPr>
          <w:b/>
        </w:rPr>
      </w:pPr>
      <w:r>
        <w:rPr>
          <w:b/>
        </w:rPr>
        <w:t xml:space="preserve">Project: </w:t>
      </w:r>
      <w:r w:rsidR="00CD2BED" w:rsidRPr="00CD2BED">
        <w:rPr>
          <w:b/>
        </w:rPr>
        <w:t>Green growth and jobs in advanced economies</w:t>
      </w:r>
      <w:r w:rsidR="00E8495C">
        <w:rPr>
          <w:b/>
        </w:rPr>
        <w:t xml:space="preserve"> (CCCEP Phase 2)</w:t>
      </w:r>
    </w:p>
    <w:p w14:paraId="23A577D7" w14:textId="0A0F03AF" w:rsidR="00D01EF7" w:rsidRDefault="00D01EF7" w:rsidP="001F2AA2">
      <w:pPr>
        <w:spacing w:after="0"/>
        <w:jc w:val="both"/>
        <w:rPr>
          <w:b/>
        </w:rPr>
      </w:pPr>
      <w:r>
        <w:rPr>
          <w:b/>
        </w:rPr>
        <w:t xml:space="preserve">Project lead: </w:t>
      </w:r>
      <w:r w:rsidR="00CD2BED">
        <w:rPr>
          <w:b/>
        </w:rPr>
        <w:t>Alex Bowen</w:t>
      </w:r>
    </w:p>
    <w:p w14:paraId="1DF3460E" w14:textId="77777777" w:rsidR="00D01EF7" w:rsidRPr="00D01EF7" w:rsidRDefault="00D01EF7" w:rsidP="001F2AA2">
      <w:pPr>
        <w:spacing w:after="0"/>
        <w:jc w:val="both"/>
      </w:pPr>
      <w:r>
        <w:rPr>
          <w:b/>
        </w:rPr>
        <w:t xml:space="preserve">Contact: </w:t>
      </w:r>
      <w:hyperlink r:id="rId7" w:history="1">
        <w:r w:rsidRPr="00D01EF7">
          <w:rPr>
            <w:rStyle w:val="Hyperlink"/>
          </w:rPr>
          <w:t>gri@lse.ac.uk</w:t>
        </w:r>
      </w:hyperlink>
    </w:p>
    <w:p w14:paraId="18D33D7D" w14:textId="77777777" w:rsidR="001F2AA2" w:rsidRDefault="001F2AA2" w:rsidP="001F2AA2">
      <w:pPr>
        <w:spacing w:after="0"/>
        <w:jc w:val="both"/>
        <w:rPr>
          <w:b/>
        </w:rPr>
      </w:pPr>
    </w:p>
    <w:p w14:paraId="7AEA92F0" w14:textId="77777777" w:rsidR="00A9382A" w:rsidRDefault="00D01EF7" w:rsidP="001F2AA2">
      <w:pPr>
        <w:spacing w:after="0"/>
        <w:jc w:val="both"/>
        <w:rPr>
          <w:b/>
        </w:rPr>
      </w:pPr>
      <w:r>
        <w:rPr>
          <w:b/>
        </w:rPr>
        <w:t>Overview of project aims</w:t>
      </w:r>
    </w:p>
    <w:p w14:paraId="6CDE1162" w14:textId="14C4A97F" w:rsidR="00EF1786" w:rsidRDefault="00A735BF" w:rsidP="00EF1786">
      <w:pPr>
        <w:spacing w:after="0"/>
        <w:jc w:val="both"/>
      </w:pPr>
      <w:r>
        <w:t xml:space="preserve">This project </w:t>
      </w:r>
      <w:r w:rsidR="00D0314D">
        <w:t>produced two peer-reviewed publications whose data and computer codes are relevant for archiving. The first paper created</w:t>
      </w:r>
      <w:r>
        <w:t xml:space="preserve"> a detailed </w:t>
      </w:r>
      <w:r>
        <w:t>characteris</w:t>
      </w:r>
      <w:r>
        <w:t xml:space="preserve">ation of </w:t>
      </w:r>
      <w:r>
        <w:t xml:space="preserve">green employment </w:t>
      </w:r>
      <w:r>
        <w:t xml:space="preserve">in the USA and assessed the potential for green job transitions. </w:t>
      </w:r>
      <w:r w:rsidR="00D0314D">
        <w:t>The second paper</w:t>
      </w:r>
      <w:r w:rsidR="00EF1786">
        <w:t xml:space="preserve"> analysed empirically how </w:t>
      </w:r>
      <w:r w:rsidR="00EF1786" w:rsidRPr="00CD2BED">
        <w:t>emissions relate to employment</w:t>
      </w:r>
      <w:r w:rsidR="00EF1786">
        <w:t xml:space="preserve"> by skill level, investment</w:t>
      </w:r>
      <w:r w:rsidR="00EF1786" w:rsidRPr="00CD2BED">
        <w:t xml:space="preserve"> and economic performance in sectors figuring prominently in the climate-policy debate</w:t>
      </w:r>
      <w:r w:rsidR="00EF1786">
        <w:t>, namely high- and low-carbon intensity sectors</w:t>
      </w:r>
      <w:r w:rsidR="00D0314D">
        <w:t xml:space="preserve"> of the </w:t>
      </w:r>
      <w:r w:rsidR="00D0314D">
        <w:t>OECD and emerging countries</w:t>
      </w:r>
      <w:r w:rsidR="00D0314D">
        <w:t xml:space="preserve">. The data used are publically available from online databases as detailed below and in the papers. The computer codes associated with the papers have been archived in  ReShare. </w:t>
      </w:r>
    </w:p>
    <w:p w14:paraId="2899BBE3" w14:textId="77777777" w:rsidR="00CD2BED" w:rsidRDefault="00CD2BED" w:rsidP="001F2AA2">
      <w:pPr>
        <w:spacing w:after="0"/>
        <w:jc w:val="both"/>
        <w:rPr>
          <w:b/>
        </w:rPr>
      </w:pPr>
    </w:p>
    <w:p w14:paraId="7DD7DDA6" w14:textId="77777777" w:rsidR="00D01EF7" w:rsidRDefault="00D01EF7" w:rsidP="001F2AA2">
      <w:pPr>
        <w:spacing w:after="0"/>
        <w:jc w:val="both"/>
        <w:rPr>
          <w:b/>
        </w:rPr>
      </w:pPr>
      <w:r>
        <w:rPr>
          <w:b/>
        </w:rPr>
        <w:t>Overview of data</w:t>
      </w:r>
    </w:p>
    <w:p w14:paraId="10F7CB81" w14:textId="501D1DED" w:rsidR="000D3785" w:rsidRDefault="000D3785" w:rsidP="00D0314D">
      <w:pPr>
        <w:pStyle w:val="ListParagraph"/>
        <w:numPr>
          <w:ilvl w:val="0"/>
          <w:numId w:val="1"/>
        </w:numPr>
        <w:spacing w:after="0"/>
        <w:jc w:val="both"/>
      </w:pPr>
      <w:r>
        <w:t>Bowen et al (2018</w:t>
      </w:r>
      <w:r w:rsidR="00A735BF">
        <w:t>)</w:t>
      </w:r>
      <w:r>
        <w:t xml:space="preserve"> </w:t>
      </w:r>
      <w:r>
        <w:rPr>
          <w:b/>
        </w:rPr>
        <w:t xml:space="preserve">[1] </w:t>
      </w:r>
      <w:r>
        <w:t xml:space="preserve">uses publically available data </w:t>
      </w:r>
      <w:r w:rsidR="003F77FF">
        <w:t xml:space="preserve">from </w:t>
      </w:r>
      <w:r w:rsidR="003F77FF" w:rsidRPr="003F77FF">
        <w:t>O*NET v19.0 (released July 2014)</w:t>
      </w:r>
      <w:r w:rsidR="00D0314D">
        <w:t xml:space="preserve"> available for download at </w:t>
      </w:r>
      <w:hyperlink r:id="rId8" w:history="1">
        <w:r w:rsidR="00D0314D" w:rsidRPr="00B25FFC">
          <w:rPr>
            <w:rStyle w:val="Hyperlink"/>
          </w:rPr>
          <w:t>https://www.onetcenter.org/dataCollection.html</w:t>
        </w:r>
      </w:hyperlink>
      <w:r w:rsidR="00D0314D">
        <w:t xml:space="preserve">, </w:t>
      </w:r>
      <w:r w:rsidR="003F77FF" w:rsidRPr="003F77FF">
        <w:t xml:space="preserve">and employment data from the </w:t>
      </w:r>
      <w:r w:rsidR="00801712">
        <w:t xml:space="preserve">US </w:t>
      </w:r>
      <w:r w:rsidR="003F77FF" w:rsidRPr="003F77FF">
        <w:t>Bureau of Labor Statistics (BLS)</w:t>
      </w:r>
      <w:r w:rsidR="003F77FF">
        <w:t>. Section 2 of the paper provides additional details. A Stata do file which processes the</w:t>
      </w:r>
      <w:r w:rsidR="00B662C9">
        <w:t xml:space="preserve"> data</w:t>
      </w:r>
      <w:r w:rsidR="003F77FF">
        <w:t xml:space="preserve"> and generates </w:t>
      </w:r>
      <w:r w:rsidR="00B662C9">
        <w:t xml:space="preserve">the </w:t>
      </w:r>
      <w:r w:rsidR="003F77FF">
        <w:t>resul</w:t>
      </w:r>
      <w:r w:rsidR="00B662C9">
        <w:t>t</w:t>
      </w:r>
      <w:r w:rsidR="003F77FF">
        <w:t xml:space="preserve">s has been archived in ReShare. </w:t>
      </w:r>
    </w:p>
    <w:p w14:paraId="229A4D86" w14:textId="32F03DC7" w:rsidR="006012C5" w:rsidRDefault="006012C5" w:rsidP="006012C5">
      <w:pPr>
        <w:pStyle w:val="ListParagraph"/>
        <w:numPr>
          <w:ilvl w:val="0"/>
          <w:numId w:val="1"/>
        </w:numPr>
        <w:spacing w:after="0"/>
      </w:pPr>
      <w:r>
        <w:t xml:space="preserve">Doda (2018) </w:t>
      </w:r>
      <w:r w:rsidRPr="006012C5">
        <w:rPr>
          <w:b/>
        </w:rPr>
        <w:t>[2]</w:t>
      </w:r>
      <w:r>
        <w:t xml:space="preserve"> uses the socioeconomic and Environmental Accounts of the World-Input Output Database (release 2013). The data are publically available for download at </w:t>
      </w:r>
      <w:hyperlink r:id="rId9" w:history="1">
        <w:r w:rsidRPr="0025421A">
          <w:rPr>
            <w:rStyle w:val="Hyperlink"/>
          </w:rPr>
          <w:t>http://www.wiod.org/release13 /</w:t>
        </w:r>
      </w:hyperlink>
      <w:r>
        <w:t xml:space="preserve">. See Section 2 of the paper for additional </w:t>
      </w:r>
      <w:r w:rsidR="00EC69E2">
        <w:t>details</w:t>
      </w:r>
      <w:r>
        <w:t>. T</w:t>
      </w:r>
      <w:r w:rsidR="00EC69E2">
        <w:t>hree</w:t>
      </w:r>
      <w:r>
        <w:t xml:space="preserve"> Stata do file</w:t>
      </w:r>
      <w:r w:rsidR="00EC69E2">
        <w:t xml:space="preserve">s which generate </w:t>
      </w:r>
      <w:r>
        <w:t xml:space="preserve">paper’s </w:t>
      </w:r>
      <w:r w:rsidR="00EC69E2">
        <w:t xml:space="preserve">dataset based on WIOD data as well as the </w:t>
      </w:r>
      <w:r>
        <w:t xml:space="preserve">tables and figures </w:t>
      </w:r>
      <w:r w:rsidR="00EC69E2">
        <w:t xml:space="preserve">Sections 3 and 4 </w:t>
      </w:r>
      <w:r>
        <w:t>have been archived with ReShare.</w:t>
      </w:r>
    </w:p>
    <w:p w14:paraId="31FFE3BC" w14:textId="77777777" w:rsidR="001F2AA2" w:rsidRDefault="001F2AA2" w:rsidP="001F2AA2">
      <w:pPr>
        <w:spacing w:after="0"/>
        <w:jc w:val="both"/>
        <w:rPr>
          <w:b/>
        </w:rPr>
      </w:pPr>
    </w:p>
    <w:p w14:paraId="40D06682" w14:textId="77777777" w:rsidR="00D01EF7" w:rsidRDefault="00D01EF7" w:rsidP="001F2AA2">
      <w:pPr>
        <w:spacing w:after="0"/>
        <w:jc w:val="both"/>
        <w:rPr>
          <w:b/>
        </w:rPr>
      </w:pPr>
      <w:r>
        <w:rPr>
          <w:b/>
        </w:rPr>
        <w:t>Links to other projects</w:t>
      </w:r>
    </w:p>
    <w:p w14:paraId="15F96072" w14:textId="0A283005" w:rsidR="00D01EF7" w:rsidRDefault="00111006" w:rsidP="001F2AA2">
      <w:pPr>
        <w:spacing w:after="0"/>
        <w:jc w:val="both"/>
      </w:pPr>
      <w:r>
        <w:t xml:space="preserve">This project is related to a broader programme of work at the Grantham Research Institute on Climate Change and the Environment, LSE, on decision-making under uncertainty and its implications for climate/environmental economics, under the </w:t>
      </w:r>
      <w:r w:rsidR="00205C7C">
        <w:rPr>
          <w:i/>
        </w:rPr>
        <w:t>Growth and Innovation Theme</w:t>
      </w:r>
      <w:r>
        <w:t>.</w:t>
      </w:r>
    </w:p>
    <w:p w14:paraId="6C7B54B7" w14:textId="02E6D46F" w:rsidR="00205C7C" w:rsidRDefault="00205C7C">
      <w:pPr>
        <w:rPr>
          <w:b/>
        </w:rPr>
      </w:pPr>
    </w:p>
    <w:p w14:paraId="79622C7A" w14:textId="16E6350E" w:rsidR="00205C7C" w:rsidRDefault="00D01EF7" w:rsidP="001F2AA2">
      <w:pPr>
        <w:spacing w:after="0"/>
        <w:jc w:val="both"/>
        <w:rPr>
          <w:b/>
        </w:rPr>
      </w:pPr>
      <w:r>
        <w:rPr>
          <w:b/>
        </w:rPr>
        <w:t>CCCEP p</w:t>
      </w:r>
      <w:r w:rsidR="00A9382A">
        <w:rPr>
          <w:b/>
        </w:rPr>
        <w:t>ublications</w:t>
      </w:r>
    </w:p>
    <w:p w14:paraId="53F90CB3" w14:textId="506242BF" w:rsidR="00205C7C" w:rsidRPr="00801712" w:rsidRDefault="003620EC" w:rsidP="00205C7C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8F8F8"/>
        </w:rPr>
        <w:t>Bowen, A., Kuralbayeva, K., &amp; Tipoe, E. L. (2018). Characterising green employment: the impacts of ‘greening’on workforce composition.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8F8F8"/>
        </w:rPr>
        <w:t>Energy Economics</w:t>
      </w:r>
      <w:r>
        <w:rPr>
          <w:rFonts w:ascii="Arial" w:hAnsi="Arial" w:cs="Arial"/>
          <w:color w:val="222222"/>
          <w:sz w:val="20"/>
          <w:szCs w:val="20"/>
          <w:shd w:val="clear" w:color="auto" w:fill="F8F8F8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8F8F8"/>
        </w:rPr>
        <w:t>72</w:t>
      </w:r>
      <w:r>
        <w:rPr>
          <w:rFonts w:ascii="Arial" w:hAnsi="Arial" w:cs="Arial"/>
          <w:color w:val="222222"/>
          <w:sz w:val="20"/>
          <w:szCs w:val="20"/>
          <w:shd w:val="clear" w:color="auto" w:fill="F8F8F8"/>
        </w:rPr>
        <w:t>, 263-275.</w:t>
      </w:r>
    </w:p>
    <w:p w14:paraId="0811EA63" w14:textId="5CC34C38" w:rsidR="00801712" w:rsidRPr="00B662C9" w:rsidRDefault="00801712" w:rsidP="00801712">
      <w:pPr>
        <w:pStyle w:val="ListParagraph"/>
        <w:spacing w:after="0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8F8F8"/>
        </w:rPr>
        <w:t xml:space="preserve">DOI: </w:t>
      </w:r>
      <w:hyperlink r:id="rId10" w:history="1">
        <w:r w:rsidRPr="00B25FFC">
          <w:rPr>
            <w:rStyle w:val="Hyperlink"/>
            <w:rFonts w:ascii="Arial" w:hAnsi="Arial" w:cs="Arial"/>
            <w:sz w:val="20"/>
            <w:szCs w:val="20"/>
            <w:shd w:val="clear" w:color="auto" w:fill="F8F8F8"/>
          </w:rPr>
          <w:t>https://doi.org/10.1016/j.eneco.2018.03.015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8F8F8"/>
        </w:rPr>
        <w:t xml:space="preserve"> </w:t>
      </w:r>
    </w:p>
    <w:p w14:paraId="076EC495" w14:textId="77777777" w:rsidR="00BE5132" w:rsidRPr="00BE5132" w:rsidRDefault="00BE5132" w:rsidP="00BE5132">
      <w:pPr>
        <w:pStyle w:val="ListParagraph"/>
        <w:spacing w:after="0"/>
        <w:jc w:val="both"/>
      </w:pPr>
    </w:p>
    <w:p w14:paraId="7FCA1AB0" w14:textId="3A131E9C" w:rsidR="00BE5132" w:rsidRPr="00801712" w:rsidRDefault="00BE5132" w:rsidP="00205C7C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Doda, B. (2018). Tales from the tails: Sector-level carbon intensity distribution.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Climate Change Economics, </w:t>
      </w:r>
      <w:r w:rsidRPr="00BE5132">
        <w:rPr>
          <w:rFonts w:ascii="Arial" w:hAnsi="Arial" w:cs="Arial"/>
          <w:iCs/>
          <w:color w:val="222222"/>
          <w:sz w:val="20"/>
          <w:szCs w:val="20"/>
          <w:shd w:val="clear" w:color="auto" w:fill="FFFFFF"/>
        </w:rPr>
        <w:t>forthcoming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4B4FF023" w14:textId="55B4B8F2" w:rsidR="00801712" w:rsidRDefault="00801712" w:rsidP="00801712">
      <w:pPr>
        <w:pStyle w:val="ListParagraph"/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DOI: </w:t>
      </w:r>
      <w:hyperlink r:id="rId11" w:history="1">
        <w:r w:rsidRPr="00B25FFC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https://doi.org/10.1142/S2010007818500112</w:t>
        </w:r>
      </w:hyperlink>
    </w:p>
    <w:p w14:paraId="52800A1B" w14:textId="77777777" w:rsidR="00801712" w:rsidRPr="00205C7C" w:rsidRDefault="00801712" w:rsidP="00801712">
      <w:pPr>
        <w:pStyle w:val="ListParagraph"/>
        <w:spacing w:after="0"/>
        <w:jc w:val="both"/>
      </w:pPr>
      <w:bookmarkStart w:id="0" w:name="_GoBack"/>
      <w:bookmarkEnd w:id="0"/>
    </w:p>
    <w:p w14:paraId="582824B0" w14:textId="2E8C81BA" w:rsidR="00205C7C" w:rsidRPr="0043750C" w:rsidRDefault="00205C7C" w:rsidP="000D3785">
      <w:pPr>
        <w:spacing w:after="0"/>
        <w:jc w:val="both"/>
      </w:pPr>
    </w:p>
    <w:sectPr w:rsidR="00205C7C" w:rsidRPr="00437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28640" w14:textId="77777777" w:rsidR="005309DD" w:rsidRDefault="005309DD" w:rsidP="00A9382A">
      <w:pPr>
        <w:spacing w:after="0" w:line="240" w:lineRule="auto"/>
      </w:pPr>
      <w:r>
        <w:separator/>
      </w:r>
    </w:p>
  </w:endnote>
  <w:endnote w:type="continuationSeparator" w:id="0">
    <w:p w14:paraId="18431A3A" w14:textId="77777777" w:rsidR="005309DD" w:rsidRDefault="005309DD" w:rsidP="00A9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31607" w14:textId="77777777" w:rsidR="005309DD" w:rsidRDefault="005309DD" w:rsidP="00A9382A">
      <w:pPr>
        <w:spacing w:after="0" w:line="240" w:lineRule="auto"/>
      </w:pPr>
      <w:r>
        <w:separator/>
      </w:r>
    </w:p>
  </w:footnote>
  <w:footnote w:type="continuationSeparator" w:id="0">
    <w:p w14:paraId="0B65B9B1" w14:textId="77777777" w:rsidR="005309DD" w:rsidRDefault="005309DD" w:rsidP="00A93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601F"/>
    <w:multiLevelType w:val="hybridMultilevel"/>
    <w:tmpl w:val="9C3427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24BDE"/>
    <w:multiLevelType w:val="hybridMultilevel"/>
    <w:tmpl w:val="8626E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A0"/>
    <w:rsid w:val="00011816"/>
    <w:rsid w:val="00091CF4"/>
    <w:rsid w:val="000D08CA"/>
    <w:rsid w:val="000D3785"/>
    <w:rsid w:val="000E182B"/>
    <w:rsid w:val="001007C6"/>
    <w:rsid w:val="00111006"/>
    <w:rsid w:val="0011534B"/>
    <w:rsid w:val="0012518B"/>
    <w:rsid w:val="001B4078"/>
    <w:rsid w:val="001F2AA2"/>
    <w:rsid w:val="00205C7C"/>
    <w:rsid w:val="00226D63"/>
    <w:rsid w:val="00256D80"/>
    <w:rsid w:val="002F78A6"/>
    <w:rsid w:val="0031484A"/>
    <w:rsid w:val="003620EC"/>
    <w:rsid w:val="003F77FF"/>
    <w:rsid w:val="004002CC"/>
    <w:rsid w:val="0043750C"/>
    <w:rsid w:val="005309DD"/>
    <w:rsid w:val="006012C5"/>
    <w:rsid w:val="00695ED6"/>
    <w:rsid w:val="006C40B5"/>
    <w:rsid w:val="007A72FB"/>
    <w:rsid w:val="007E55F1"/>
    <w:rsid w:val="00801712"/>
    <w:rsid w:val="00845870"/>
    <w:rsid w:val="0099698F"/>
    <w:rsid w:val="00A70830"/>
    <w:rsid w:val="00A735BF"/>
    <w:rsid w:val="00A9382A"/>
    <w:rsid w:val="00B563D3"/>
    <w:rsid w:val="00B662C9"/>
    <w:rsid w:val="00BE5132"/>
    <w:rsid w:val="00C66FC3"/>
    <w:rsid w:val="00CD2BED"/>
    <w:rsid w:val="00D01EF7"/>
    <w:rsid w:val="00D0314D"/>
    <w:rsid w:val="00D042EF"/>
    <w:rsid w:val="00D313B6"/>
    <w:rsid w:val="00D93BE5"/>
    <w:rsid w:val="00E8495C"/>
    <w:rsid w:val="00EA4FA0"/>
    <w:rsid w:val="00EC69E2"/>
    <w:rsid w:val="00EE29FD"/>
    <w:rsid w:val="00EF1786"/>
    <w:rsid w:val="00F36ED6"/>
    <w:rsid w:val="00FC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9997A"/>
  <w15:chartTrackingRefBased/>
  <w15:docId w15:val="{6D3F4B7F-FDDF-4A28-95A4-A0CA7A6F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82A"/>
  </w:style>
  <w:style w:type="paragraph" w:styleId="Footer">
    <w:name w:val="footer"/>
    <w:basedOn w:val="Normal"/>
    <w:link w:val="FooterChar"/>
    <w:uiPriority w:val="99"/>
    <w:unhideWhenUsed/>
    <w:rsid w:val="00A93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82A"/>
  </w:style>
  <w:style w:type="paragraph" w:styleId="ListParagraph">
    <w:name w:val="List Paragraph"/>
    <w:basedOn w:val="Normal"/>
    <w:uiPriority w:val="34"/>
    <w:qFormat/>
    <w:rsid w:val="00D93B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BE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0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8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8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8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830"/>
    <w:rPr>
      <w:rFonts w:ascii="Segoe UI" w:hAnsi="Segoe UI" w:cs="Segoe UI"/>
      <w:sz w:val="18"/>
      <w:szCs w:val="18"/>
    </w:rPr>
  </w:style>
  <w:style w:type="character" w:customStyle="1" w:styleId="personname">
    <w:name w:val="person_name"/>
    <w:basedOn w:val="DefaultParagraphFont"/>
    <w:rsid w:val="00205C7C"/>
  </w:style>
  <w:style w:type="character" w:styleId="Emphasis">
    <w:name w:val="Emphasis"/>
    <w:basedOn w:val="DefaultParagraphFont"/>
    <w:uiPriority w:val="20"/>
    <w:qFormat/>
    <w:rsid w:val="00205C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etcenter.org/dataCollectio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i@lse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42/S201000781850011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i.org/10.1016/j.eneco.2018.03.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od.org/release13%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Dietz,S</dc:creator>
  <cp:keywords/>
  <dc:description/>
  <cp:lastModifiedBy>Doda,LB</cp:lastModifiedBy>
  <cp:revision>2</cp:revision>
  <dcterms:created xsi:type="dcterms:W3CDTF">2018-11-06T15:06:00Z</dcterms:created>
  <dcterms:modified xsi:type="dcterms:W3CDTF">2018-11-06T15:06:00Z</dcterms:modified>
</cp:coreProperties>
</file>