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7DC" w:rsidRDefault="00437A58">
      <w:r>
        <w:t>Variables-associated to paper BM-Ethiopia</w:t>
      </w:r>
    </w:p>
    <w:p w:rsidR="00437A58" w:rsidRDefault="00437A58"/>
    <w:p w:rsidR="00437A58" w:rsidRDefault="00437A58"/>
    <w:p w:rsidR="00437A58" w:rsidRPr="00437A58" w:rsidRDefault="00437A58" w:rsidP="00437A58">
      <w:pPr>
        <w:adjustRightInd w:val="0"/>
        <w:snapToGrid w:val="0"/>
        <w:jc w:val="both"/>
        <w:rPr>
          <w:rFonts w:eastAsia="SimSun" w:cs="Times New Roman"/>
          <w:bCs/>
          <w:sz w:val="18"/>
          <w:szCs w:val="18"/>
        </w:rPr>
      </w:pPr>
      <w:r>
        <w:rPr>
          <w:rFonts w:eastAsia="SimSun" w:cs="Times New Roman"/>
          <w:bCs/>
          <w:sz w:val="18"/>
          <w:szCs w:val="18"/>
        </w:rPr>
        <w:t>Table</w:t>
      </w:r>
      <w:bookmarkStart w:id="0" w:name="_GoBack"/>
      <w:bookmarkEnd w:id="0"/>
      <w:r w:rsidRPr="00437A58">
        <w:rPr>
          <w:rFonts w:eastAsia="SimSun" w:cs="Times New Roman"/>
          <w:bCs/>
          <w:sz w:val="18"/>
          <w:szCs w:val="18"/>
        </w:rPr>
        <w:t xml:space="preserve">: Variable type and definition </w:t>
      </w:r>
    </w:p>
    <w:tbl>
      <w:tblPr>
        <w:tblW w:w="0" w:type="auto"/>
        <w:jc w:val="center"/>
        <w:tblInd w:w="-9343" w:type="dxa"/>
        <w:tblLook w:val="04A0" w:firstRow="1" w:lastRow="0" w:firstColumn="1" w:lastColumn="0" w:noHBand="0" w:noVBand="1"/>
      </w:tblPr>
      <w:tblGrid>
        <w:gridCol w:w="4546"/>
        <w:gridCol w:w="10053"/>
      </w:tblGrid>
      <w:tr w:rsidR="00437A58" w:rsidRPr="00437A58" w:rsidTr="0011206B">
        <w:trPr>
          <w:trHeight w:val="574"/>
          <w:jc w:val="center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/>
                <w:bCs/>
                <w:sz w:val="18"/>
                <w:szCs w:val="18"/>
              </w:rPr>
              <w:t>Variables</w:t>
            </w:r>
          </w:p>
        </w:tc>
        <w:tc>
          <w:tcPr>
            <w:tcW w:w="100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/>
                <w:bCs/>
                <w:sz w:val="18"/>
                <w:szCs w:val="18"/>
              </w:rPr>
              <w:t>Variable type and definition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Age</w:t>
            </w:r>
          </w:p>
        </w:tc>
        <w:tc>
          <w:tcPr>
            <w:tcW w:w="100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age of the household head in years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Gender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Dummy, gender of the household head, 1= male headed 0 = female headed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Education (years)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household head’s level of education in years of schooling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Family size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Continuous, number of household members in the family 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Dependency ratio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ratio of dependents</w:t>
            </w:r>
            <w:r w:rsidRPr="00437A58">
              <w:rPr>
                <w:rFonts w:eastAsia="SimSun" w:cs="Times New Roman"/>
                <w:bCs/>
                <w:sz w:val="18"/>
                <w:szCs w:val="18"/>
                <w:vertAlign w:val="superscript"/>
              </w:rPr>
              <w:t>1</w:t>
            </w: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 in a family to family size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Land size in </w:t>
            </w:r>
            <w:proofErr w:type="spellStart"/>
            <w:r w:rsidRPr="00437A58">
              <w:rPr>
                <w:rFonts w:eastAsia="SimSun" w:cs="Times New Roman"/>
                <w:bCs/>
                <w:i/>
                <w:iCs/>
                <w:sz w:val="18"/>
                <w:szCs w:val="18"/>
              </w:rPr>
              <w:t>qarxi</w:t>
            </w:r>
            <w:proofErr w:type="spellEnd"/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Continuous, household’s land holding, measured in a local unit called </w:t>
            </w:r>
            <w:proofErr w:type="spellStart"/>
            <w:r w:rsidRPr="00437A58">
              <w:rPr>
                <w:rFonts w:eastAsia="SimSun" w:cs="Times New Roman"/>
                <w:bCs/>
                <w:sz w:val="18"/>
                <w:szCs w:val="18"/>
              </w:rPr>
              <w:t>qarxi</w:t>
            </w:r>
            <w:proofErr w:type="spellEnd"/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, where 1 </w:t>
            </w:r>
            <w:proofErr w:type="spellStart"/>
            <w:r w:rsidRPr="00437A58">
              <w:rPr>
                <w:rFonts w:eastAsia="SimSun" w:cs="Times New Roman"/>
                <w:bCs/>
                <w:sz w:val="18"/>
                <w:szCs w:val="18"/>
              </w:rPr>
              <w:t>qarxi</w:t>
            </w:r>
            <w:proofErr w:type="spellEnd"/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 = 0.25 hectares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Livestock size (</w:t>
            </w:r>
            <w:r w:rsidRPr="00437A58">
              <w:rPr>
                <w:rFonts w:eastAsia="SimSun" w:cs="Times New Roman"/>
                <w:bCs/>
                <w:i/>
                <w:iCs/>
                <w:sz w:val="18"/>
                <w:szCs w:val="18"/>
              </w:rPr>
              <w:t>TLU</w:t>
            </w:r>
            <w:r w:rsidRPr="00437A58">
              <w:rPr>
                <w:rFonts w:eastAsia="SimSu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number of livestock owned by a household measured in standard tropical livestock units (</w:t>
            </w:r>
            <w:proofErr w:type="gramStart"/>
            <w:r w:rsidRPr="00437A58">
              <w:rPr>
                <w:rFonts w:eastAsia="SimSun" w:cs="Times New Roman"/>
                <w:bCs/>
                <w:sz w:val="18"/>
                <w:szCs w:val="18"/>
              </w:rPr>
              <w:t>TLU)</w:t>
            </w:r>
            <w:r w:rsidRPr="00437A58">
              <w:rPr>
                <w:rFonts w:eastAsia="SimSun" w:cs="Times New Roman"/>
                <w:bCs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Distance from market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distance from household’s residence to market measured in walking hours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Extension contact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Dummy, equal to 1 for households that frequently make contact with extension agents; 0 for others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Investment in fertilizer</w:t>
            </w:r>
          </w:p>
        </w:tc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investment in fertilizer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Investment in improved seed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Continuous, value of household’s investment in </w:t>
            </w:r>
            <w:proofErr w:type="gramStart"/>
            <w:r w:rsidRPr="00437A58">
              <w:rPr>
                <w:rFonts w:eastAsia="SimSun" w:cs="Times New Roman"/>
                <w:bCs/>
                <w:sz w:val="18"/>
                <w:szCs w:val="18"/>
              </w:rPr>
              <w:t>improved  seed</w:t>
            </w:r>
            <w:proofErr w:type="gramEnd"/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 varieties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Investment in pesticides/herbicides</w:t>
            </w:r>
          </w:p>
        </w:tc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investment in pesticides/herbicides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Total investment in high-risk high-return inputs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total investment in high-risk high-return agricultural inputs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 xml:space="preserve">Per capita food consumption expenditure </w:t>
            </w:r>
          </w:p>
        </w:tc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annual per capita food consumption expenditure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nil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Per capita non-food consumption expenditure</w:t>
            </w:r>
          </w:p>
        </w:tc>
        <w:tc>
          <w:tcPr>
            <w:tcW w:w="100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annual per capita non-food consumption expenditure in ETB</w:t>
            </w:r>
          </w:p>
        </w:tc>
      </w:tr>
      <w:tr w:rsidR="00437A58" w:rsidRPr="00437A58" w:rsidTr="0011206B">
        <w:trPr>
          <w:trHeight w:val="102"/>
          <w:jc w:val="center"/>
        </w:trPr>
        <w:tc>
          <w:tcPr>
            <w:tcW w:w="454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Per capita total consumption expenditure</w:t>
            </w:r>
          </w:p>
        </w:tc>
        <w:tc>
          <w:tcPr>
            <w:tcW w:w="1005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7A58" w:rsidRPr="00437A58" w:rsidRDefault="00437A58" w:rsidP="0011206B">
            <w:pPr>
              <w:adjustRightInd w:val="0"/>
              <w:snapToGrid w:val="0"/>
              <w:ind w:left="66"/>
              <w:jc w:val="both"/>
              <w:rPr>
                <w:rFonts w:eastAsia="SimSun" w:cs="Times New Roman"/>
                <w:bCs/>
                <w:sz w:val="18"/>
                <w:szCs w:val="18"/>
              </w:rPr>
            </w:pPr>
            <w:r w:rsidRPr="00437A58">
              <w:rPr>
                <w:rFonts w:eastAsia="SimSun" w:cs="Times New Roman"/>
                <w:bCs/>
                <w:sz w:val="18"/>
                <w:szCs w:val="18"/>
              </w:rPr>
              <w:t>Continuous, value of household’s total annual per capita food consumption expenditure in ETB</w:t>
            </w:r>
          </w:p>
        </w:tc>
      </w:tr>
    </w:tbl>
    <w:p w:rsidR="00437A58" w:rsidRPr="00437A58" w:rsidRDefault="00437A58" w:rsidP="00437A58">
      <w:pPr>
        <w:adjustRightInd w:val="0"/>
        <w:snapToGrid w:val="0"/>
        <w:ind w:left="66"/>
        <w:jc w:val="both"/>
        <w:rPr>
          <w:rFonts w:eastAsia="SimSun" w:cs="Times New Roman"/>
          <w:bCs/>
          <w:sz w:val="18"/>
          <w:szCs w:val="18"/>
          <w:lang w:val="en-GB"/>
        </w:rPr>
      </w:pPr>
      <w:r w:rsidRPr="00437A58">
        <w:rPr>
          <w:rFonts w:eastAsia="SimSun" w:cs="Times New Roman"/>
          <w:bCs/>
          <w:sz w:val="18"/>
          <w:szCs w:val="18"/>
          <w:vertAlign w:val="superscript"/>
          <w:lang w:val="en-GB"/>
        </w:rPr>
        <w:t>1</w:t>
      </w:r>
      <w:r w:rsidRPr="00437A58">
        <w:rPr>
          <w:rFonts w:eastAsia="SimSun" w:cs="Times New Roman"/>
          <w:bCs/>
          <w:sz w:val="18"/>
          <w:szCs w:val="18"/>
          <w:lang w:val="en-GB"/>
        </w:rPr>
        <w:t xml:space="preserve"> Family dependents were counted as household members with age less than 15 years (preschool children) and those with age greater than 65</w:t>
      </w:r>
    </w:p>
    <w:p w:rsidR="00437A58" w:rsidRPr="00437A58" w:rsidRDefault="00437A58" w:rsidP="00437A58">
      <w:pPr>
        <w:adjustRightInd w:val="0"/>
        <w:snapToGrid w:val="0"/>
        <w:ind w:left="66"/>
        <w:jc w:val="both"/>
        <w:rPr>
          <w:rFonts w:eastAsia="SimSun" w:cs="Times New Roman"/>
          <w:bCs/>
          <w:sz w:val="18"/>
          <w:szCs w:val="18"/>
          <w:lang w:val="en-GB"/>
        </w:rPr>
      </w:pPr>
      <w:r w:rsidRPr="00437A58">
        <w:rPr>
          <w:rFonts w:eastAsia="SimSun" w:cs="Times New Roman"/>
          <w:bCs/>
          <w:sz w:val="18"/>
          <w:szCs w:val="18"/>
          <w:vertAlign w:val="superscript"/>
          <w:lang w:val="en-GB"/>
        </w:rPr>
        <w:t>2</w:t>
      </w:r>
      <w:r w:rsidRPr="00437A58">
        <w:rPr>
          <w:rFonts w:eastAsia="SimSun" w:cs="Times New Roman"/>
          <w:bCs/>
          <w:sz w:val="18"/>
          <w:szCs w:val="18"/>
          <w:lang w:val="en-GB"/>
        </w:rPr>
        <w:t xml:space="preserve"> 1 TLU = 1*cow or ox = 0.75*heifer = 0.34*calf = 1.1*horse = 0.7*donkey = 0.13*adult sheep or goat = 0.013*chicken (</w:t>
      </w:r>
      <w:proofErr w:type="spellStart"/>
      <w:proofErr w:type="gramStart"/>
      <w:r w:rsidRPr="00437A58">
        <w:rPr>
          <w:rFonts w:eastAsia="SimSun" w:cs="Times New Roman"/>
          <w:bCs/>
          <w:sz w:val="18"/>
          <w:szCs w:val="18"/>
          <w:lang w:val="en-GB"/>
        </w:rPr>
        <w:t>Storck</w:t>
      </w:r>
      <w:proofErr w:type="spellEnd"/>
      <w:r w:rsidRPr="00437A58">
        <w:rPr>
          <w:rFonts w:eastAsia="SimSun" w:cs="Times New Roman"/>
          <w:bCs/>
          <w:sz w:val="18"/>
          <w:szCs w:val="18"/>
          <w:lang w:val="en-GB"/>
        </w:rPr>
        <w:t xml:space="preserve">  </w:t>
      </w:r>
      <w:r w:rsidRPr="00437A58">
        <w:rPr>
          <w:rFonts w:eastAsia="SimSun" w:cs="Times New Roman"/>
          <w:bCs/>
          <w:i/>
          <w:iCs/>
          <w:sz w:val="18"/>
          <w:szCs w:val="18"/>
          <w:lang w:val="en-GB"/>
        </w:rPr>
        <w:t>et</w:t>
      </w:r>
      <w:proofErr w:type="gramEnd"/>
      <w:r w:rsidRPr="00437A58">
        <w:rPr>
          <w:rFonts w:eastAsia="SimSun" w:cs="Times New Roman"/>
          <w:bCs/>
          <w:i/>
          <w:iCs/>
          <w:sz w:val="18"/>
          <w:szCs w:val="18"/>
          <w:lang w:val="en-GB"/>
        </w:rPr>
        <w:t xml:space="preserve"> al. </w:t>
      </w:r>
      <w:r w:rsidRPr="00437A58">
        <w:rPr>
          <w:rFonts w:eastAsia="SimSun" w:cs="Times New Roman"/>
          <w:bCs/>
          <w:sz w:val="18"/>
          <w:szCs w:val="18"/>
          <w:lang w:val="en-GB"/>
        </w:rPr>
        <w:t>1991)</w:t>
      </w:r>
    </w:p>
    <w:p w:rsidR="00437A58" w:rsidRDefault="00437A58"/>
    <w:sectPr w:rsidR="00437A58" w:rsidSect="00437A58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Sun">
    <w:altName w:val="ËÎÌå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58"/>
    <w:rsid w:val="00437A58"/>
    <w:rsid w:val="00C00C12"/>
    <w:rsid w:val="00CA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E87B9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1791</Characters>
  <Application>Microsoft Macintosh Word</Application>
  <DocSecurity>0</DocSecurity>
  <Lines>14</Lines>
  <Paragraphs>4</Paragraphs>
  <ScaleCrop>false</ScaleCrop>
  <Company>University of Greenwich</Company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Marr</dc:creator>
  <cp:keywords/>
  <dc:description/>
  <cp:lastModifiedBy>Ana Marr</cp:lastModifiedBy>
  <cp:revision>1</cp:revision>
  <dcterms:created xsi:type="dcterms:W3CDTF">2018-11-10T15:17:00Z</dcterms:created>
  <dcterms:modified xsi:type="dcterms:W3CDTF">2018-11-10T15:20:00Z</dcterms:modified>
</cp:coreProperties>
</file>