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5E" w:rsidRPr="00CA02A0" w:rsidRDefault="00614A5E" w:rsidP="00CA02A0">
      <w:pPr>
        <w:adjustRightInd w:val="0"/>
        <w:snapToGrid w:val="0"/>
        <w:spacing w:after="0"/>
        <w:jc w:val="center"/>
        <w:rPr>
          <w:rFonts w:ascii="Calibri" w:eastAsia="SimSun" w:hAnsi="Calibri" w:cs="Times New Roman"/>
          <w:b/>
          <w:bCs/>
          <w:sz w:val="22"/>
        </w:rPr>
      </w:pPr>
      <w:r w:rsidRPr="00CA02A0">
        <w:rPr>
          <w:rFonts w:ascii="Calibri" w:eastAsia="SimSun" w:hAnsi="Calibri" w:cs="Times New Roman"/>
          <w:b/>
          <w:bCs/>
          <w:sz w:val="22"/>
        </w:rPr>
        <w:t>Codebook</w:t>
      </w:r>
    </w:p>
    <w:p w:rsidR="00CA02A0" w:rsidRDefault="00CA02A0" w:rsidP="00614A5E">
      <w:pPr>
        <w:adjustRightInd w:val="0"/>
        <w:snapToGrid w:val="0"/>
        <w:spacing w:after="0"/>
        <w:jc w:val="center"/>
        <w:rPr>
          <w:rFonts w:ascii="Calibri" w:eastAsia="SimSun" w:hAnsi="Calibri" w:cs="Times New Roman"/>
          <w:b/>
          <w:bCs/>
          <w:sz w:val="22"/>
        </w:rPr>
      </w:pPr>
    </w:p>
    <w:p w:rsidR="00614A5E" w:rsidRPr="00CA02A0" w:rsidRDefault="00614A5E" w:rsidP="00614A5E">
      <w:pPr>
        <w:adjustRightInd w:val="0"/>
        <w:snapToGrid w:val="0"/>
        <w:spacing w:after="0"/>
        <w:jc w:val="center"/>
        <w:rPr>
          <w:rFonts w:ascii="Calibri" w:eastAsia="SimSun" w:hAnsi="Calibri" w:cs="Times New Roman"/>
          <w:bCs/>
          <w:i/>
          <w:iCs/>
          <w:sz w:val="22"/>
        </w:rPr>
      </w:pPr>
      <w:r w:rsidRPr="00CA02A0">
        <w:rPr>
          <w:rFonts w:ascii="Calibri" w:eastAsia="SimSun" w:hAnsi="Calibri" w:cs="Times New Roman"/>
          <w:b/>
          <w:bCs/>
          <w:sz w:val="22"/>
        </w:rPr>
        <w:t>Belissa, Temesgen; Lensink, Robert and Van Asseldonk, Marcel </w:t>
      </w:r>
      <w:r w:rsidRPr="00CA02A0">
        <w:rPr>
          <w:rFonts w:ascii="Calibri" w:eastAsia="SimSun" w:hAnsi="Calibri" w:cs="Times New Roman"/>
          <w:bCs/>
          <w:sz w:val="22"/>
        </w:rPr>
        <w:t> "</w:t>
      </w:r>
      <w:r w:rsidRPr="00CA02A0">
        <w:rPr>
          <w:rFonts w:ascii="Calibri" w:eastAsia="SimSun" w:hAnsi="Calibri" w:cs="Times New Roman"/>
          <w:bCs/>
          <w:i/>
          <w:iCs/>
          <w:sz w:val="22"/>
        </w:rPr>
        <w:t>Risk and ambiguity aversion behaviour in index-based insurance uptake decisions: experimental evidence from Ethiopia"</w:t>
      </w:r>
    </w:p>
    <w:p w:rsidR="00CA02A0" w:rsidRDefault="00CA02A0" w:rsidP="00614A5E">
      <w:pPr>
        <w:adjustRightInd w:val="0"/>
        <w:snapToGrid w:val="0"/>
        <w:spacing w:after="0"/>
        <w:rPr>
          <w:rFonts w:ascii="Calibri" w:eastAsia="SimSun" w:hAnsi="Calibri" w:cs="Times New Roman"/>
          <w:bCs/>
          <w:sz w:val="22"/>
        </w:rPr>
      </w:pPr>
    </w:p>
    <w:p w:rsidR="004278B7" w:rsidRPr="00CA02A0" w:rsidRDefault="004278B7" w:rsidP="00614A5E">
      <w:pPr>
        <w:adjustRightInd w:val="0"/>
        <w:snapToGrid w:val="0"/>
        <w:spacing w:after="0"/>
        <w:rPr>
          <w:rFonts w:ascii="Calibri" w:eastAsia="SimSun" w:hAnsi="Calibri" w:cs="Times New Roman"/>
          <w:bCs/>
          <w:sz w:val="22"/>
        </w:rPr>
      </w:pPr>
      <w:r w:rsidRPr="00CA02A0">
        <w:rPr>
          <w:rFonts w:ascii="Calibri" w:eastAsia="SimSun" w:hAnsi="Calibri" w:cs="Times New Roman"/>
          <w:bCs/>
          <w:sz w:val="22"/>
        </w:rPr>
        <w:t xml:space="preserve">Variable type and definition </w:t>
      </w:r>
    </w:p>
    <w:tbl>
      <w:tblPr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2039"/>
        <w:gridCol w:w="7708"/>
      </w:tblGrid>
      <w:tr w:rsidR="00561652" w:rsidRPr="00CA02A0" w:rsidTr="00A833AB">
        <w:trPr>
          <w:trHeight w:val="387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8B7" w:rsidRPr="00CA02A0" w:rsidRDefault="004278B7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/>
                <w:bCs/>
                <w:sz w:val="22"/>
              </w:rPr>
              <w:t>Variables</w:t>
            </w:r>
          </w:p>
        </w:tc>
        <w:tc>
          <w:tcPr>
            <w:tcW w:w="7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8B7" w:rsidRPr="00CA02A0" w:rsidRDefault="004278B7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/>
                <w:bCs/>
                <w:sz w:val="22"/>
              </w:rPr>
              <w:t>Variable type and definition</w:t>
            </w:r>
          </w:p>
        </w:tc>
      </w:tr>
      <w:tr w:rsidR="00AA1C9C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AA1C9C" w:rsidRPr="00CA02A0" w:rsidRDefault="00614A5E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identifier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1C9C" w:rsidRPr="00CA02A0" w:rsidRDefault="00AA1C9C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Code of the household</w:t>
            </w:r>
          </w:p>
        </w:tc>
      </w:tr>
      <w:tr w:rsidR="00614A5E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year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614A5E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Dummy, year in which the data was collected; 0=2015 and 1=2017</w:t>
            </w:r>
          </w:p>
        </w:tc>
      </w:tr>
      <w:tr w:rsidR="00614A5E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age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614A5E" w:rsidP="00614A5E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Continuous, age of the household head in years</w:t>
            </w:r>
          </w:p>
        </w:tc>
      </w:tr>
      <w:tr w:rsidR="00614A5E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sex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614A5E" w:rsidP="00614A5E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Dummy, gender of the household head, 1= male headed 0 = female headed</w:t>
            </w:r>
          </w:p>
        </w:tc>
      </w:tr>
      <w:tr w:rsidR="00614A5E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education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614A5E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Continuous, education level of the household head in years of schooling</w:t>
            </w:r>
          </w:p>
        </w:tc>
      </w:tr>
      <w:tr w:rsidR="00614A5E" w:rsidRPr="00CA02A0" w:rsidTr="00614A5E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fertvalue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Value of chemical fertilizer used by household measured in Birr</w:t>
            </w:r>
          </w:p>
        </w:tc>
      </w:tr>
      <w:tr w:rsidR="00614A5E" w:rsidRPr="00CA02A0" w:rsidTr="00614A5E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imprvseedvalue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164A24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Value of improved seed used by household measured in Birr</w:t>
            </w:r>
          </w:p>
        </w:tc>
      </w:tr>
      <w:tr w:rsidR="00614A5E" w:rsidRPr="00CA02A0" w:rsidTr="00614A5E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pestvalue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164A24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Value of pesticide and herbicide used by household measured in Birr</w:t>
            </w:r>
          </w:p>
        </w:tc>
      </w:tr>
      <w:tr w:rsidR="00614A5E" w:rsidRPr="00CA02A0" w:rsidTr="00614A5E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treat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bought insurance; 1=purchased 0=not purchased</w:t>
            </w:r>
          </w:p>
        </w:tc>
      </w:tr>
      <w:tr w:rsidR="00614A5E" w:rsidRPr="00CA02A0" w:rsidTr="00614A5E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treatyear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Interaction term of treat and year</w:t>
            </w:r>
          </w:p>
        </w:tc>
      </w:tr>
      <w:tr w:rsidR="00614A5E" w:rsidRPr="00CA02A0" w:rsidTr="00614A5E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614A5E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hrhrinvst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705EFC" w:rsidP="00705EF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Continuous, value of household’s total investment in high-risk high-return agricultural inputs in ETB</w:t>
            </w:r>
          </w:p>
        </w:tc>
      </w:tr>
      <w:tr w:rsidR="00614A5E" w:rsidRPr="00CA02A0" w:rsidTr="00614A5E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landsize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164A24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Continuous, household’s land holding, measured in a local unit called qarxi, where 1 qarxi = 0.25 hectares</w:t>
            </w:r>
          </w:p>
        </w:tc>
      </w:tr>
      <w:tr w:rsidR="00614A5E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EB7FEC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familysize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Number of family members</w:t>
            </w:r>
          </w:p>
        </w:tc>
      </w:tr>
      <w:tr w:rsidR="00614A5E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EB7FEC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dependents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Number of family members who are below 15 years and above 65 years</w:t>
            </w:r>
          </w:p>
        </w:tc>
      </w:tr>
      <w:tr w:rsidR="00614A5E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EB7FEC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dpndcyratio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The ratio of family members to total members</w:t>
            </w:r>
          </w:p>
        </w:tc>
      </w:tr>
      <w:tr w:rsidR="00614A5E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EB7FEC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TLU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4278B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Livestock size measured in tropical livestock units</w:t>
            </w:r>
          </w:p>
        </w:tc>
      </w:tr>
      <w:tr w:rsidR="00614A5E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614A5E" w:rsidRPr="00CA02A0" w:rsidRDefault="00EB7FEC" w:rsidP="00C747C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eduyrs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4A5E" w:rsidRPr="00CA02A0" w:rsidRDefault="00164A24" w:rsidP="00164A24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Dummy, year in which the data was collected; 0=2015 and 1=2017</w:t>
            </w:r>
          </w:p>
        </w:tc>
      </w:tr>
      <w:tr w:rsidR="00EB7FEC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C747C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district1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164A24" w:rsidP="00C747C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is in district 1</w:t>
            </w:r>
          </w:p>
        </w:tc>
      </w:tr>
      <w:tr w:rsidR="00EB7FEC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C747C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district2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164A24" w:rsidP="00164A24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is in district 1</w:t>
            </w:r>
          </w:p>
        </w:tc>
      </w:tr>
      <w:tr w:rsidR="00EB7FEC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C747C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extsincntct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164A24" w:rsidP="00164A24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 xml:space="preserve">Whether the household makes frequent contact and discussion with extension agents </w:t>
            </w:r>
          </w:p>
        </w:tc>
      </w:tr>
      <w:tr w:rsidR="00EB7FEC" w:rsidRPr="00CA02A0" w:rsidTr="00A833AB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C747C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distmkt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164A24" w:rsidP="00C747C7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 xml:space="preserve">Household’s distance from the market centre measured in walking hours 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iddir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Name of the iddir in which the household is a member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id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Cluster code identification number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fcpp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Value of food consumption per capita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nfcpp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705EF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Value of non-food consumption per capita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tcpp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705EF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Value of total consumption per capita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lastRenderedPageBreak/>
              <w:t>fcppw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705EF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Value of weekly food consumption per capita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R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Region in which the respondent resides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oneyear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adopted insurance only for one year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twoyear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705EF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adopted insurance for two years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EB7FE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threeyear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705EF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adopted insurance for three years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EB7FE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fouryear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705EF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adopted insurance for four years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late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is a late adopter of insurance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dropout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is a dropout from adopting insurance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EB7FE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persistent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has persistently adopted insurance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CPZ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Crop production zone in which the household’s plot located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CRAA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 xml:space="preserve">Constant relative ambiguity aversion 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CRRA</w:t>
            </w:r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705EFC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Constant relative ambiguity aversion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trustt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Level of the household’s trust in the insurance provider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promotionn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has participated in insurance promotion activities undertaken by firm</w:t>
            </w:r>
          </w:p>
        </w:tc>
      </w:tr>
      <w:tr w:rsidR="00EB7FEC" w:rsidRPr="00CA02A0" w:rsidTr="00EB7FEC">
        <w:trPr>
          <w:trHeight w:val="102"/>
          <w:jc w:val="center"/>
        </w:trPr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:rsidR="00EB7FEC" w:rsidRPr="00CA02A0" w:rsidRDefault="00164A24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peerr</w:t>
            </w:r>
            <w:proofErr w:type="spellEnd"/>
          </w:p>
        </w:tc>
        <w:tc>
          <w:tcPr>
            <w:tcW w:w="7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7FEC" w:rsidRPr="00CA02A0" w:rsidRDefault="00705EFC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</w:rPr>
              <w:t>Whether the household is influenced by its peer to buy insurance</w:t>
            </w:r>
          </w:p>
        </w:tc>
      </w:tr>
      <w:tr w:rsidR="00CA02A0" w:rsidRPr="00CA02A0" w:rsidTr="007D3714">
        <w:trPr>
          <w:trHeight w:val="102"/>
          <w:jc w:val="center"/>
        </w:trPr>
        <w:tc>
          <w:tcPr>
            <w:tcW w:w="20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02A0" w:rsidRPr="00CA02A0" w:rsidRDefault="00CA02A0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proofErr w:type="spellStart"/>
            <w:r w:rsidRPr="00CA02A0">
              <w:rPr>
                <w:rFonts w:ascii="Calibri" w:eastAsia="SimSun" w:hAnsi="Calibri" w:cs="Times New Roman"/>
                <w:bCs/>
                <w:sz w:val="22"/>
              </w:rPr>
              <w:t>intertemporall</w:t>
            </w:r>
            <w:proofErr w:type="spellEnd"/>
          </w:p>
        </w:tc>
        <w:tc>
          <w:tcPr>
            <w:tcW w:w="77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02A0" w:rsidRPr="00CA02A0" w:rsidRDefault="00CA02A0" w:rsidP="00973976">
            <w:pPr>
              <w:adjustRightInd w:val="0"/>
              <w:snapToGrid w:val="0"/>
              <w:spacing w:after="0" w:line="360" w:lineRule="auto"/>
              <w:ind w:left="66"/>
              <w:rPr>
                <w:rFonts w:ascii="Calibri" w:eastAsia="SimSun" w:hAnsi="Calibri" w:cs="Times New Roman"/>
                <w:bCs/>
                <w:sz w:val="22"/>
              </w:rPr>
            </w:pPr>
            <w:r w:rsidRPr="00CA02A0">
              <w:rPr>
                <w:rFonts w:ascii="Calibri" w:eastAsia="SimSun" w:hAnsi="Calibri" w:cs="Times New Roman"/>
                <w:bCs/>
                <w:sz w:val="22"/>
                <w:lang w:val="en-US"/>
              </w:rPr>
              <w:t>Binary dummy, equal to 1 for households that indicate that, if insurance is available, they would postpone the uptake decision until the final insurance sales day, to make a better estimate of future weather conditions.</w:t>
            </w:r>
          </w:p>
        </w:tc>
      </w:tr>
    </w:tbl>
    <w:p w:rsidR="001B21B3" w:rsidRDefault="001B21B3" w:rsidP="00561652">
      <w:pPr>
        <w:adjustRightInd w:val="0"/>
        <w:snapToGrid w:val="0"/>
        <w:spacing w:after="0" w:line="240" w:lineRule="auto"/>
        <w:ind w:left="66"/>
      </w:pPr>
      <w:bookmarkStart w:id="0" w:name="_GoBack"/>
      <w:bookmarkEnd w:id="0"/>
    </w:p>
    <w:sectPr w:rsidR="001B21B3" w:rsidSect="00A8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79" w:rsidRDefault="00506C79" w:rsidP="00C149EB">
      <w:pPr>
        <w:spacing w:after="0" w:line="240" w:lineRule="auto"/>
      </w:pPr>
      <w:r>
        <w:separator/>
      </w:r>
    </w:p>
  </w:endnote>
  <w:endnote w:type="continuationSeparator" w:id="0">
    <w:p w:rsidR="00506C79" w:rsidRDefault="00506C79" w:rsidP="00C1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ËÎÌå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79" w:rsidRDefault="00506C79" w:rsidP="00C149EB">
      <w:pPr>
        <w:spacing w:after="0" w:line="240" w:lineRule="auto"/>
      </w:pPr>
      <w:r>
        <w:separator/>
      </w:r>
    </w:p>
  </w:footnote>
  <w:footnote w:type="continuationSeparator" w:id="0">
    <w:p w:rsidR="00506C79" w:rsidRDefault="00506C79" w:rsidP="00C14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B7"/>
    <w:rsid w:val="00002FA4"/>
    <w:rsid w:val="00164A24"/>
    <w:rsid w:val="001B21B3"/>
    <w:rsid w:val="00214340"/>
    <w:rsid w:val="004278B7"/>
    <w:rsid w:val="00506C79"/>
    <w:rsid w:val="00561652"/>
    <w:rsid w:val="005A2D8F"/>
    <w:rsid w:val="005E29A6"/>
    <w:rsid w:val="00614A5E"/>
    <w:rsid w:val="00705EFC"/>
    <w:rsid w:val="00730273"/>
    <w:rsid w:val="00A833AB"/>
    <w:rsid w:val="00AA1C9C"/>
    <w:rsid w:val="00B82C91"/>
    <w:rsid w:val="00C149EB"/>
    <w:rsid w:val="00CA02A0"/>
    <w:rsid w:val="00E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7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3AB"/>
    <w:pPr>
      <w:keepNext/>
      <w:adjustRightInd w:val="0"/>
      <w:snapToGrid w:val="0"/>
      <w:spacing w:after="0" w:line="360" w:lineRule="auto"/>
      <w:ind w:left="66"/>
      <w:outlineLvl w:val="0"/>
    </w:pPr>
    <w:rPr>
      <w:rFonts w:ascii="Calibri" w:eastAsia="SimSun" w:hAnsi="Calibri" w:cs="Times New Roman"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A5E"/>
    <w:pPr>
      <w:keepNext/>
      <w:adjustRightInd w:val="0"/>
      <w:snapToGrid w:val="0"/>
      <w:spacing w:after="0"/>
      <w:jc w:val="center"/>
      <w:outlineLvl w:val="1"/>
    </w:pPr>
    <w:rPr>
      <w:rFonts w:ascii="Calibri" w:eastAsia="SimSun" w:hAnsi="Calibri" w:cs="Times New Roman"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7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278B7"/>
    <w:pPr>
      <w:spacing w:after="0" w:line="240" w:lineRule="auto"/>
      <w:ind w:left="68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8B7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33AB"/>
    <w:rPr>
      <w:rFonts w:ascii="Calibri" w:eastAsia="SimSun" w:hAnsi="Calibri" w:cs="Times New Roman"/>
      <w:bC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14A5E"/>
    <w:rPr>
      <w:rFonts w:ascii="Calibri" w:eastAsia="SimSun" w:hAnsi="Calibri" w:cs="Times New Roman"/>
      <w:bCs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C1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EB"/>
  </w:style>
  <w:style w:type="paragraph" w:styleId="Footer">
    <w:name w:val="footer"/>
    <w:basedOn w:val="Normal"/>
    <w:link w:val="FooterChar"/>
    <w:uiPriority w:val="99"/>
    <w:unhideWhenUsed/>
    <w:rsid w:val="00C1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7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3AB"/>
    <w:pPr>
      <w:keepNext/>
      <w:adjustRightInd w:val="0"/>
      <w:snapToGrid w:val="0"/>
      <w:spacing w:after="0" w:line="360" w:lineRule="auto"/>
      <w:ind w:left="66"/>
      <w:outlineLvl w:val="0"/>
    </w:pPr>
    <w:rPr>
      <w:rFonts w:ascii="Calibri" w:eastAsia="SimSun" w:hAnsi="Calibri" w:cs="Times New Roman"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A5E"/>
    <w:pPr>
      <w:keepNext/>
      <w:adjustRightInd w:val="0"/>
      <w:snapToGrid w:val="0"/>
      <w:spacing w:after="0"/>
      <w:jc w:val="center"/>
      <w:outlineLvl w:val="1"/>
    </w:pPr>
    <w:rPr>
      <w:rFonts w:ascii="Calibri" w:eastAsia="SimSun" w:hAnsi="Calibri" w:cs="Times New Roman"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7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278B7"/>
    <w:pPr>
      <w:spacing w:after="0" w:line="240" w:lineRule="auto"/>
      <w:ind w:left="68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8B7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33AB"/>
    <w:rPr>
      <w:rFonts w:ascii="Calibri" w:eastAsia="SimSun" w:hAnsi="Calibri" w:cs="Times New Roman"/>
      <w:bCs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14A5E"/>
    <w:rPr>
      <w:rFonts w:ascii="Calibri" w:eastAsia="SimSun" w:hAnsi="Calibri" w:cs="Times New Roman"/>
      <w:bCs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C1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EB"/>
  </w:style>
  <w:style w:type="paragraph" w:styleId="Footer">
    <w:name w:val="footer"/>
    <w:basedOn w:val="Normal"/>
    <w:link w:val="FooterChar"/>
    <w:uiPriority w:val="99"/>
    <w:unhideWhenUsed/>
    <w:rsid w:val="00C1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Belissa, Temesgen</dc:creator>
  <cp:lastModifiedBy>Ana Marr</cp:lastModifiedBy>
  <cp:revision>2</cp:revision>
  <dcterms:created xsi:type="dcterms:W3CDTF">2019-01-28T12:19:00Z</dcterms:created>
  <dcterms:modified xsi:type="dcterms:W3CDTF">2019-01-28T12:19:00Z</dcterms:modified>
</cp:coreProperties>
</file>