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11"/>
        <w:tblW w:w="0" w:type="auto"/>
        <w:tblLayout w:type="fixed"/>
        <w:tblLook w:val="04A0" w:firstRow="1" w:lastRow="0" w:firstColumn="1" w:lastColumn="0" w:noHBand="0" w:noVBand="1"/>
      </w:tblPr>
      <w:tblGrid>
        <w:gridCol w:w="959"/>
        <w:gridCol w:w="5386"/>
        <w:gridCol w:w="1418"/>
        <w:gridCol w:w="1253"/>
      </w:tblGrid>
      <w:tr w:rsidR="00AC48DA" w:rsidRPr="002E6A4D" w:rsidTr="008965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AC48DA" w:rsidRPr="002E6A4D" w:rsidRDefault="00AC48DA" w:rsidP="007B5C5A">
            <w:pPr>
              <w:spacing w:before="40"/>
              <w:rPr>
                <w:sz w:val="20"/>
                <w:szCs w:val="20"/>
              </w:rPr>
            </w:pPr>
            <w:bookmarkStart w:id="0" w:name="_GoBack"/>
            <w:bookmarkEnd w:id="0"/>
            <w:r w:rsidRPr="002E6A4D">
              <w:rPr>
                <w:sz w:val="20"/>
                <w:szCs w:val="20"/>
              </w:rPr>
              <w:t>Variable name</w:t>
            </w:r>
          </w:p>
        </w:tc>
        <w:tc>
          <w:tcPr>
            <w:tcW w:w="5386" w:type="dxa"/>
          </w:tcPr>
          <w:p w:rsidR="00AC48DA" w:rsidRPr="002E6A4D" w:rsidRDefault="00AC48DA" w:rsidP="007B5C5A">
            <w:pPr>
              <w:spacing w:before="40"/>
              <w:cnfStyle w:val="100000000000" w:firstRow="1" w:lastRow="0" w:firstColumn="0" w:lastColumn="0" w:oddVBand="0" w:evenVBand="0" w:oddHBand="0" w:evenHBand="0" w:firstRowFirstColumn="0" w:firstRowLastColumn="0" w:lastRowFirstColumn="0" w:lastRowLastColumn="0"/>
              <w:rPr>
                <w:sz w:val="20"/>
                <w:szCs w:val="20"/>
              </w:rPr>
            </w:pPr>
            <w:r w:rsidRPr="002E6A4D">
              <w:rPr>
                <w:sz w:val="20"/>
                <w:szCs w:val="20"/>
              </w:rPr>
              <w:t>Variable label</w:t>
            </w:r>
          </w:p>
        </w:tc>
        <w:tc>
          <w:tcPr>
            <w:tcW w:w="1418" w:type="dxa"/>
          </w:tcPr>
          <w:p w:rsidR="00AC48DA" w:rsidRPr="002E6A4D" w:rsidRDefault="00AC48DA" w:rsidP="007B5C5A">
            <w:pPr>
              <w:spacing w:before="40"/>
              <w:cnfStyle w:val="100000000000" w:firstRow="1" w:lastRow="0" w:firstColumn="0" w:lastColumn="0" w:oddVBand="0" w:evenVBand="0" w:oddHBand="0" w:evenHBand="0" w:firstRowFirstColumn="0" w:firstRowLastColumn="0" w:lastRowFirstColumn="0" w:lastRowLastColumn="0"/>
              <w:rPr>
                <w:sz w:val="20"/>
                <w:szCs w:val="20"/>
              </w:rPr>
            </w:pPr>
            <w:r w:rsidRPr="002E6A4D">
              <w:rPr>
                <w:sz w:val="20"/>
                <w:szCs w:val="20"/>
              </w:rPr>
              <w:t>Range</w:t>
            </w:r>
          </w:p>
        </w:tc>
        <w:tc>
          <w:tcPr>
            <w:tcW w:w="1253" w:type="dxa"/>
          </w:tcPr>
          <w:p w:rsidR="00AC48DA" w:rsidRPr="002E6A4D" w:rsidRDefault="00AC48DA" w:rsidP="007B5C5A">
            <w:pPr>
              <w:spacing w:before="4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Coverage</w:t>
            </w:r>
          </w:p>
        </w:tc>
      </w:tr>
      <w:tr w:rsidR="00AC48DA" w:rsidRPr="002E6A4D" w:rsidTr="0089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AC48DA" w:rsidRPr="00ED0D20" w:rsidRDefault="00AC48DA" w:rsidP="007B5C5A">
            <w:pPr>
              <w:spacing w:before="40"/>
              <w:rPr>
                <w:sz w:val="18"/>
                <w:szCs w:val="18"/>
              </w:rPr>
            </w:pPr>
            <w:r w:rsidRPr="00ED0D20">
              <w:rPr>
                <w:sz w:val="18"/>
                <w:szCs w:val="18"/>
              </w:rPr>
              <w:t>country</w:t>
            </w:r>
          </w:p>
        </w:tc>
        <w:tc>
          <w:tcPr>
            <w:tcW w:w="5386" w:type="dxa"/>
          </w:tcPr>
          <w:p w:rsidR="009017EE" w:rsidRPr="00ED0D20" w:rsidRDefault="00AC48DA" w:rsidP="007B5C5A">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Country name (OECD countries)</w:t>
            </w:r>
            <w:r w:rsidR="009017EE">
              <w:rPr>
                <w:rStyle w:val="FootnoteReference"/>
                <w:sz w:val="18"/>
                <w:szCs w:val="18"/>
              </w:rPr>
              <w:footnoteReference w:id="1"/>
            </w:r>
          </w:p>
        </w:tc>
        <w:tc>
          <w:tcPr>
            <w:tcW w:w="1418" w:type="dxa"/>
          </w:tcPr>
          <w:p w:rsidR="00AC48DA" w:rsidRPr="00ED0D20" w:rsidRDefault="00AC48DA" w:rsidP="007B5C5A">
            <w:pPr>
              <w:spacing w:before="40"/>
              <w:cnfStyle w:val="000000100000" w:firstRow="0" w:lastRow="0" w:firstColumn="0" w:lastColumn="0" w:oddVBand="0" w:evenVBand="0" w:oddHBand="1" w:evenHBand="0" w:firstRowFirstColumn="0" w:firstRowLastColumn="0" w:lastRowFirstColumn="0" w:lastRowLastColumn="0"/>
              <w:rPr>
                <w:sz w:val="18"/>
                <w:szCs w:val="18"/>
              </w:rPr>
            </w:pPr>
          </w:p>
        </w:tc>
        <w:tc>
          <w:tcPr>
            <w:tcW w:w="1253" w:type="dxa"/>
          </w:tcPr>
          <w:p w:rsidR="00AC48DA" w:rsidRPr="00ED0D20" w:rsidRDefault="00AC48DA" w:rsidP="007B5C5A">
            <w:pPr>
              <w:spacing w:before="40"/>
              <w:cnfStyle w:val="000000100000" w:firstRow="0" w:lastRow="0" w:firstColumn="0" w:lastColumn="0" w:oddVBand="0" w:evenVBand="0" w:oddHBand="1" w:evenHBand="0" w:firstRowFirstColumn="0" w:firstRowLastColumn="0" w:lastRowFirstColumn="0" w:lastRowLastColumn="0"/>
              <w:rPr>
                <w:sz w:val="18"/>
                <w:szCs w:val="18"/>
              </w:rPr>
            </w:pPr>
          </w:p>
        </w:tc>
      </w:tr>
      <w:tr w:rsidR="00AC48DA" w:rsidRPr="002E6A4D" w:rsidTr="00896539">
        <w:tc>
          <w:tcPr>
            <w:cnfStyle w:val="001000000000" w:firstRow="0" w:lastRow="0" w:firstColumn="1" w:lastColumn="0" w:oddVBand="0" w:evenVBand="0" w:oddHBand="0" w:evenHBand="0" w:firstRowFirstColumn="0" w:firstRowLastColumn="0" w:lastRowFirstColumn="0" w:lastRowLastColumn="0"/>
            <w:tcW w:w="959" w:type="dxa"/>
          </w:tcPr>
          <w:p w:rsidR="00AC48DA" w:rsidRPr="00ED0D20" w:rsidRDefault="00AC48DA" w:rsidP="007B5C5A">
            <w:pPr>
              <w:spacing w:before="40"/>
              <w:rPr>
                <w:sz w:val="18"/>
                <w:szCs w:val="18"/>
              </w:rPr>
            </w:pPr>
            <w:r w:rsidRPr="00ED0D20">
              <w:rPr>
                <w:sz w:val="18"/>
                <w:szCs w:val="18"/>
              </w:rPr>
              <w:t>year</w:t>
            </w:r>
          </w:p>
        </w:tc>
        <w:tc>
          <w:tcPr>
            <w:tcW w:w="5386" w:type="dxa"/>
          </w:tcPr>
          <w:p w:rsidR="00AC48DA" w:rsidRPr="00ED0D20" w:rsidRDefault="00AC48DA" w:rsidP="007B5C5A">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Year</w:t>
            </w:r>
          </w:p>
        </w:tc>
        <w:tc>
          <w:tcPr>
            <w:tcW w:w="1418" w:type="dxa"/>
          </w:tcPr>
          <w:p w:rsidR="00AC48DA" w:rsidRPr="00ED0D20" w:rsidRDefault="00AC48DA" w:rsidP="007B5C5A">
            <w:pPr>
              <w:spacing w:before="40"/>
              <w:cnfStyle w:val="000000000000" w:firstRow="0" w:lastRow="0" w:firstColumn="0" w:lastColumn="0" w:oddVBand="0" w:evenVBand="0" w:oddHBand="0" w:evenHBand="0" w:firstRowFirstColumn="0" w:firstRowLastColumn="0" w:lastRowFirstColumn="0" w:lastRowLastColumn="0"/>
              <w:rPr>
                <w:sz w:val="18"/>
                <w:szCs w:val="18"/>
              </w:rPr>
            </w:pPr>
          </w:p>
        </w:tc>
        <w:tc>
          <w:tcPr>
            <w:tcW w:w="1253" w:type="dxa"/>
          </w:tcPr>
          <w:p w:rsidR="00AC48DA" w:rsidRPr="00ED0D20" w:rsidRDefault="00AC48DA" w:rsidP="007B5C5A">
            <w:pPr>
              <w:spacing w:before="40"/>
              <w:cnfStyle w:val="000000000000" w:firstRow="0" w:lastRow="0" w:firstColumn="0" w:lastColumn="0" w:oddVBand="0" w:evenVBand="0" w:oddHBand="0" w:evenHBand="0" w:firstRowFirstColumn="0" w:firstRowLastColumn="0" w:lastRowFirstColumn="0" w:lastRowLastColumn="0"/>
              <w:rPr>
                <w:sz w:val="18"/>
                <w:szCs w:val="18"/>
              </w:rPr>
            </w:pPr>
          </w:p>
        </w:tc>
      </w:tr>
      <w:tr w:rsidR="00AC48DA" w:rsidRPr="002E6A4D" w:rsidTr="0089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AC48DA" w:rsidRPr="00ED0D20" w:rsidRDefault="00AC48DA" w:rsidP="007B5C5A">
            <w:pPr>
              <w:spacing w:before="40"/>
              <w:rPr>
                <w:sz w:val="18"/>
                <w:szCs w:val="18"/>
              </w:rPr>
            </w:pPr>
            <w:r w:rsidRPr="00ED0D20">
              <w:rPr>
                <w:sz w:val="18"/>
                <w:szCs w:val="18"/>
              </w:rPr>
              <w:t>orgpart</w:t>
            </w:r>
          </w:p>
        </w:tc>
        <w:tc>
          <w:tcPr>
            <w:tcW w:w="5386" w:type="dxa"/>
          </w:tcPr>
          <w:p w:rsidR="00AC48DA" w:rsidRDefault="00AC48DA" w:rsidP="007B5C5A">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b/>
                <w:sz w:val="18"/>
                <w:szCs w:val="18"/>
              </w:rPr>
              <w:t>Organisational participation</w:t>
            </w:r>
            <w:r w:rsidRPr="00ED0D20">
              <w:rPr>
                <w:sz w:val="18"/>
                <w:szCs w:val="18"/>
              </w:rPr>
              <w:t xml:space="preserve"> (you can influence decisions that are important for your work)</w:t>
            </w:r>
          </w:p>
          <w:p w:rsidR="00ED0D20" w:rsidRDefault="00ED0D20" w:rsidP="007B5C5A">
            <w:pPr>
              <w:spacing w:before="40"/>
              <w:cnfStyle w:val="000000100000" w:firstRow="0" w:lastRow="0" w:firstColumn="0" w:lastColumn="0" w:oddVBand="0" w:evenVBand="0" w:oddHBand="1" w:evenHBand="0" w:firstRowFirstColumn="0" w:firstRowLastColumn="0" w:lastRowFirstColumn="0" w:lastRowLastColumn="0"/>
              <w:rPr>
                <w:sz w:val="18"/>
                <w:szCs w:val="18"/>
              </w:rPr>
            </w:pPr>
          </w:p>
          <w:p w:rsidR="00ED0D20" w:rsidRPr="00ED0D20" w:rsidRDefault="00ED0D20" w:rsidP="007B5C5A">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Source: European Working Conditions Survey (original variables: q51o). </w:t>
            </w:r>
            <w:r w:rsidRPr="00ED0D20">
              <w:rPr>
                <w:sz w:val="18"/>
                <w:szCs w:val="18"/>
              </w:rPr>
              <w:t>"q51o. Select the response which best describes your work situation - You can influence decisions that are important for your work" ('Mo</w:t>
            </w:r>
            <w:r w:rsidR="00CC17A3">
              <w:rPr>
                <w:sz w:val="18"/>
                <w:szCs w:val="18"/>
              </w:rPr>
              <w:t>st of the time'; 'Always'); "</w:t>
            </w:r>
            <w:r w:rsidRPr="00ED0D20">
              <w:rPr>
                <w:sz w:val="18"/>
                <w:szCs w:val="18"/>
              </w:rPr>
              <w:t>Weight</w:t>
            </w:r>
            <w:r w:rsidR="00AE4915">
              <w:rPr>
                <w:sz w:val="18"/>
                <w:szCs w:val="18"/>
              </w:rPr>
              <w:t>s</w:t>
            </w:r>
            <w:r w:rsidRPr="00ED0D20">
              <w:rPr>
                <w:sz w:val="18"/>
                <w:szCs w:val="18"/>
              </w:rPr>
              <w:t xml:space="preserve"> applied 'w5_all_e'</w:t>
            </w:r>
            <w:r w:rsidR="00AE4915">
              <w:rPr>
                <w:sz w:val="18"/>
                <w:szCs w:val="18"/>
              </w:rPr>
              <w:t>, ‘</w:t>
            </w:r>
            <w:r w:rsidR="00AE4915" w:rsidRPr="00AE4915">
              <w:rPr>
                <w:sz w:val="18"/>
                <w:szCs w:val="18"/>
              </w:rPr>
              <w:t>w5_EU28</w:t>
            </w:r>
            <w:r w:rsidR="00AE4915">
              <w:rPr>
                <w:sz w:val="18"/>
                <w:szCs w:val="18"/>
              </w:rPr>
              <w:t>’.</w:t>
            </w:r>
          </w:p>
        </w:tc>
        <w:tc>
          <w:tcPr>
            <w:tcW w:w="1418" w:type="dxa"/>
          </w:tcPr>
          <w:p w:rsidR="00AC48DA" w:rsidRPr="00ED0D20" w:rsidRDefault="00AC48DA" w:rsidP="007B5C5A">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w:t>
            </w:r>
          </w:p>
        </w:tc>
        <w:tc>
          <w:tcPr>
            <w:tcW w:w="1253" w:type="dxa"/>
          </w:tcPr>
          <w:p w:rsidR="00AC48DA" w:rsidRPr="00ED0D20" w:rsidRDefault="00AC48DA" w:rsidP="007B5C5A">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2010</w:t>
            </w:r>
            <w:r w:rsidR="003F2099">
              <w:rPr>
                <w:sz w:val="18"/>
                <w:szCs w:val="18"/>
              </w:rPr>
              <w:t>, 2015</w:t>
            </w:r>
          </w:p>
        </w:tc>
      </w:tr>
      <w:tr w:rsidR="00AC48DA" w:rsidRPr="002E6A4D" w:rsidTr="00896539">
        <w:tc>
          <w:tcPr>
            <w:cnfStyle w:val="001000000000" w:firstRow="0" w:lastRow="0" w:firstColumn="1" w:lastColumn="0" w:oddVBand="0" w:evenVBand="0" w:oddHBand="0" w:evenHBand="0" w:firstRowFirstColumn="0" w:firstRowLastColumn="0" w:lastRowFirstColumn="0" w:lastRowLastColumn="0"/>
            <w:tcW w:w="959" w:type="dxa"/>
          </w:tcPr>
          <w:p w:rsidR="00AC48DA" w:rsidRPr="00ED0D20" w:rsidRDefault="00AC48DA" w:rsidP="007B5C5A">
            <w:pPr>
              <w:spacing w:before="40"/>
              <w:rPr>
                <w:sz w:val="18"/>
                <w:szCs w:val="18"/>
              </w:rPr>
            </w:pPr>
            <w:r w:rsidRPr="00ED0D20">
              <w:rPr>
                <w:sz w:val="18"/>
                <w:szCs w:val="18"/>
              </w:rPr>
              <w:t>invorg</w:t>
            </w:r>
          </w:p>
        </w:tc>
        <w:tc>
          <w:tcPr>
            <w:tcW w:w="5386" w:type="dxa"/>
          </w:tcPr>
          <w:p w:rsidR="00ED0D20" w:rsidRPr="00744C0D" w:rsidRDefault="00AC48DA" w:rsidP="007B5C5A">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ED0D20">
              <w:rPr>
                <w:b/>
                <w:sz w:val="18"/>
                <w:szCs w:val="18"/>
              </w:rPr>
              <w:t>Involved in improving the organisation</w:t>
            </w:r>
          </w:p>
          <w:p w:rsidR="007C1705" w:rsidRPr="00ED0D20" w:rsidRDefault="00ED0D20" w:rsidP="00ED0D20">
            <w:pPr>
              <w:spacing w:before="2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Source: European Working Conditions Survey (original variables: q51d). “</w:t>
            </w:r>
            <w:r w:rsidRPr="00ED0D20">
              <w:rPr>
                <w:sz w:val="18"/>
                <w:szCs w:val="18"/>
              </w:rPr>
              <w:t>Involved in improving the work organisation" ('Most of the time'; 'Always')</w:t>
            </w:r>
            <w:r>
              <w:rPr>
                <w:sz w:val="18"/>
                <w:szCs w:val="18"/>
              </w:rPr>
              <w:t xml:space="preserve"> </w:t>
            </w:r>
            <w:r w:rsidRPr="00ED0D20">
              <w:rPr>
                <w:sz w:val="18"/>
                <w:szCs w:val="18"/>
              </w:rPr>
              <w:t xml:space="preserve">- </w:t>
            </w:r>
            <w:r w:rsidR="00AE4915" w:rsidRPr="00ED0D20">
              <w:rPr>
                <w:sz w:val="18"/>
                <w:szCs w:val="18"/>
              </w:rPr>
              <w:t>Weight</w:t>
            </w:r>
            <w:r w:rsidR="00AE4915">
              <w:rPr>
                <w:sz w:val="18"/>
                <w:szCs w:val="18"/>
              </w:rPr>
              <w:t>s</w:t>
            </w:r>
            <w:r w:rsidR="00AE4915" w:rsidRPr="00ED0D20">
              <w:rPr>
                <w:sz w:val="18"/>
                <w:szCs w:val="18"/>
              </w:rPr>
              <w:t xml:space="preserve"> applied 'w5_all_e'</w:t>
            </w:r>
            <w:r w:rsidR="00AE4915">
              <w:rPr>
                <w:sz w:val="18"/>
                <w:szCs w:val="18"/>
              </w:rPr>
              <w:t>, ‘</w:t>
            </w:r>
            <w:r w:rsidR="00AE4915" w:rsidRPr="00AE4915">
              <w:rPr>
                <w:sz w:val="18"/>
                <w:szCs w:val="18"/>
              </w:rPr>
              <w:t>w5_EU28</w:t>
            </w:r>
            <w:r w:rsidR="00AE4915">
              <w:rPr>
                <w:sz w:val="18"/>
                <w:szCs w:val="18"/>
              </w:rPr>
              <w:t>’.</w:t>
            </w:r>
          </w:p>
        </w:tc>
        <w:tc>
          <w:tcPr>
            <w:tcW w:w="1418" w:type="dxa"/>
          </w:tcPr>
          <w:p w:rsidR="00AC48DA" w:rsidRPr="00ED0D20" w:rsidRDefault="00AC48DA" w:rsidP="007B5C5A">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w:t>
            </w:r>
          </w:p>
        </w:tc>
        <w:tc>
          <w:tcPr>
            <w:tcW w:w="1253" w:type="dxa"/>
          </w:tcPr>
          <w:p w:rsidR="00AC48DA" w:rsidRPr="00ED0D20" w:rsidRDefault="00AC48DA" w:rsidP="007B5C5A">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2010</w:t>
            </w:r>
            <w:r w:rsidR="003F2099">
              <w:rPr>
                <w:sz w:val="18"/>
                <w:szCs w:val="18"/>
              </w:rPr>
              <w:t>, 2015</w:t>
            </w:r>
          </w:p>
        </w:tc>
      </w:tr>
      <w:tr w:rsidR="00AC48DA" w:rsidRPr="002E6A4D" w:rsidTr="0089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AC48DA" w:rsidRPr="00ED0D20" w:rsidRDefault="00AC48DA" w:rsidP="007B5C5A">
            <w:pPr>
              <w:spacing w:before="40"/>
              <w:rPr>
                <w:sz w:val="18"/>
                <w:szCs w:val="18"/>
              </w:rPr>
            </w:pPr>
            <w:r w:rsidRPr="00ED0D20">
              <w:rPr>
                <w:sz w:val="18"/>
                <w:szCs w:val="18"/>
              </w:rPr>
              <w:t>insec</w:t>
            </w:r>
          </w:p>
        </w:tc>
        <w:tc>
          <w:tcPr>
            <w:tcW w:w="5386" w:type="dxa"/>
          </w:tcPr>
          <w:p w:rsidR="00AC48DA" w:rsidRDefault="00AC48DA" w:rsidP="007B5C5A">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ED0D20">
              <w:rPr>
                <w:b/>
                <w:sz w:val="18"/>
                <w:szCs w:val="18"/>
              </w:rPr>
              <w:t>Labour market insecurity</w:t>
            </w:r>
          </w:p>
          <w:p w:rsidR="00ED0D20" w:rsidRDefault="00ED0D20" w:rsidP="007B5C5A">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ED0D20" w:rsidRPr="00ED0D20" w:rsidRDefault="003B4D30" w:rsidP="007B5C5A">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Source: OECD (2016</w:t>
            </w:r>
            <w:r w:rsidRPr="00ED53E9">
              <w:rPr>
                <w:sz w:val="18"/>
                <w:szCs w:val="18"/>
              </w:rPr>
              <w:t>), "Labour market insecurity: Average expected monetary loss associated with becoming and staying unemployed, as a share of previous earnings", in Country profiles and OECD partner countries, OECD Publishing, Paris, https://doi.org/10.1787/how_life-2017-table145-en.</w:t>
            </w:r>
          </w:p>
        </w:tc>
        <w:tc>
          <w:tcPr>
            <w:tcW w:w="1418" w:type="dxa"/>
          </w:tcPr>
          <w:p w:rsidR="00AC48DA" w:rsidRPr="00ED0D20" w:rsidRDefault="00AC48DA" w:rsidP="007B5C5A">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w:t>
            </w:r>
          </w:p>
        </w:tc>
        <w:tc>
          <w:tcPr>
            <w:tcW w:w="1253" w:type="dxa"/>
          </w:tcPr>
          <w:p w:rsidR="00AC48DA" w:rsidRPr="00ED0D20" w:rsidRDefault="00AC48DA" w:rsidP="007B5C5A">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2009-2013</w:t>
            </w:r>
          </w:p>
        </w:tc>
      </w:tr>
      <w:tr w:rsidR="00AC48DA" w:rsidRPr="002E6A4D" w:rsidTr="00896539">
        <w:tc>
          <w:tcPr>
            <w:cnfStyle w:val="001000000000" w:firstRow="0" w:lastRow="0" w:firstColumn="1" w:lastColumn="0" w:oddVBand="0" w:evenVBand="0" w:oddHBand="0" w:evenHBand="0" w:firstRowFirstColumn="0" w:firstRowLastColumn="0" w:lastRowFirstColumn="0" w:lastRowLastColumn="0"/>
            <w:tcW w:w="959" w:type="dxa"/>
          </w:tcPr>
          <w:p w:rsidR="00AC48DA" w:rsidRPr="00ED0D20" w:rsidRDefault="00AC48DA" w:rsidP="007B5C5A">
            <w:pPr>
              <w:spacing w:before="40"/>
              <w:rPr>
                <w:sz w:val="18"/>
                <w:szCs w:val="18"/>
              </w:rPr>
            </w:pPr>
            <w:r w:rsidRPr="00ED0D20">
              <w:rPr>
                <w:sz w:val="18"/>
                <w:szCs w:val="18"/>
              </w:rPr>
              <w:t>ltunem</w:t>
            </w:r>
          </w:p>
        </w:tc>
        <w:tc>
          <w:tcPr>
            <w:tcW w:w="5386" w:type="dxa"/>
          </w:tcPr>
          <w:p w:rsidR="00AC48DA" w:rsidRDefault="00AC48DA" w:rsidP="007B5C5A">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ED0D20">
              <w:rPr>
                <w:b/>
                <w:sz w:val="18"/>
                <w:szCs w:val="18"/>
              </w:rPr>
              <w:t>Long-term unemployment</w:t>
            </w:r>
          </w:p>
          <w:p w:rsidR="00ED0D20" w:rsidRDefault="00ED0D20" w:rsidP="007B5C5A">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ED0D20" w:rsidRPr="00ED0D20" w:rsidRDefault="003B4D30" w:rsidP="007B5C5A">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Source: OECD (2016</w:t>
            </w:r>
            <w:r w:rsidRPr="00ED53E9">
              <w:rPr>
                <w:sz w:val="18"/>
                <w:szCs w:val="18"/>
              </w:rPr>
              <w:t xml:space="preserve">), Long-term unemployment rate (indicator). </w:t>
            </w:r>
            <w:r>
              <w:rPr>
                <w:sz w:val="18"/>
                <w:szCs w:val="18"/>
              </w:rPr>
              <w:t xml:space="preserve">doi: 10.1787/76471ad5-en </w:t>
            </w:r>
            <w:r>
              <w:rPr>
                <w:rStyle w:val="FootnoteReference"/>
                <w:sz w:val="18"/>
                <w:szCs w:val="18"/>
              </w:rPr>
              <w:footnoteReference w:id="2"/>
            </w:r>
            <w:r w:rsidRPr="00ED0D20">
              <w:rPr>
                <w:sz w:val="18"/>
                <w:szCs w:val="18"/>
              </w:rPr>
              <w:t>.</w:t>
            </w:r>
          </w:p>
        </w:tc>
        <w:tc>
          <w:tcPr>
            <w:tcW w:w="1418" w:type="dxa"/>
          </w:tcPr>
          <w:p w:rsidR="00AC48DA" w:rsidRPr="00ED0D20" w:rsidRDefault="00AC48DA" w:rsidP="007B5C5A">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w:t>
            </w:r>
          </w:p>
        </w:tc>
        <w:tc>
          <w:tcPr>
            <w:tcW w:w="1253" w:type="dxa"/>
          </w:tcPr>
          <w:p w:rsidR="00AC48DA" w:rsidRPr="00ED0D20" w:rsidRDefault="00AC48DA" w:rsidP="007B5C5A">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1980-2014</w:t>
            </w:r>
          </w:p>
        </w:tc>
      </w:tr>
      <w:tr w:rsidR="00AC48DA" w:rsidRPr="002E6A4D" w:rsidTr="0089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AC48DA" w:rsidRPr="00ED0D20" w:rsidRDefault="00AC48DA" w:rsidP="007B5C5A">
            <w:pPr>
              <w:spacing w:before="40"/>
              <w:rPr>
                <w:sz w:val="18"/>
                <w:szCs w:val="18"/>
              </w:rPr>
            </w:pPr>
            <w:r w:rsidRPr="00ED0D20">
              <w:rPr>
                <w:sz w:val="18"/>
                <w:szCs w:val="18"/>
              </w:rPr>
              <w:t>underem</w:t>
            </w:r>
          </w:p>
        </w:tc>
        <w:tc>
          <w:tcPr>
            <w:tcW w:w="5386" w:type="dxa"/>
          </w:tcPr>
          <w:p w:rsidR="00AC48DA" w:rsidRDefault="00AC48DA" w:rsidP="007B5C5A">
            <w:pPr>
              <w:tabs>
                <w:tab w:val="left" w:pos="1535"/>
              </w:tabs>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ED0D20">
              <w:rPr>
                <w:b/>
                <w:sz w:val="18"/>
                <w:szCs w:val="18"/>
              </w:rPr>
              <w:t>Time-related underemployment</w:t>
            </w:r>
          </w:p>
          <w:p w:rsidR="007C1705" w:rsidRDefault="007C1705" w:rsidP="007B5C5A">
            <w:pPr>
              <w:tabs>
                <w:tab w:val="left" w:pos="1535"/>
              </w:tabs>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7C1705" w:rsidRPr="007C1705" w:rsidRDefault="007C1705" w:rsidP="007C1705">
            <w:pPr>
              <w:tabs>
                <w:tab w:val="left" w:pos="1535"/>
              </w:tabs>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Source: ILOSTAT. “</w:t>
            </w:r>
            <w:r w:rsidRPr="007C1705">
              <w:rPr>
                <w:sz w:val="18"/>
                <w:szCs w:val="18"/>
              </w:rPr>
              <w:t>The time-related underemployment rate conveys the number of time-related underemployment as a percent of the total number of persons in employment. Persons in time-related underemployment comprise all persons in employment, who satisfy the following three criteria during the reference period: a) are willing to work additional hours; b) are available to work additional hours i.e., are ready, within a specified subsequent period, to work additional hours, given opportunities for additional work; and c) worked less than a threshold relating to working time i.e., persons whose hours actually worked in all jobs during the reference period were below a threshold, to be chosen according to national circumstances</w:t>
            </w:r>
            <w:r>
              <w:rPr>
                <w:sz w:val="18"/>
                <w:szCs w:val="18"/>
              </w:rPr>
              <w:t>”</w:t>
            </w:r>
            <w:r>
              <w:rPr>
                <w:rStyle w:val="FootnoteReference"/>
                <w:sz w:val="18"/>
                <w:szCs w:val="18"/>
              </w:rPr>
              <w:footnoteReference w:id="3"/>
            </w:r>
            <w:r w:rsidRPr="007C1705">
              <w:rPr>
                <w:sz w:val="18"/>
                <w:szCs w:val="18"/>
              </w:rPr>
              <w:t xml:space="preserve">. </w:t>
            </w:r>
          </w:p>
        </w:tc>
        <w:tc>
          <w:tcPr>
            <w:tcW w:w="1418" w:type="dxa"/>
          </w:tcPr>
          <w:p w:rsidR="00AC48DA" w:rsidRPr="00ED0D20" w:rsidRDefault="00AC48DA" w:rsidP="007B5C5A">
            <w:pPr>
              <w:tabs>
                <w:tab w:val="left" w:pos="1535"/>
              </w:tabs>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w:t>
            </w:r>
          </w:p>
        </w:tc>
        <w:tc>
          <w:tcPr>
            <w:tcW w:w="1253" w:type="dxa"/>
          </w:tcPr>
          <w:p w:rsidR="00AC48DA" w:rsidRPr="00ED0D20" w:rsidRDefault="00AC48DA" w:rsidP="007B5C5A">
            <w:pPr>
              <w:tabs>
                <w:tab w:val="left" w:pos="1535"/>
              </w:tabs>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1997-2014</w:t>
            </w:r>
          </w:p>
        </w:tc>
      </w:tr>
      <w:tr w:rsidR="00AC48DA" w:rsidRPr="002E6A4D" w:rsidTr="00896539">
        <w:tc>
          <w:tcPr>
            <w:cnfStyle w:val="001000000000" w:firstRow="0" w:lastRow="0" w:firstColumn="1" w:lastColumn="0" w:oddVBand="0" w:evenVBand="0" w:oddHBand="0" w:evenHBand="0" w:firstRowFirstColumn="0" w:firstRowLastColumn="0" w:lastRowFirstColumn="0" w:lastRowLastColumn="0"/>
            <w:tcW w:w="959" w:type="dxa"/>
          </w:tcPr>
          <w:p w:rsidR="00AC48DA" w:rsidRPr="00ED0D20" w:rsidRDefault="00AC48DA" w:rsidP="007B5C5A">
            <w:pPr>
              <w:spacing w:before="40"/>
              <w:rPr>
                <w:sz w:val="18"/>
                <w:szCs w:val="18"/>
              </w:rPr>
            </w:pPr>
            <w:r w:rsidRPr="00ED0D20">
              <w:rPr>
                <w:sz w:val="18"/>
                <w:szCs w:val="18"/>
              </w:rPr>
              <w:t>gwgap</w:t>
            </w:r>
          </w:p>
        </w:tc>
        <w:tc>
          <w:tcPr>
            <w:tcW w:w="5386" w:type="dxa"/>
          </w:tcPr>
          <w:p w:rsidR="00AC48DA" w:rsidRDefault="00AC48DA" w:rsidP="007B5C5A">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ED0D20">
              <w:rPr>
                <w:b/>
                <w:sz w:val="18"/>
                <w:szCs w:val="18"/>
              </w:rPr>
              <w:t>Gender wage gap</w:t>
            </w:r>
          </w:p>
          <w:p w:rsidR="007C1705" w:rsidRDefault="007C1705" w:rsidP="007B5C5A">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7C1705" w:rsidRPr="007C1705" w:rsidRDefault="003B4D30" w:rsidP="007B5C5A">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Source: OECD (2016</w:t>
            </w:r>
            <w:r w:rsidRPr="00F563D0">
              <w:rPr>
                <w:sz w:val="18"/>
                <w:szCs w:val="18"/>
              </w:rPr>
              <w:t>), Gender wage gap (indicator). doi: 10.1787/7cee77aa-</w:t>
            </w:r>
            <w:r>
              <w:rPr>
                <w:sz w:val="18"/>
                <w:szCs w:val="18"/>
              </w:rPr>
              <w:t xml:space="preserve">en </w:t>
            </w:r>
            <w:r>
              <w:rPr>
                <w:rStyle w:val="FootnoteReference"/>
                <w:sz w:val="18"/>
                <w:szCs w:val="18"/>
              </w:rPr>
              <w:footnoteReference w:id="4"/>
            </w:r>
          </w:p>
        </w:tc>
        <w:tc>
          <w:tcPr>
            <w:tcW w:w="1418" w:type="dxa"/>
          </w:tcPr>
          <w:p w:rsidR="00AC48DA" w:rsidRPr="00ED0D20" w:rsidRDefault="00AC48DA" w:rsidP="007B5C5A">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w:t>
            </w:r>
          </w:p>
        </w:tc>
        <w:tc>
          <w:tcPr>
            <w:tcW w:w="1253" w:type="dxa"/>
          </w:tcPr>
          <w:p w:rsidR="00AC48DA" w:rsidRPr="00ED0D20" w:rsidRDefault="00AC48DA" w:rsidP="007B5C5A">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2000-2014</w:t>
            </w:r>
          </w:p>
        </w:tc>
      </w:tr>
      <w:tr w:rsidR="00AC48DA" w:rsidRPr="002E6A4D" w:rsidTr="0089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AC48DA" w:rsidRPr="00ED0D20" w:rsidRDefault="00AC48DA" w:rsidP="007B5C5A">
            <w:pPr>
              <w:spacing w:before="40"/>
              <w:rPr>
                <w:sz w:val="18"/>
                <w:szCs w:val="18"/>
              </w:rPr>
            </w:pPr>
            <w:r w:rsidRPr="00ED0D20">
              <w:rPr>
                <w:sz w:val="18"/>
                <w:szCs w:val="18"/>
              </w:rPr>
              <w:t>respect</w:t>
            </w:r>
          </w:p>
        </w:tc>
        <w:tc>
          <w:tcPr>
            <w:tcW w:w="5386" w:type="dxa"/>
          </w:tcPr>
          <w:p w:rsidR="00AC48DA" w:rsidRDefault="00AC48DA" w:rsidP="007B5C5A">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ED0D20">
              <w:rPr>
                <w:b/>
                <w:sz w:val="18"/>
                <w:szCs w:val="18"/>
              </w:rPr>
              <w:t>Managerial practices: Your manager/ supervisor respects you as a person</w:t>
            </w:r>
          </w:p>
          <w:p w:rsidR="007C1705" w:rsidRDefault="007C1705" w:rsidP="007B5C5A">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7C1705" w:rsidRPr="007C1705" w:rsidRDefault="007C1705" w:rsidP="00723F6B">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 xml:space="preserve">Source: </w:t>
            </w:r>
            <w:r w:rsidR="00723F6B">
              <w:rPr>
                <w:sz w:val="18"/>
                <w:szCs w:val="18"/>
              </w:rPr>
              <w:t xml:space="preserve">European </w:t>
            </w:r>
            <w:r w:rsidR="00CC17A3">
              <w:rPr>
                <w:sz w:val="18"/>
                <w:szCs w:val="18"/>
              </w:rPr>
              <w:t>Working Conditions Survey. “q58</w:t>
            </w:r>
            <w:r w:rsidR="00723F6B">
              <w:rPr>
                <w:sz w:val="18"/>
                <w:szCs w:val="18"/>
              </w:rPr>
              <w:t xml:space="preserve">B - In general, your immediate manager/ supervisor – respects you as person” </w:t>
            </w:r>
            <w:r w:rsidR="00723F6B" w:rsidRPr="00723F6B">
              <w:rPr>
                <w:sz w:val="18"/>
                <w:szCs w:val="18"/>
              </w:rPr>
              <w:t>(Yes) - Weight applied 'w5_all_e'</w:t>
            </w:r>
            <w:r w:rsidR="00723F6B">
              <w:rPr>
                <w:rStyle w:val="FootnoteReference"/>
                <w:sz w:val="18"/>
                <w:szCs w:val="18"/>
              </w:rPr>
              <w:footnoteReference w:id="5"/>
            </w:r>
            <w:r w:rsidR="00A7211D">
              <w:rPr>
                <w:sz w:val="18"/>
                <w:szCs w:val="18"/>
              </w:rPr>
              <w:t>, ‘</w:t>
            </w:r>
            <w:r w:rsidR="00A7211D" w:rsidRPr="00AE4915">
              <w:rPr>
                <w:sz w:val="18"/>
                <w:szCs w:val="18"/>
              </w:rPr>
              <w:t>w5_EU28</w:t>
            </w:r>
            <w:r w:rsidR="00A7211D">
              <w:rPr>
                <w:sz w:val="18"/>
                <w:szCs w:val="18"/>
              </w:rPr>
              <w:t>’.</w:t>
            </w:r>
          </w:p>
        </w:tc>
        <w:tc>
          <w:tcPr>
            <w:tcW w:w="1418" w:type="dxa"/>
          </w:tcPr>
          <w:p w:rsidR="00AC48DA" w:rsidRPr="00ED0D20" w:rsidRDefault="00AC48DA" w:rsidP="007B5C5A">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lastRenderedPageBreak/>
              <w:t>%</w:t>
            </w:r>
          </w:p>
        </w:tc>
        <w:tc>
          <w:tcPr>
            <w:tcW w:w="1253" w:type="dxa"/>
          </w:tcPr>
          <w:p w:rsidR="00AC48DA" w:rsidRPr="00ED0D20" w:rsidRDefault="00AC48DA" w:rsidP="007B5C5A">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2010</w:t>
            </w:r>
            <w:r w:rsidR="00A11707">
              <w:rPr>
                <w:sz w:val="18"/>
                <w:szCs w:val="18"/>
              </w:rPr>
              <w:t>, 2015</w:t>
            </w:r>
          </w:p>
        </w:tc>
      </w:tr>
      <w:tr w:rsidR="00AC48DA" w:rsidRPr="002E6A4D" w:rsidTr="00896539">
        <w:tc>
          <w:tcPr>
            <w:cnfStyle w:val="001000000000" w:firstRow="0" w:lastRow="0" w:firstColumn="1" w:lastColumn="0" w:oddVBand="0" w:evenVBand="0" w:oddHBand="0" w:evenHBand="0" w:firstRowFirstColumn="0" w:firstRowLastColumn="0" w:lastRowFirstColumn="0" w:lastRowLastColumn="0"/>
            <w:tcW w:w="959" w:type="dxa"/>
          </w:tcPr>
          <w:p w:rsidR="00AC48DA" w:rsidRPr="00ED0D20" w:rsidRDefault="00AC48DA" w:rsidP="007B5C5A">
            <w:pPr>
              <w:spacing w:before="40"/>
              <w:rPr>
                <w:sz w:val="18"/>
                <w:szCs w:val="18"/>
              </w:rPr>
            </w:pPr>
            <w:r w:rsidRPr="00ED0D20">
              <w:rPr>
                <w:sz w:val="18"/>
                <w:szCs w:val="18"/>
              </w:rPr>
              <w:t>resconf</w:t>
            </w:r>
          </w:p>
        </w:tc>
        <w:tc>
          <w:tcPr>
            <w:tcW w:w="5386" w:type="dxa"/>
          </w:tcPr>
          <w:p w:rsidR="00AC48DA" w:rsidRDefault="00AC48DA" w:rsidP="007B5C5A">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ED0D20">
              <w:rPr>
                <w:b/>
                <w:sz w:val="18"/>
                <w:szCs w:val="18"/>
              </w:rPr>
              <w:t>Managerial practices: Your manager/ supervisor is good at resolving conflicts</w:t>
            </w:r>
            <w:r w:rsidR="00A7211D">
              <w:rPr>
                <w:b/>
                <w:sz w:val="18"/>
                <w:szCs w:val="18"/>
              </w:rPr>
              <w:t xml:space="preserve"> &amp; in getting people to work together</w:t>
            </w:r>
          </w:p>
          <w:p w:rsidR="00723F6B" w:rsidRDefault="00723F6B" w:rsidP="007B5C5A">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723F6B" w:rsidRPr="00ED0D20" w:rsidRDefault="00723F6B" w:rsidP="007B5C5A">
            <w:pPr>
              <w:spacing w:before="40"/>
              <w:cnfStyle w:val="000000000000" w:firstRow="0" w:lastRow="0" w:firstColumn="0" w:lastColumn="0" w:oddVBand="0" w:evenVBand="0" w:oddHBand="0" w:evenHBand="0" w:firstRowFirstColumn="0" w:firstRowLastColumn="0" w:lastRowFirstColumn="0" w:lastRowLastColumn="0"/>
              <w:rPr>
                <w:b/>
                <w:sz w:val="18"/>
                <w:szCs w:val="18"/>
              </w:rPr>
            </w:pPr>
            <w:r>
              <w:rPr>
                <w:sz w:val="18"/>
                <w:szCs w:val="18"/>
              </w:rPr>
              <w:t xml:space="preserve">Source: European Working Conditions Survey. “q58 C - In general, your immediate manager/ supervisor – is good at resolving conflicts” </w:t>
            </w:r>
            <w:r w:rsidRPr="00723F6B">
              <w:rPr>
                <w:sz w:val="18"/>
                <w:szCs w:val="18"/>
              </w:rPr>
              <w:t>(Yes) - Weight applied 'w5_all_e'</w:t>
            </w:r>
            <w:r w:rsidR="00A7211D">
              <w:rPr>
                <w:sz w:val="18"/>
                <w:szCs w:val="18"/>
              </w:rPr>
              <w:t>, ‘</w:t>
            </w:r>
            <w:r w:rsidR="00A7211D" w:rsidRPr="00AE4915">
              <w:rPr>
                <w:sz w:val="18"/>
                <w:szCs w:val="18"/>
              </w:rPr>
              <w:t>w5_EU28</w:t>
            </w:r>
            <w:r w:rsidR="00A7211D">
              <w:rPr>
                <w:sz w:val="18"/>
                <w:szCs w:val="18"/>
              </w:rPr>
              <w:t>’.</w:t>
            </w:r>
          </w:p>
        </w:tc>
        <w:tc>
          <w:tcPr>
            <w:tcW w:w="1418" w:type="dxa"/>
          </w:tcPr>
          <w:p w:rsidR="00AC48DA" w:rsidRPr="00ED0D20" w:rsidRDefault="00AC48DA" w:rsidP="007B5C5A">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w:t>
            </w:r>
          </w:p>
        </w:tc>
        <w:tc>
          <w:tcPr>
            <w:tcW w:w="1253" w:type="dxa"/>
          </w:tcPr>
          <w:p w:rsidR="00AC48DA" w:rsidRPr="00ED0D20" w:rsidRDefault="00AC48DA" w:rsidP="007B5C5A">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2010</w:t>
            </w:r>
            <w:r w:rsidR="00A11707">
              <w:rPr>
                <w:sz w:val="18"/>
                <w:szCs w:val="18"/>
              </w:rPr>
              <w:t>, 2015</w:t>
            </w:r>
          </w:p>
        </w:tc>
      </w:tr>
      <w:tr w:rsidR="00AC48DA" w:rsidRPr="002E6A4D" w:rsidTr="0089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AC48DA" w:rsidRPr="00ED0D20" w:rsidRDefault="00AC48DA" w:rsidP="007B5C5A">
            <w:pPr>
              <w:spacing w:before="40"/>
              <w:rPr>
                <w:sz w:val="18"/>
                <w:szCs w:val="18"/>
              </w:rPr>
            </w:pPr>
            <w:r w:rsidRPr="00ED0D20">
              <w:rPr>
                <w:sz w:val="18"/>
                <w:szCs w:val="18"/>
              </w:rPr>
              <w:t>planorg</w:t>
            </w:r>
          </w:p>
        </w:tc>
        <w:tc>
          <w:tcPr>
            <w:tcW w:w="5386" w:type="dxa"/>
          </w:tcPr>
          <w:p w:rsidR="00AC48DA" w:rsidRDefault="00AC48DA" w:rsidP="007B5C5A">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ED0D20">
              <w:rPr>
                <w:b/>
                <w:sz w:val="18"/>
                <w:szCs w:val="18"/>
              </w:rPr>
              <w:t>Managerial practices: Your manager/ supervisor is good at planning and organising the work</w:t>
            </w:r>
          </w:p>
          <w:p w:rsidR="00723F6B" w:rsidRDefault="00723F6B" w:rsidP="007B5C5A">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723F6B" w:rsidRPr="00723F6B" w:rsidRDefault="00723F6B" w:rsidP="007B5C5A">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Source: European Working Conditions Survey. “q58 D - In general, your immediate manager/ supervisor – is good at planning and organising the work” </w:t>
            </w:r>
            <w:r w:rsidRPr="00723F6B">
              <w:rPr>
                <w:sz w:val="18"/>
                <w:szCs w:val="18"/>
              </w:rPr>
              <w:t>(Yes) - Weight applied 'w5_all_e'</w:t>
            </w:r>
            <w:r w:rsidR="00305824">
              <w:rPr>
                <w:sz w:val="18"/>
                <w:szCs w:val="18"/>
              </w:rPr>
              <w:t>.</w:t>
            </w:r>
          </w:p>
        </w:tc>
        <w:tc>
          <w:tcPr>
            <w:tcW w:w="1418" w:type="dxa"/>
          </w:tcPr>
          <w:p w:rsidR="00AC48DA" w:rsidRPr="00ED0D20" w:rsidRDefault="00AC48DA" w:rsidP="007B5C5A">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w:t>
            </w:r>
          </w:p>
        </w:tc>
        <w:tc>
          <w:tcPr>
            <w:tcW w:w="1253" w:type="dxa"/>
          </w:tcPr>
          <w:p w:rsidR="00AC48DA" w:rsidRPr="00ED0D20" w:rsidRDefault="00AC48DA" w:rsidP="007B5C5A">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2010</w:t>
            </w:r>
          </w:p>
        </w:tc>
      </w:tr>
      <w:tr w:rsidR="00AC48DA" w:rsidRPr="002E6A4D" w:rsidTr="00896539">
        <w:tc>
          <w:tcPr>
            <w:cnfStyle w:val="001000000000" w:firstRow="0" w:lastRow="0" w:firstColumn="1" w:lastColumn="0" w:oddVBand="0" w:evenVBand="0" w:oddHBand="0" w:evenHBand="0" w:firstRowFirstColumn="0" w:firstRowLastColumn="0" w:lastRowFirstColumn="0" w:lastRowLastColumn="0"/>
            <w:tcW w:w="959" w:type="dxa"/>
          </w:tcPr>
          <w:p w:rsidR="00AC48DA" w:rsidRPr="00ED0D20" w:rsidRDefault="00AC48DA" w:rsidP="007B5C5A">
            <w:pPr>
              <w:spacing w:before="40"/>
              <w:rPr>
                <w:sz w:val="18"/>
                <w:szCs w:val="18"/>
              </w:rPr>
            </w:pPr>
            <w:r w:rsidRPr="00ED0D20">
              <w:rPr>
                <w:sz w:val="18"/>
                <w:szCs w:val="18"/>
              </w:rPr>
              <w:t>encpart</w:t>
            </w:r>
          </w:p>
        </w:tc>
        <w:tc>
          <w:tcPr>
            <w:tcW w:w="5386" w:type="dxa"/>
          </w:tcPr>
          <w:p w:rsidR="00AC48DA" w:rsidRDefault="00AC48DA" w:rsidP="007B5C5A">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ED0D20">
              <w:rPr>
                <w:b/>
                <w:sz w:val="18"/>
                <w:szCs w:val="18"/>
              </w:rPr>
              <w:t>Managerial practices: Your manager/ supervisor encourages you to participate</w:t>
            </w:r>
          </w:p>
          <w:p w:rsidR="00723F6B" w:rsidRDefault="00723F6B" w:rsidP="007B5C5A">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723F6B" w:rsidRPr="00723F6B" w:rsidRDefault="00723F6B" w:rsidP="007B5C5A">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Source: European Working Conditions Survey. “q58 E - In general, your immediate manager/ supervisor – encourages you to participate in important decisions”</w:t>
            </w:r>
            <w:r w:rsidRPr="00723F6B">
              <w:rPr>
                <w:sz w:val="18"/>
                <w:szCs w:val="18"/>
              </w:rPr>
              <w:t xml:space="preserve"> (Yes) - Weight applied 'w5_all_e'</w:t>
            </w:r>
            <w:r w:rsidR="00A7211D">
              <w:rPr>
                <w:sz w:val="18"/>
                <w:szCs w:val="18"/>
              </w:rPr>
              <w:t>.</w:t>
            </w:r>
          </w:p>
        </w:tc>
        <w:tc>
          <w:tcPr>
            <w:tcW w:w="1418" w:type="dxa"/>
          </w:tcPr>
          <w:p w:rsidR="00AC48DA" w:rsidRPr="00ED0D20" w:rsidRDefault="00AC48DA" w:rsidP="007B5C5A">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w:t>
            </w:r>
          </w:p>
        </w:tc>
        <w:tc>
          <w:tcPr>
            <w:tcW w:w="1253" w:type="dxa"/>
          </w:tcPr>
          <w:p w:rsidR="00AC48DA" w:rsidRPr="00ED0D20" w:rsidRDefault="00AC48DA" w:rsidP="007B5C5A">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2010</w:t>
            </w:r>
          </w:p>
        </w:tc>
      </w:tr>
      <w:tr w:rsidR="00F63A4A" w:rsidRPr="002E6A4D" w:rsidTr="0089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F63A4A" w:rsidRPr="00ED0D20" w:rsidRDefault="00F63A4A" w:rsidP="007B5C5A">
            <w:pPr>
              <w:spacing w:before="40"/>
              <w:rPr>
                <w:sz w:val="18"/>
                <w:szCs w:val="18"/>
              </w:rPr>
            </w:pPr>
            <w:r w:rsidRPr="00F63A4A">
              <w:rPr>
                <w:sz w:val="18"/>
                <w:szCs w:val="18"/>
              </w:rPr>
              <w:t>emplprot</w:t>
            </w:r>
          </w:p>
        </w:tc>
        <w:tc>
          <w:tcPr>
            <w:tcW w:w="5386" w:type="dxa"/>
          </w:tcPr>
          <w:p w:rsidR="00F63A4A" w:rsidRDefault="00F63A4A" w:rsidP="007B5C5A">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F63A4A">
              <w:rPr>
                <w:b/>
                <w:sz w:val="18"/>
                <w:szCs w:val="18"/>
              </w:rPr>
              <w:t>Strictness of employment protection – individual dismissals (regular contracts)</w:t>
            </w:r>
          </w:p>
          <w:p w:rsidR="00F63A4A" w:rsidRDefault="00F63A4A" w:rsidP="007B5C5A">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961E73" w:rsidRPr="00961E73" w:rsidRDefault="00F63A4A" w:rsidP="00961E73">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Source: OECD Indicators of Employment Protection. </w:t>
            </w:r>
            <w:r w:rsidR="00961E73">
              <w:rPr>
                <w:sz w:val="18"/>
                <w:szCs w:val="18"/>
              </w:rPr>
              <w:t>“</w:t>
            </w:r>
            <w:r w:rsidR="00961E73" w:rsidRPr="00961E73">
              <w:rPr>
                <w:sz w:val="18"/>
                <w:szCs w:val="18"/>
              </w:rPr>
              <w:t>The OECD employment protection indicators are compiled from 21 items covering different aspects of employment protection regulations as they were in force on January 1</w:t>
            </w:r>
            <w:r w:rsidR="00961E73" w:rsidRPr="00961E73">
              <w:rPr>
                <w:sz w:val="18"/>
                <w:szCs w:val="18"/>
                <w:vertAlign w:val="superscript"/>
              </w:rPr>
              <w:t>st</w:t>
            </w:r>
            <w:r w:rsidR="00961E73" w:rsidRPr="00961E73">
              <w:rPr>
                <w:sz w:val="18"/>
                <w:szCs w:val="18"/>
              </w:rPr>
              <w:t> of each year:</w:t>
            </w:r>
          </w:p>
          <w:p w:rsidR="00961E73" w:rsidRPr="00961E73" w:rsidRDefault="00961E73" w:rsidP="00961E73">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0C5BD2">
              <w:rPr>
                <w:bCs/>
                <w:sz w:val="18"/>
                <w:szCs w:val="18"/>
              </w:rPr>
              <w:t>Individual dismissal of workers with regular contracts</w:t>
            </w:r>
            <w:r w:rsidRPr="00961E73">
              <w:rPr>
                <w:sz w:val="18"/>
                <w:szCs w:val="18"/>
              </w:rPr>
              <w:t>, incorporating three aspects of dismissal protection:</w:t>
            </w:r>
            <w:r w:rsidRPr="00961E73">
              <w:rPr>
                <w:sz w:val="18"/>
                <w:szCs w:val="18"/>
              </w:rPr>
              <w:br/>
              <w:t>(i)  </w:t>
            </w:r>
            <w:r w:rsidRPr="00961E73">
              <w:rPr>
                <w:i/>
                <w:iCs/>
                <w:sz w:val="18"/>
                <w:szCs w:val="18"/>
              </w:rPr>
              <w:t> procedural inconveniences</w:t>
            </w:r>
            <w:r w:rsidRPr="00961E73">
              <w:rPr>
                <w:sz w:val="18"/>
                <w:szCs w:val="18"/>
              </w:rPr>
              <w:t> that employers face when starting the dismissal process, such as notification and consultation requirements;</w:t>
            </w:r>
            <w:r w:rsidRPr="00961E73">
              <w:rPr>
                <w:sz w:val="18"/>
                <w:szCs w:val="18"/>
              </w:rPr>
              <w:br/>
              <w:t>(ii)  </w:t>
            </w:r>
            <w:r w:rsidRPr="00961E73">
              <w:rPr>
                <w:i/>
                <w:iCs/>
                <w:sz w:val="18"/>
                <w:szCs w:val="18"/>
              </w:rPr>
              <w:t>notice periods and severance pay</w:t>
            </w:r>
            <w:r w:rsidRPr="00961E73">
              <w:rPr>
                <w:sz w:val="18"/>
                <w:szCs w:val="18"/>
              </w:rPr>
              <w:t>, which typically vary by tenure of the employee; and</w:t>
            </w:r>
            <w:r w:rsidRPr="00961E73">
              <w:rPr>
                <w:sz w:val="18"/>
                <w:szCs w:val="18"/>
              </w:rPr>
              <w:br/>
              <w:t>(iii) </w:t>
            </w:r>
            <w:r w:rsidRPr="00961E73">
              <w:rPr>
                <w:i/>
                <w:iCs/>
                <w:sz w:val="18"/>
                <w:szCs w:val="18"/>
              </w:rPr>
              <w:t>difficulty of dismissal</w:t>
            </w:r>
            <w:r w:rsidRPr="00961E73">
              <w:rPr>
                <w:sz w:val="18"/>
                <w:szCs w:val="18"/>
              </w:rPr>
              <w:t>, as determined by the circumstances in which it is possible to dismiss workers, as well as the repercussions for the employer if a dismissal is found to be unfair (such as compensation and reinstatement)</w:t>
            </w:r>
            <w:r w:rsidR="000C5BD2">
              <w:rPr>
                <w:sz w:val="18"/>
                <w:szCs w:val="18"/>
              </w:rPr>
              <w:t>”</w:t>
            </w:r>
            <w:r w:rsidR="000C5BD2">
              <w:rPr>
                <w:rStyle w:val="FootnoteReference"/>
                <w:sz w:val="18"/>
                <w:szCs w:val="18"/>
              </w:rPr>
              <w:footnoteReference w:id="6"/>
            </w:r>
            <w:r w:rsidRPr="00961E73">
              <w:rPr>
                <w:sz w:val="18"/>
                <w:szCs w:val="18"/>
              </w:rPr>
              <w:t>.</w:t>
            </w:r>
          </w:p>
          <w:p w:rsidR="00F63A4A" w:rsidRPr="00F63A4A" w:rsidRDefault="00F63A4A" w:rsidP="007B5C5A">
            <w:pPr>
              <w:spacing w:before="40"/>
              <w:cnfStyle w:val="000000100000" w:firstRow="0" w:lastRow="0" w:firstColumn="0" w:lastColumn="0" w:oddVBand="0" w:evenVBand="0" w:oddHBand="1" w:evenHBand="0" w:firstRowFirstColumn="0" w:firstRowLastColumn="0" w:lastRowFirstColumn="0" w:lastRowLastColumn="0"/>
              <w:rPr>
                <w:sz w:val="18"/>
                <w:szCs w:val="18"/>
              </w:rPr>
            </w:pPr>
          </w:p>
        </w:tc>
        <w:tc>
          <w:tcPr>
            <w:tcW w:w="1418" w:type="dxa"/>
          </w:tcPr>
          <w:p w:rsidR="00F63A4A" w:rsidRPr="00ED0D20" w:rsidRDefault="00F63A4A" w:rsidP="007B5C5A">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0-6</w:t>
            </w:r>
            <w:r w:rsidR="00A16095">
              <w:rPr>
                <w:sz w:val="18"/>
                <w:szCs w:val="18"/>
              </w:rPr>
              <w:t xml:space="preserve"> (</w:t>
            </w:r>
            <w:r w:rsidR="00E43C16">
              <w:rPr>
                <w:sz w:val="18"/>
                <w:szCs w:val="18"/>
              </w:rPr>
              <w:t>broader employment protection regulations</w:t>
            </w:r>
            <w:r w:rsidR="00A16095">
              <w:rPr>
                <w:sz w:val="18"/>
                <w:szCs w:val="18"/>
              </w:rPr>
              <w:t>)</w:t>
            </w:r>
          </w:p>
        </w:tc>
        <w:tc>
          <w:tcPr>
            <w:tcW w:w="1253" w:type="dxa"/>
          </w:tcPr>
          <w:p w:rsidR="00F63A4A" w:rsidRPr="00ED0D20" w:rsidRDefault="00F63A4A" w:rsidP="007B5C5A">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1985-2013</w:t>
            </w:r>
          </w:p>
        </w:tc>
      </w:tr>
      <w:tr w:rsidR="00326811" w:rsidRPr="002E6A4D" w:rsidTr="00896539">
        <w:tc>
          <w:tcPr>
            <w:cnfStyle w:val="001000000000" w:firstRow="0" w:lastRow="0" w:firstColumn="1" w:lastColumn="0" w:oddVBand="0" w:evenVBand="0" w:oddHBand="0" w:evenHBand="0" w:firstRowFirstColumn="0" w:firstRowLastColumn="0" w:lastRowFirstColumn="0" w:lastRowLastColumn="0"/>
            <w:tcW w:w="959" w:type="dxa"/>
          </w:tcPr>
          <w:p w:rsidR="00326811" w:rsidRPr="00F63A4A" w:rsidRDefault="00326811" w:rsidP="00326811">
            <w:pPr>
              <w:spacing w:before="40"/>
              <w:rPr>
                <w:sz w:val="18"/>
                <w:szCs w:val="18"/>
              </w:rPr>
            </w:pPr>
            <w:r w:rsidRPr="00326811">
              <w:rPr>
                <w:sz w:val="18"/>
                <w:szCs w:val="18"/>
              </w:rPr>
              <w:t>temppro</w:t>
            </w:r>
          </w:p>
        </w:tc>
        <w:tc>
          <w:tcPr>
            <w:tcW w:w="5386" w:type="dxa"/>
          </w:tcPr>
          <w:p w:rsidR="00326811" w:rsidRDefault="00326811" w:rsidP="00326811">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326811">
              <w:rPr>
                <w:b/>
                <w:sz w:val="18"/>
                <w:szCs w:val="18"/>
              </w:rPr>
              <w:t>Strictness of employment protection – temporary employment</w:t>
            </w:r>
          </w:p>
          <w:p w:rsidR="00326811" w:rsidRDefault="00A14695" w:rsidP="00A14695">
            <w:pPr>
              <w:tabs>
                <w:tab w:val="left" w:pos="1352"/>
              </w:tabs>
              <w:spacing w:before="40"/>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ab/>
            </w:r>
          </w:p>
          <w:p w:rsidR="00326811" w:rsidRDefault="00326811" w:rsidP="00326811">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Source: OECD Indicators of Employment Protection</w:t>
            </w:r>
            <w:r w:rsidR="000C5BD2">
              <w:rPr>
                <w:sz w:val="18"/>
                <w:szCs w:val="18"/>
              </w:rPr>
              <w:t>. “</w:t>
            </w:r>
            <w:r w:rsidR="000C5BD2" w:rsidRPr="000C5BD2">
              <w:rPr>
                <w:bCs/>
                <w:sz w:val="18"/>
                <w:szCs w:val="18"/>
              </w:rPr>
              <w:t>Regulation of temporary contracts.</w:t>
            </w:r>
            <w:r w:rsidR="000C5BD2" w:rsidRPr="000C5BD2">
              <w:rPr>
                <w:sz w:val="18"/>
                <w:szCs w:val="18"/>
              </w:rPr>
              <w:t> Includes regulation of fixed-term and temporary work agency contracts with respect to the types of work for which these contracts are allowed and their duration; regulation governing the establishment and operation of temporary work agencies; requirements for agency workers to receive the same pay and/or conditions as equivalent workers in the user firm, which can increase the cost of using temporary agency workers relative to hiring</w:t>
            </w:r>
            <w:r w:rsidR="000C5BD2">
              <w:rPr>
                <w:sz w:val="18"/>
                <w:szCs w:val="18"/>
              </w:rPr>
              <w:t xml:space="preserve"> workers on permanent contracts”</w:t>
            </w:r>
            <w:r w:rsidR="000C5BD2">
              <w:rPr>
                <w:rStyle w:val="FootnoteReference"/>
                <w:sz w:val="18"/>
                <w:szCs w:val="18"/>
              </w:rPr>
              <w:footnoteReference w:id="7"/>
            </w:r>
            <w:r>
              <w:rPr>
                <w:sz w:val="18"/>
                <w:szCs w:val="18"/>
              </w:rPr>
              <w:t>.</w:t>
            </w:r>
          </w:p>
          <w:p w:rsidR="00A16095" w:rsidRPr="00326811" w:rsidRDefault="00A16095" w:rsidP="00326811">
            <w:pPr>
              <w:spacing w:before="40"/>
              <w:cnfStyle w:val="000000000000" w:firstRow="0" w:lastRow="0" w:firstColumn="0" w:lastColumn="0" w:oddVBand="0" w:evenVBand="0" w:oddHBand="0" w:evenHBand="0" w:firstRowFirstColumn="0" w:firstRowLastColumn="0" w:lastRowFirstColumn="0" w:lastRowLastColumn="0"/>
              <w:rPr>
                <w:sz w:val="18"/>
                <w:szCs w:val="18"/>
              </w:rPr>
            </w:pPr>
          </w:p>
        </w:tc>
        <w:tc>
          <w:tcPr>
            <w:tcW w:w="1418" w:type="dxa"/>
          </w:tcPr>
          <w:p w:rsidR="00326811" w:rsidRPr="00ED0D20" w:rsidRDefault="00326811" w:rsidP="00326811">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0-6</w:t>
            </w:r>
            <w:r w:rsidR="00E43C16">
              <w:rPr>
                <w:sz w:val="18"/>
                <w:szCs w:val="18"/>
              </w:rPr>
              <w:t xml:space="preserve"> (broader employment protection regulations)</w:t>
            </w:r>
          </w:p>
        </w:tc>
        <w:tc>
          <w:tcPr>
            <w:tcW w:w="1253" w:type="dxa"/>
          </w:tcPr>
          <w:p w:rsidR="00326811" w:rsidRPr="00ED0D20" w:rsidRDefault="00326811" w:rsidP="00326811">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1985-2013</w:t>
            </w:r>
          </w:p>
        </w:tc>
      </w:tr>
      <w:tr w:rsidR="00B276B3" w:rsidRPr="002E6A4D" w:rsidTr="0089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B276B3" w:rsidRPr="00326811" w:rsidRDefault="00B276B3" w:rsidP="00326811">
            <w:pPr>
              <w:spacing w:before="40"/>
              <w:rPr>
                <w:sz w:val="18"/>
                <w:szCs w:val="18"/>
              </w:rPr>
            </w:pPr>
            <w:r>
              <w:rPr>
                <w:sz w:val="18"/>
                <w:szCs w:val="18"/>
              </w:rPr>
              <w:t>minwage</w:t>
            </w:r>
          </w:p>
        </w:tc>
        <w:tc>
          <w:tcPr>
            <w:tcW w:w="5386" w:type="dxa"/>
          </w:tcPr>
          <w:p w:rsidR="00B276B3" w:rsidRDefault="00B276B3" w:rsidP="00326811">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B276B3">
              <w:rPr>
                <w:b/>
                <w:sz w:val="18"/>
                <w:szCs w:val="18"/>
              </w:rPr>
              <w:t>Real minimum wages (hourly, constant prices at 2014 USD PPP)</w:t>
            </w:r>
          </w:p>
          <w:p w:rsidR="00B276B3" w:rsidRDefault="00B276B3" w:rsidP="00326811">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B276B3" w:rsidRPr="00B276B3" w:rsidRDefault="00B276B3" w:rsidP="00B276B3">
            <w:pPr>
              <w:tabs>
                <w:tab w:val="left" w:pos="4182"/>
              </w:tabs>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Source: OECD Statistics (Labour and Earnings data). “</w:t>
            </w:r>
            <w:r w:rsidRPr="00B276B3">
              <w:rPr>
                <w:sz w:val="18"/>
                <w:szCs w:val="18"/>
              </w:rPr>
              <w:t xml:space="preserve">Real hourly and annual minimum wages are statutory minimum wages converted into </w:t>
            </w:r>
            <w:r w:rsidRPr="00B276B3">
              <w:rPr>
                <w:sz w:val="18"/>
                <w:szCs w:val="18"/>
              </w:rPr>
              <w:lastRenderedPageBreak/>
              <w:t>a common hourly and annual pay period for the 25 countries for which they are available. The resulting estimates are deflated by national Consumer Price Indices (CPI). The data are then converted into a common currency unit using either US $ current exchange rates or US $ Purchasing Power Parities (PPPs) for pr</w:t>
            </w:r>
            <w:r>
              <w:rPr>
                <w:sz w:val="18"/>
                <w:szCs w:val="18"/>
              </w:rPr>
              <w:t xml:space="preserve">ivate consumption expenditures. </w:t>
            </w:r>
            <w:r w:rsidRPr="00B276B3">
              <w:rPr>
                <w:sz w:val="18"/>
                <w:szCs w:val="18"/>
              </w:rPr>
              <w:t>Real hourly and annual minimum wages are calculated first by deflating the series using the consumer price index taking 2014 as the base year.  The series are then converted into a common currency unit (USD) using Purchasing Power Parities (PPPs) for private c</w:t>
            </w:r>
            <w:r>
              <w:rPr>
                <w:sz w:val="18"/>
                <w:szCs w:val="18"/>
              </w:rPr>
              <w:t>onsumption expenditures in 2014”</w:t>
            </w:r>
            <w:r>
              <w:rPr>
                <w:rStyle w:val="FootnoteReference"/>
                <w:sz w:val="18"/>
                <w:szCs w:val="18"/>
              </w:rPr>
              <w:footnoteReference w:id="8"/>
            </w:r>
            <w:r>
              <w:rPr>
                <w:sz w:val="18"/>
                <w:szCs w:val="18"/>
              </w:rPr>
              <w:tab/>
            </w:r>
          </w:p>
        </w:tc>
        <w:tc>
          <w:tcPr>
            <w:tcW w:w="1418" w:type="dxa"/>
          </w:tcPr>
          <w:p w:rsidR="00B276B3" w:rsidRDefault="009B7208" w:rsidP="00326811">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units</w:t>
            </w:r>
          </w:p>
        </w:tc>
        <w:tc>
          <w:tcPr>
            <w:tcW w:w="1253" w:type="dxa"/>
          </w:tcPr>
          <w:p w:rsidR="00B276B3" w:rsidRDefault="009B7208" w:rsidP="00326811">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1980-2015</w:t>
            </w:r>
          </w:p>
        </w:tc>
      </w:tr>
      <w:tr w:rsidR="00153CA6" w:rsidRPr="002E6A4D" w:rsidTr="00896539">
        <w:tc>
          <w:tcPr>
            <w:cnfStyle w:val="001000000000" w:firstRow="0" w:lastRow="0" w:firstColumn="1" w:lastColumn="0" w:oddVBand="0" w:evenVBand="0" w:oddHBand="0" w:evenHBand="0" w:firstRowFirstColumn="0" w:firstRowLastColumn="0" w:lastRowFirstColumn="0" w:lastRowLastColumn="0"/>
            <w:tcW w:w="959" w:type="dxa"/>
          </w:tcPr>
          <w:p w:rsidR="00153CA6" w:rsidRDefault="00153CA6" w:rsidP="00326811">
            <w:pPr>
              <w:spacing w:before="40"/>
              <w:rPr>
                <w:sz w:val="18"/>
                <w:szCs w:val="18"/>
              </w:rPr>
            </w:pPr>
            <w:r w:rsidRPr="00153CA6">
              <w:rPr>
                <w:sz w:val="18"/>
                <w:szCs w:val="18"/>
              </w:rPr>
              <w:t>leave</w:t>
            </w:r>
          </w:p>
        </w:tc>
        <w:tc>
          <w:tcPr>
            <w:tcW w:w="5386" w:type="dxa"/>
          </w:tcPr>
          <w:p w:rsidR="00153CA6" w:rsidRDefault="00153CA6" w:rsidP="00326811">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153CA6">
              <w:rPr>
                <w:b/>
                <w:sz w:val="18"/>
                <w:szCs w:val="18"/>
              </w:rPr>
              <w:t>Annual leave entitlements</w:t>
            </w:r>
          </w:p>
          <w:p w:rsidR="00153CA6" w:rsidRDefault="00153CA6" w:rsidP="00326811">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153CA6" w:rsidRPr="00153CA6" w:rsidRDefault="00153CA6" w:rsidP="00153CA6">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Source: </w:t>
            </w:r>
            <w:r w:rsidRPr="00153CA6">
              <w:rPr>
                <w:sz w:val="18"/>
                <w:szCs w:val="18"/>
              </w:rPr>
              <w:t>Adams, Z., Bishop, L. and Deakin, S. (20</w:t>
            </w:r>
            <w:r>
              <w:rPr>
                <w:sz w:val="18"/>
                <w:szCs w:val="18"/>
              </w:rPr>
              <w:t xml:space="preserve">16) </w:t>
            </w:r>
            <w:r w:rsidRPr="00153CA6">
              <w:rPr>
                <w:i/>
                <w:sz w:val="18"/>
                <w:szCs w:val="18"/>
              </w:rPr>
              <w:t>CBR Labour Regulation Index (Dataset of 117 Countries)</w:t>
            </w:r>
            <w:r w:rsidRPr="00153CA6">
              <w:rPr>
                <w:sz w:val="18"/>
                <w:szCs w:val="18"/>
              </w:rPr>
              <w:t xml:space="preserve"> (Cambridge: Centre for Business Research)</w:t>
            </w:r>
            <w:r>
              <w:rPr>
                <w:sz w:val="18"/>
                <w:szCs w:val="18"/>
              </w:rPr>
              <w:t>. “</w:t>
            </w:r>
            <w:r w:rsidRPr="00153CA6">
              <w:rPr>
                <w:sz w:val="18"/>
                <w:szCs w:val="18"/>
              </w:rPr>
              <w:t xml:space="preserve">Measures the normal length of annual paid leave </w:t>
            </w:r>
            <w:r>
              <w:rPr>
                <w:sz w:val="18"/>
                <w:szCs w:val="18"/>
              </w:rPr>
              <w:t xml:space="preserve">guaranteed by law or collective </w:t>
            </w:r>
            <w:r w:rsidRPr="00153CA6">
              <w:rPr>
                <w:sz w:val="18"/>
                <w:szCs w:val="18"/>
              </w:rPr>
              <w:t>agreement. The same score is given for laws and for collective agreements which are de</w:t>
            </w:r>
            <w:r>
              <w:rPr>
                <w:sz w:val="18"/>
                <w:szCs w:val="18"/>
              </w:rPr>
              <w:t xml:space="preserve"> </w:t>
            </w:r>
            <w:r w:rsidRPr="00153CA6">
              <w:rPr>
                <w:sz w:val="18"/>
                <w:szCs w:val="18"/>
              </w:rPr>
              <w:t>facto binding on most of the workforce (as in the case of systems which have extension</w:t>
            </w:r>
            <w:r>
              <w:rPr>
                <w:sz w:val="18"/>
                <w:szCs w:val="18"/>
              </w:rPr>
              <w:t xml:space="preserve"> </w:t>
            </w:r>
            <w:r w:rsidRPr="00153CA6">
              <w:rPr>
                <w:sz w:val="18"/>
                <w:szCs w:val="18"/>
              </w:rPr>
              <w:t>legislation for collective agreements). T</w:t>
            </w:r>
            <w:r>
              <w:rPr>
                <w:sz w:val="18"/>
                <w:szCs w:val="18"/>
              </w:rPr>
              <w:t xml:space="preserve">he score is normalised on a 0-1 </w:t>
            </w:r>
            <w:r w:rsidRPr="00153CA6">
              <w:rPr>
                <w:sz w:val="18"/>
                <w:szCs w:val="18"/>
              </w:rPr>
              <w:t>scale, with a</w:t>
            </w:r>
            <w:r>
              <w:rPr>
                <w:sz w:val="18"/>
                <w:szCs w:val="18"/>
              </w:rPr>
              <w:t xml:space="preserve"> </w:t>
            </w:r>
            <w:r w:rsidRPr="00153CA6">
              <w:rPr>
                <w:sz w:val="18"/>
                <w:szCs w:val="18"/>
              </w:rPr>
              <w:t xml:space="preserve">leave entitlement of 30 </w:t>
            </w:r>
            <w:r>
              <w:rPr>
                <w:sz w:val="18"/>
                <w:szCs w:val="18"/>
              </w:rPr>
              <w:t>days equivalent to a score of 1”</w:t>
            </w:r>
            <w:r w:rsidR="00A01DDC">
              <w:rPr>
                <w:rStyle w:val="FootnoteReference"/>
                <w:sz w:val="18"/>
                <w:szCs w:val="18"/>
              </w:rPr>
              <w:footnoteReference w:id="9"/>
            </w:r>
            <w:r>
              <w:rPr>
                <w:sz w:val="18"/>
                <w:szCs w:val="18"/>
              </w:rPr>
              <w:t>.</w:t>
            </w:r>
          </w:p>
        </w:tc>
        <w:tc>
          <w:tcPr>
            <w:tcW w:w="1418" w:type="dxa"/>
          </w:tcPr>
          <w:p w:rsidR="00153CA6" w:rsidRDefault="00A01DDC" w:rsidP="00326811">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0-1 scale</w:t>
            </w:r>
          </w:p>
        </w:tc>
        <w:tc>
          <w:tcPr>
            <w:tcW w:w="1253" w:type="dxa"/>
          </w:tcPr>
          <w:p w:rsidR="00153CA6" w:rsidRDefault="00153CA6" w:rsidP="00326811">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1970-</w:t>
            </w:r>
            <w:r w:rsidR="00A01DDC">
              <w:rPr>
                <w:sz w:val="18"/>
                <w:szCs w:val="18"/>
              </w:rPr>
              <w:t>2013</w:t>
            </w:r>
          </w:p>
        </w:tc>
      </w:tr>
      <w:tr w:rsidR="00153CA6" w:rsidRPr="002E6A4D" w:rsidTr="0089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153CA6" w:rsidRPr="00153CA6" w:rsidRDefault="00153CA6" w:rsidP="00326811">
            <w:pPr>
              <w:spacing w:before="40"/>
              <w:rPr>
                <w:sz w:val="18"/>
                <w:szCs w:val="18"/>
              </w:rPr>
            </w:pPr>
            <w:r w:rsidRPr="00153CA6">
              <w:rPr>
                <w:sz w:val="18"/>
                <w:szCs w:val="18"/>
              </w:rPr>
              <w:t>maxtime</w:t>
            </w:r>
          </w:p>
        </w:tc>
        <w:tc>
          <w:tcPr>
            <w:tcW w:w="5386" w:type="dxa"/>
          </w:tcPr>
          <w:p w:rsidR="00153CA6" w:rsidRDefault="00153CA6" w:rsidP="00326811">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153CA6">
              <w:rPr>
                <w:b/>
                <w:sz w:val="18"/>
                <w:szCs w:val="18"/>
              </w:rPr>
              <w:t>Maximum daily working time</w:t>
            </w:r>
          </w:p>
          <w:p w:rsidR="00153CA6" w:rsidRDefault="00153CA6" w:rsidP="00326811">
            <w:pPr>
              <w:spacing w:before="40"/>
              <w:cnfStyle w:val="000000100000" w:firstRow="0" w:lastRow="0" w:firstColumn="0" w:lastColumn="0" w:oddVBand="0" w:evenVBand="0" w:oddHBand="1" w:evenHBand="0" w:firstRowFirstColumn="0" w:firstRowLastColumn="0" w:lastRowFirstColumn="0" w:lastRowLastColumn="0"/>
              <w:rPr>
                <w:sz w:val="18"/>
                <w:szCs w:val="18"/>
              </w:rPr>
            </w:pPr>
          </w:p>
          <w:p w:rsidR="00153CA6" w:rsidRPr="00153CA6" w:rsidRDefault="00153CA6" w:rsidP="00A01DDC">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Source: </w:t>
            </w:r>
            <w:r w:rsidRPr="00153CA6">
              <w:rPr>
                <w:sz w:val="18"/>
                <w:szCs w:val="18"/>
              </w:rPr>
              <w:t>Adams, Z., Bishop, L. and Deakin, S. (20</w:t>
            </w:r>
            <w:r>
              <w:rPr>
                <w:sz w:val="18"/>
                <w:szCs w:val="18"/>
              </w:rPr>
              <w:t xml:space="preserve">16) </w:t>
            </w:r>
            <w:r w:rsidRPr="00153CA6">
              <w:rPr>
                <w:i/>
                <w:sz w:val="18"/>
                <w:szCs w:val="18"/>
              </w:rPr>
              <w:t>CBR Labour Regulation Index (Dataset of 117 Countries)</w:t>
            </w:r>
            <w:r w:rsidRPr="00153CA6">
              <w:rPr>
                <w:sz w:val="18"/>
                <w:szCs w:val="18"/>
              </w:rPr>
              <w:t xml:space="preserve"> (Cambridge: Centre for Business Research)</w:t>
            </w:r>
            <w:r>
              <w:rPr>
                <w:sz w:val="18"/>
                <w:szCs w:val="18"/>
              </w:rPr>
              <w:t>.</w:t>
            </w:r>
            <w:r w:rsidR="00A01DDC">
              <w:rPr>
                <w:sz w:val="18"/>
                <w:szCs w:val="18"/>
              </w:rPr>
              <w:t xml:space="preserve"> “</w:t>
            </w:r>
            <w:r w:rsidR="00A01DDC" w:rsidRPr="00A01DDC">
              <w:rPr>
                <w:sz w:val="18"/>
                <w:szCs w:val="18"/>
              </w:rPr>
              <w:t>Measures the maximum number of permitted working ho</w:t>
            </w:r>
            <w:r w:rsidR="00A01DDC">
              <w:rPr>
                <w:sz w:val="18"/>
                <w:szCs w:val="18"/>
              </w:rPr>
              <w:t xml:space="preserve">urs in a day, taking account of </w:t>
            </w:r>
            <w:r w:rsidR="00A01DDC" w:rsidRPr="00A01DDC">
              <w:rPr>
                <w:sz w:val="18"/>
                <w:szCs w:val="18"/>
              </w:rPr>
              <w:t>rules governing rest breaks and maximum daily working time limits. The score is</w:t>
            </w:r>
            <w:r w:rsidR="00A01DDC">
              <w:rPr>
                <w:sz w:val="18"/>
                <w:szCs w:val="18"/>
              </w:rPr>
              <w:t xml:space="preserve"> </w:t>
            </w:r>
            <w:r w:rsidR="00A01DDC" w:rsidRPr="00A01DDC">
              <w:rPr>
                <w:sz w:val="18"/>
                <w:szCs w:val="18"/>
              </w:rPr>
              <w:t>normalised on a 0-1 scale with a limit of 8 hours or less scoring 1 and a limit of 18 hours</w:t>
            </w:r>
            <w:r w:rsidR="00A01DDC">
              <w:rPr>
                <w:sz w:val="18"/>
                <w:szCs w:val="18"/>
              </w:rPr>
              <w:t xml:space="preserve"> or more scoring 0”</w:t>
            </w:r>
            <w:r w:rsidR="00A01DDC">
              <w:rPr>
                <w:rStyle w:val="FootnoteReference"/>
                <w:sz w:val="18"/>
                <w:szCs w:val="18"/>
              </w:rPr>
              <w:footnoteReference w:id="10"/>
            </w:r>
            <w:r w:rsidR="00A01DDC">
              <w:rPr>
                <w:sz w:val="18"/>
                <w:szCs w:val="18"/>
              </w:rPr>
              <w:t xml:space="preserve">. </w:t>
            </w:r>
          </w:p>
        </w:tc>
        <w:tc>
          <w:tcPr>
            <w:tcW w:w="1418" w:type="dxa"/>
          </w:tcPr>
          <w:p w:rsidR="00153CA6" w:rsidRDefault="00A01DDC" w:rsidP="00326811">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0-1 scale</w:t>
            </w:r>
          </w:p>
        </w:tc>
        <w:tc>
          <w:tcPr>
            <w:tcW w:w="1253" w:type="dxa"/>
          </w:tcPr>
          <w:p w:rsidR="00153CA6" w:rsidRDefault="00A01DDC" w:rsidP="00326811">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1970-2013</w:t>
            </w:r>
          </w:p>
        </w:tc>
      </w:tr>
      <w:tr w:rsidR="00326811" w:rsidRPr="002E6A4D" w:rsidTr="00896539">
        <w:tc>
          <w:tcPr>
            <w:cnfStyle w:val="001000000000" w:firstRow="0" w:lastRow="0" w:firstColumn="1" w:lastColumn="0" w:oddVBand="0" w:evenVBand="0" w:oddHBand="0" w:evenHBand="0" w:firstRowFirstColumn="0" w:firstRowLastColumn="0" w:lastRowFirstColumn="0" w:lastRowLastColumn="0"/>
            <w:tcW w:w="959" w:type="dxa"/>
          </w:tcPr>
          <w:p w:rsidR="00326811" w:rsidRPr="00ED0D20" w:rsidRDefault="00326811" w:rsidP="00326811">
            <w:pPr>
              <w:spacing w:before="40"/>
              <w:rPr>
                <w:sz w:val="18"/>
                <w:szCs w:val="18"/>
              </w:rPr>
            </w:pPr>
          </w:p>
        </w:tc>
        <w:tc>
          <w:tcPr>
            <w:tcW w:w="5386" w:type="dxa"/>
          </w:tcPr>
          <w:p w:rsidR="00326811" w:rsidRPr="00ED0D20" w:rsidRDefault="00326811" w:rsidP="00326811">
            <w:pPr>
              <w:spacing w:before="40"/>
              <w:cnfStyle w:val="000000000000" w:firstRow="0" w:lastRow="0" w:firstColumn="0" w:lastColumn="0" w:oddVBand="0" w:evenVBand="0" w:oddHBand="0" w:evenHBand="0" w:firstRowFirstColumn="0" w:firstRowLastColumn="0" w:lastRowFirstColumn="0" w:lastRowLastColumn="0"/>
              <w:rPr>
                <w:b/>
                <w:sz w:val="18"/>
                <w:szCs w:val="18"/>
              </w:rPr>
            </w:pPr>
          </w:p>
        </w:tc>
        <w:tc>
          <w:tcPr>
            <w:tcW w:w="1418" w:type="dxa"/>
          </w:tcPr>
          <w:p w:rsidR="00326811" w:rsidRPr="00ED0D20" w:rsidRDefault="00326811" w:rsidP="00326811">
            <w:pPr>
              <w:spacing w:before="40"/>
              <w:cnfStyle w:val="000000000000" w:firstRow="0" w:lastRow="0" w:firstColumn="0" w:lastColumn="0" w:oddVBand="0" w:evenVBand="0" w:oddHBand="0" w:evenHBand="0" w:firstRowFirstColumn="0" w:firstRowLastColumn="0" w:lastRowFirstColumn="0" w:lastRowLastColumn="0"/>
              <w:rPr>
                <w:sz w:val="18"/>
                <w:szCs w:val="18"/>
              </w:rPr>
            </w:pPr>
          </w:p>
        </w:tc>
        <w:tc>
          <w:tcPr>
            <w:tcW w:w="1253" w:type="dxa"/>
          </w:tcPr>
          <w:p w:rsidR="00326811" w:rsidRPr="00ED0D20" w:rsidRDefault="00326811" w:rsidP="00326811">
            <w:pPr>
              <w:spacing w:before="40"/>
              <w:cnfStyle w:val="000000000000" w:firstRow="0" w:lastRow="0" w:firstColumn="0" w:lastColumn="0" w:oddVBand="0" w:evenVBand="0" w:oddHBand="0" w:evenHBand="0" w:firstRowFirstColumn="0" w:firstRowLastColumn="0" w:lastRowFirstColumn="0" w:lastRowLastColumn="0"/>
              <w:rPr>
                <w:sz w:val="18"/>
                <w:szCs w:val="18"/>
              </w:rPr>
            </w:pPr>
          </w:p>
        </w:tc>
      </w:tr>
      <w:tr w:rsidR="00326811" w:rsidRPr="002E6A4D" w:rsidTr="0089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26811" w:rsidRPr="00ED0D20" w:rsidRDefault="00326811" w:rsidP="00326811">
            <w:pPr>
              <w:spacing w:before="40"/>
              <w:rPr>
                <w:sz w:val="18"/>
                <w:szCs w:val="18"/>
              </w:rPr>
            </w:pPr>
            <w:r w:rsidRPr="00ED0D20">
              <w:rPr>
                <w:sz w:val="18"/>
                <w:szCs w:val="18"/>
              </w:rPr>
              <w:t>tudens</w:t>
            </w:r>
          </w:p>
        </w:tc>
        <w:tc>
          <w:tcPr>
            <w:tcW w:w="5386" w:type="dxa"/>
          </w:tcPr>
          <w:p w:rsidR="00326811" w:rsidRDefault="00326811" w:rsidP="00326811">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ED0D20">
              <w:rPr>
                <w:b/>
                <w:sz w:val="18"/>
                <w:szCs w:val="18"/>
              </w:rPr>
              <w:t>Trade Union density</w:t>
            </w:r>
          </w:p>
          <w:p w:rsidR="00326811" w:rsidRDefault="00326811" w:rsidP="00326811">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326811" w:rsidRPr="00723F6B" w:rsidRDefault="003B4D30" w:rsidP="00326811">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Source: OECD (2016</w:t>
            </w:r>
            <w:r w:rsidRPr="00E756F3">
              <w:rPr>
                <w:sz w:val="18"/>
                <w:szCs w:val="18"/>
              </w:rPr>
              <w:t>), "Trade Unions: Trade union density", OECD Employment and Labour Market Statistics (database), https://doi.org/10.1787/data-00371-en</w:t>
            </w:r>
            <w:r>
              <w:rPr>
                <w:sz w:val="18"/>
                <w:szCs w:val="18"/>
              </w:rPr>
              <w:t xml:space="preserve">. </w:t>
            </w:r>
            <w:r w:rsidRPr="00723F6B">
              <w:rPr>
                <w:sz w:val="18"/>
                <w:szCs w:val="18"/>
              </w:rPr>
              <w:t>Trade union dens</w:t>
            </w:r>
            <w:r>
              <w:rPr>
                <w:sz w:val="18"/>
                <w:szCs w:val="18"/>
              </w:rPr>
              <w:t>ity corresponds to the ratio of</w:t>
            </w:r>
            <w:r w:rsidRPr="00723F6B">
              <w:rPr>
                <w:sz w:val="18"/>
                <w:szCs w:val="18"/>
              </w:rPr>
              <w:t> wage and salary earners that are trade union members, divided by the total number of wage and salary earners</w:t>
            </w:r>
            <w:r>
              <w:rPr>
                <w:rStyle w:val="FootnoteReference"/>
                <w:sz w:val="18"/>
                <w:szCs w:val="18"/>
              </w:rPr>
              <w:footnoteReference w:id="11"/>
            </w:r>
            <w:r>
              <w:rPr>
                <w:sz w:val="18"/>
                <w:szCs w:val="18"/>
              </w:rPr>
              <w:t>.</w:t>
            </w:r>
          </w:p>
        </w:tc>
        <w:tc>
          <w:tcPr>
            <w:tcW w:w="1418" w:type="dxa"/>
          </w:tcPr>
          <w:p w:rsidR="00326811" w:rsidRPr="00ED0D20" w:rsidRDefault="00326811" w:rsidP="00326811">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w:t>
            </w:r>
          </w:p>
        </w:tc>
        <w:tc>
          <w:tcPr>
            <w:tcW w:w="1253" w:type="dxa"/>
          </w:tcPr>
          <w:p w:rsidR="00326811" w:rsidRPr="00ED0D20" w:rsidRDefault="00326811" w:rsidP="00326811">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1960-2013</w:t>
            </w:r>
          </w:p>
        </w:tc>
      </w:tr>
      <w:tr w:rsidR="00326811" w:rsidRPr="002E6A4D" w:rsidTr="00896539">
        <w:tc>
          <w:tcPr>
            <w:cnfStyle w:val="001000000000" w:firstRow="0" w:lastRow="0" w:firstColumn="1" w:lastColumn="0" w:oddVBand="0" w:evenVBand="0" w:oddHBand="0" w:evenHBand="0" w:firstRowFirstColumn="0" w:firstRowLastColumn="0" w:lastRowFirstColumn="0" w:lastRowLastColumn="0"/>
            <w:tcW w:w="959" w:type="dxa"/>
          </w:tcPr>
          <w:p w:rsidR="00326811" w:rsidRPr="00ED0D20" w:rsidRDefault="00326811" w:rsidP="00326811">
            <w:pPr>
              <w:spacing w:before="40"/>
              <w:rPr>
                <w:sz w:val="18"/>
                <w:szCs w:val="18"/>
              </w:rPr>
            </w:pPr>
            <w:r w:rsidRPr="00ED0D20">
              <w:rPr>
                <w:sz w:val="18"/>
                <w:szCs w:val="18"/>
              </w:rPr>
              <w:t>cbcrate</w:t>
            </w:r>
          </w:p>
        </w:tc>
        <w:tc>
          <w:tcPr>
            <w:tcW w:w="5386" w:type="dxa"/>
          </w:tcPr>
          <w:p w:rsidR="00326811" w:rsidRDefault="00326811" w:rsidP="00326811">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ED0D20">
              <w:rPr>
                <w:b/>
                <w:sz w:val="18"/>
                <w:szCs w:val="18"/>
              </w:rPr>
              <w:t>Collective bargaining coverage rate</w:t>
            </w:r>
          </w:p>
          <w:p w:rsidR="00326811" w:rsidRDefault="00326811" w:rsidP="00326811">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326811" w:rsidRPr="00361ECA" w:rsidRDefault="00326811" w:rsidP="00326811">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Source: ILOSTAT. “</w:t>
            </w:r>
            <w:r w:rsidRPr="00361ECA">
              <w:rPr>
                <w:sz w:val="18"/>
                <w:szCs w:val="18"/>
              </w:rPr>
              <w:t>The collective bargaining coverage rate conveys the number of employees whose pay and/or conditions of employment are determined by one or more collective agreement(s) as a percentage o</w:t>
            </w:r>
            <w:r>
              <w:rPr>
                <w:sz w:val="18"/>
                <w:szCs w:val="18"/>
              </w:rPr>
              <w:t>f the total number of employees”</w:t>
            </w:r>
            <w:r>
              <w:rPr>
                <w:rStyle w:val="FootnoteReference"/>
                <w:sz w:val="18"/>
                <w:szCs w:val="18"/>
              </w:rPr>
              <w:footnoteReference w:id="12"/>
            </w:r>
            <w:r>
              <w:rPr>
                <w:sz w:val="18"/>
                <w:szCs w:val="18"/>
              </w:rPr>
              <w:t>.</w:t>
            </w:r>
          </w:p>
        </w:tc>
        <w:tc>
          <w:tcPr>
            <w:tcW w:w="1418" w:type="dxa"/>
          </w:tcPr>
          <w:p w:rsidR="00326811" w:rsidRPr="00ED0D20" w:rsidRDefault="00326811" w:rsidP="00326811">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w:t>
            </w:r>
          </w:p>
        </w:tc>
        <w:tc>
          <w:tcPr>
            <w:tcW w:w="1253" w:type="dxa"/>
          </w:tcPr>
          <w:p w:rsidR="00326811" w:rsidRPr="00ED0D20" w:rsidRDefault="00326811" w:rsidP="00326811">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2000-2013</w:t>
            </w:r>
          </w:p>
        </w:tc>
      </w:tr>
      <w:tr w:rsidR="00326811" w:rsidRPr="002E6A4D" w:rsidTr="0089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26811" w:rsidRPr="00ED0D20" w:rsidRDefault="00326811" w:rsidP="00326811">
            <w:pPr>
              <w:spacing w:before="40"/>
              <w:rPr>
                <w:sz w:val="18"/>
                <w:szCs w:val="18"/>
              </w:rPr>
            </w:pPr>
            <w:r w:rsidRPr="00ED0D20">
              <w:rPr>
                <w:sz w:val="18"/>
                <w:szCs w:val="18"/>
              </w:rPr>
              <w:t>stwkc</w:t>
            </w:r>
          </w:p>
        </w:tc>
        <w:tc>
          <w:tcPr>
            <w:tcW w:w="5386" w:type="dxa"/>
          </w:tcPr>
          <w:p w:rsidR="00326811" w:rsidRDefault="00326811" w:rsidP="00326811">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ED0D20">
              <w:rPr>
                <w:b/>
                <w:sz w:val="18"/>
                <w:szCs w:val="18"/>
              </w:rPr>
              <w:t>Status of work councils</w:t>
            </w:r>
          </w:p>
          <w:p w:rsidR="00326811" w:rsidRDefault="00326811" w:rsidP="00326811">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326811" w:rsidRPr="002D03E0" w:rsidRDefault="00326811" w:rsidP="00326811">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Source: Institutional characteristics of trade unions, wage setting, state intervention and social pacts database (ICTWSS). Coding scheme: </w:t>
            </w:r>
          </w:p>
          <w:p w:rsidR="00326811" w:rsidRPr="002D03E0" w:rsidRDefault="00326811" w:rsidP="00326811">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2D03E0">
              <w:rPr>
                <w:sz w:val="18"/>
                <w:szCs w:val="18"/>
              </w:rPr>
              <w:t>0 - work council or similar (union or non-union) based institutions of employee representation confronting management do not exist or are exceptional; 1 - work councils (etc.) are voluntary, i.e. even where they are mandated by law, there are no legal sanctions for non-</w:t>
            </w:r>
            <w:r w:rsidRPr="002D03E0">
              <w:rPr>
                <w:sz w:val="18"/>
                <w:szCs w:val="18"/>
              </w:rPr>
              <w:lastRenderedPageBreak/>
              <w:t>observance; 2 - existence and rights of work council or structure for (union and non-union-based) employee representation within firms or establishments confronting management are mandated by law or established through basic general agreeme</w:t>
            </w:r>
            <w:r>
              <w:rPr>
                <w:sz w:val="18"/>
                <w:szCs w:val="18"/>
              </w:rPr>
              <w:t>nt between unions and employers</w:t>
            </w:r>
            <w:r>
              <w:rPr>
                <w:rStyle w:val="FootnoteReference"/>
                <w:sz w:val="18"/>
                <w:szCs w:val="18"/>
              </w:rPr>
              <w:footnoteReference w:id="13"/>
            </w:r>
            <w:r>
              <w:rPr>
                <w:sz w:val="18"/>
                <w:szCs w:val="18"/>
              </w:rPr>
              <w:t>.</w:t>
            </w:r>
          </w:p>
        </w:tc>
        <w:tc>
          <w:tcPr>
            <w:tcW w:w="1418" w:type="dxa"/>
          </w:tcPr>
          <w:p w:rsidR="00326811" w:rsidRPr="00ED0D20" w:rsidRDefault="00326811" w:rsidP="00326811">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lastRenderedPageBreak/>
              <w:t>0 - 2</w:t>
            </w:r>
          </w:p>
        </w:tc>
        <w:tc>
          <w:tcPr>
            <w:tcW w:w="1253" w:type="dxa"/>
          </w:tcPr>
          <w:p w:rsidR="00326811" w:rsidRPr="00ED0D20" w:rsidRDefault="00326811" w:rsidP="00326811">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1960-2014</w:t>
            </w:r>
          </w:p>
        </w:tc>
      </w:tr>
      <w:tr w:rsidR="00326811" w:rsidRPr="002E6A4D" w:rsidTr="00896539">
        <w:tc>
          <w:tcPr>
            <w:cnfStyle w:val="001000000000" w:firstRow="0" w:lastRow="0" w:firstColumn="1" w:lastColumn="0" w:oddVBand="0" w:evenVBand="0" w:oddHBand="0" w:evenHBand="0" w:firstRowFirstColumn="0" w:firstRowLastColumn="0" w:lastRowFirstColumn="0" w:lastRowLastColumn="0"/>
            <w:tcW w:w="959" w:type="dxa"/>
          </w:tcPr>
          <w:p w:rsidR="00326811" w:rsidRPr="00ED0D20" w:rsidRDefault="00326811" w:rsidP="00326811">
            <w:pPr>
              <w:spacing w:before="40"/>
              <w:rPr>
                <w:sz w:val="18"/>
                <w:szCs w:val="18"/>
              </w:rPr>
            </w:pPr>
            <w:r w:rsidRPr="00ED0D20">
              <w:rPr>
                <w:sz w:val="18"/>
                <w:szCs w:val="18"/>
              </w:rPr>
              <w:t>eorgden</w:t>
            </w:r>
          </w:p>
        </w:tc>
        <w:tc>
          <w:tcPr>
            <w:tcW w:w="5386" w:type="dxa"/>
          </w:tcPr>
          <w:p w:rsidR="00326811" w:rsidRDefault="00326811" w:rsidP="00326811">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ED0D20">
              <w:rPr>
                <w:b/>
                <w:sz w:val="18"/>
                <w:szCs w:val="18"/>
              </w:rPr>
              <w:t>Employers' organisation density</w:t>
            </w:r>
          </w:p>
          <w:p w:rsidR="00326811" w:rsidRDefault="00326811" w:rsidP="00326811">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326811" w:rsidRPr="00BE6587" w:rsidRDefault="00326811" w:rsidP="00326811">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Source: ICTWSS. Employer’s organisation density, as a proportion of employees in employment. “</w:t>
            </w:r>
            <w:r w:rsidRPr="005A338B">
              <w:rPr>
                <w:sz w:val="18"/>
                <w:szCs w:val="18"/>
              </w:rPr>
              <w:t>(0-100) = WSEE in firms organised in employers’ organisations*100/WSEE (WSEE is wage and salary earners in employment)</w:t>
            </w:r>
            <w:r>
              <w:rPr>
                <w:rStyle w:val="FootnoteReference"/>
                <w:sz w:val="18"/>
                <w:szCs w:val="18"/>
              </w:rPr>
              <w:footnoteReference w:id="14"/>
            </w:r>
            <w:r>
              <w:rPr>
                <w:sz w:val="18"/>
                <w:szCs w:val="18"/>
              </w:rPr>
              <w:t xml:space="preserve">. </w:t>
            </w:r>
          </w:p>
        </w:tc>
        <w:tc>
          <w:tcPr>
            <w:tcW w:w="1418" w:type="dxa"/>
          </w:tcPr>
          <w:p w:rsidR="00326811" w:rsidRPr="00ED0D20" w:rsidRDefault="00326811" w:rsidP="00326811">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w:t>
            </w:r>
          </w:p>
        </w:tc>
        <w:tc>
          <w:tcPr>
            <w:tcW w:w="1253" w:type="dxa"/>
          </w:tcPr>
          <w:p w:rsidR="00326811" w:rsidRPr="00ED0D20" w:rsidRDefault="00326811" w:rsidP="00326811">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1990-2013</w:t>
            </w:r>
          </w:p>
        </w:tc>
      </w:tr>
      <w:tr w:rsidR="00326811" w:rsidRPr="002E6A4D" w:rsidTr="0089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326811" w:rsidRPr="00ED0D20" w:rsidRDefault="00326811" w:rsidP="00326811">
            <w:pPr>
              <w:spacing w:before="40"/>
              <w:rPr>
                <w:sz w:val="18"/>
                <w:szCs w:val="18"/>
              </w:rPr>
            </w:pPr>
            <w:r w:rsidRPr="00ED0D20">
              <w:rPr>
                <w:sz w:val="18"/>
                <w:szCs w:val="18"/>
              </w:rPr>
              <w:t>mficoop</w:t>
            </w:r>
          </w:p>
        </w:tc>
        <w:tc>
          <w:tcPr>
            <w:tcW w:w="5386" w:type="dxa"/>
          </w:tcPr>
          <w:p w:rsidR="00326811" w:rsidRPr="00BB198E" w:rsidRDefault="00326811" w:rsidP="00326811">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b/>
                <w:sz w:val="18"/>
                <w:szCs w:val="18"/>
              </w:rPr>
              <w:t>Market share of finance co-operatives</w:t>
            </w:r>
            <w:r>
              <w:rPr>
                <w:b/>
                <w:sz w:val="18"/>
                <w:szCs w:val="18"/>
              </w:rPr>
              <w:t xml:space="preserve"> </w:t>
            </w:r>
            <w:r>
              <w:rPr>
                <w:sz w:val="18"/>
                <w:szCs w:val="18"/>
              </w:rPr>
              <w:t>(provision of credit)</w:t>
            </w:r>
          </w:p>
          <w:p w:rsidR="00326811" w:rsidRDefault="00326811" w:rsidP="00326811">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326811" w:rsidRPr="00BB198E" w:rsidRDefault="00326811" w:rsidP="00326811">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Source: </w:t>
            </w:r>
            <w:r w:rsidRPr="00BB198E">
              <w:rPr>
                <w:sz w:val="18"/>
                <w:szCs w:val="18"/>
              </w:rPr>
              <w:t>European Ass</w:t>
            </w:r>
            <w:r>
              <w:rPr>
                <w:sz w:val="18"/>
                <w:szCs w:val="18"/>
              </w:rPr>
              <w:t>ociation of Co-operative Banks</w:t>
            </w:r>
            <w:r>
              <w:rPr>
                <w:rStyle w:val="FootnoteReference"/>
                <w:sz w:val="18"/>
                <w:szCs w:val="18"/>
              </w:rPr>
              <w:footnoteReference w:id="15"/>
            </w:r>
            <w:r>
              <w:rPr>
                <w:sz w:val="18"/>
                <w:szCs w:val="18"/>
              </w:rPr>
              <w:t xml:space="preserve"> (</w:t>
            </w:r>
            <w:r w:rsidRPr="00BB198E">
              <w:rPr>
                <w:sz w:val="18"/>
                <w:szCs w:val="18"/>
              </w:rPr>
              <w:t>2012</w:t>
            </w:r>
            <w:r>
              <w:rPr>
                <w:sz w:val="18"/>
                <w:szCs w:val="18"/>
              </w:rPr>
              <w:t>)</w:t>
            </w:r>
          </w:p>
          <w:p w:rsidR="00326811" w:rsidRPr="005A338B" w:rsidRDefault="00326811" w:rsidP="00326811">
            <w:pPr>
              <w:spacing w:before="40"/>
              <w:cnfStyle w:val="000000100000" w:firstRow="0" w:lastRow="0" w:firstColumn="0" w:lastColumn="0" w:oddVBand="0" w:evenVBand="0" w:oddHBand="1" w:evenHBand="0" w:firstRowFirstColumn="0" w:firstRowLastColumn="0" w:lastRowFirstColumn="0" w:lastRowLastColumn="0"/>
              <w:rPr>
                <w:sz w:val="18"/>
                <w:szCs w:val="18"/>
              </w:rPr>
            </w:pPr>
          </w:p>
        </w:tc>
        <w:tc>
          <w:tcPr>
            <w:tcW w:w="1418" w:type="dxa"/>
          </w:tcPr>
          <w:p w:rsidR="00326811" w:rsidRPr="00ED0D20" w:rsidRDefault="00326811" w:rsidP="00326811">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w:t>
            </w:r>
          </w:p>
        </w:tc>
        <w:tc>
          <w:tcPr>
            <w:tcW w:w="1253" w:type="dxa"/>
          </w:tcPr>
          <w:p w:rsidR="00326811" w:rsidRPr="00ED0D20" w:rsidRDefault="00326811" w:rsidP="00326811">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2012</w:t>
            </w:r>
          </w:p>
        </w:tc>
      </w:tr>
      <w:tr w:rsidR="00326811" w:rsidRPr="002E6A4D" w:rsidTr="00896539">
        <w:tc>
          <w:tcPr>
            <w:cnfStyle w:val="001000000000" w:firstRow="0" w:lastRow="0" w:firstColumn="1" w:lastColumn="0" w:oddVBand="0" w:evenVBand="0" w:oddHBand="0" w:evenHBand="0" w:firstRowFirstColumn="0" w:firstRowLastColumn="0" w:lastRowFirstColumn="0" w:lastRowLastColumn="0"/>
            <w:tcW w:w="959" w:type="dxa"/>
          </w:tcPr>
          <w:p w:rsidR="00326811" w:rsidRPr="00ED0D20" w:rsidRDefault="00326811" w:rsidP="00326811">
            <w:pPr>
              <w:spacing w:before="40"/>
              <w:rPr>
                <w:sz w:val="18"/>
                <w:szCs w:val="18"/>
              </w:rPr>
            </w:pPr>
            <w:r w:rsidRPr="00ED0D20">
              <w:rPr>
                <w:sz w:val="18"/>
                <w:szCs w:val="18"/>
              </w:rPr>
              <w:t>cuficoop</w:t>
            </w:r>
          </w:p>
        </w:tc>
        <w:tc>
          <w:tcPr>
            <w:tcW w:w="5386" w:type="dxa"/>
          </w:tcPr>
          <w:p w:rsidR="00326811" w:rsidRDefault="00326811" w:rsidP="00326811">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ED0D20">
              <w:rPr>
                <w:b/>
                <w:sz w:val="18"/>
                <w:szCs w:val="18"/>
              </w:rPr>
              <w:t>Credit union and financial co-operatives</w:t>
            </w:r>
          </w:p>
          <w:p w:rsidR="00326811" w:rsidRDefault="00326811" w:rsidP="00326811">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326811" w:rsidRPr="00BB198E" w:rsidRDefault="00326811" w:rsidP="00326811">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Source: International Monetary Fund. </w:t>
            </w:r>
          </w:p>
          <w:p w:rsidR="00326811" w:rsidRDefault="00326811" w:rsidP="00326811">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BB198E">
              <w:rPr>
                <w:sz w:val="18"/>
                <w:szCs w:val="18"/>
              </w:rPr>
              <w:t>Credit union and financial co-operatives branches per 100.000 adults</w:t>
            </w:r>
            <w:r>
              <w:rPr>
                <w:sz w:val="18"/>
                <w:szCs w:val="18"/>
              </w:rPr>
              <w:t xml:space="preserve">. </w:t>
            </w:r>
            <w:r w:rsidRPr="00566180">
              <w:rPr>
                <w:sz w:val="18"/>
                <w:szCs w:val="18"/>
              </w:rPr>
              <w:t>Calculated as (number of credit union and financial cooperatives + number of credit union and financial cooperative branches)* 100.000/ adult popul</w:t>
            </w:r>
            <w:r>
              <w:rPr>
                <w:sz w:val="18"/>
                <w:szCs w:val="18"/>
              </w:rPr>
              <w:t>ation in the reporting country</w:t>
            </w:r>
            <w:r>
              <w:rPr>
                <w:rStyle w:val="FootnoteReference"/>
                <w:sz w:val="18"/>
                <w:szCs w:val="18"/>
              </w:rPr>
              <w:footnoteReference w:id="16"/>
            </w:r>
            <w:r>
              <w:rPr>
                <w:sz w:val="18"/>
                <w:szCs w:val="18"/>
              </w:rPr>
              <w:t xml:space="preserve">. </w:t>
            </w:r>
          </w:p>
          <w:p w:rsidR="00326811" w:rsidRPr="00BB198E" w:rsidRDefault="00326811" w:rsidP="00326811">
            <w:pPr>
              <w:spacing w:before="40"/>
              <w:cnfStyle w:val="000000000000" w:firstRow="0" w:lastRow="0" w:firstColumn="0" w:lastColumn="0" w:oddVBand="0" w:evenVBand="0" w:oddHBand="0" w:evenHBand="0" w:firstRowFirstColumn="0" w:firstRowLastColumn="0" w:lastRowFirstColumn="0" w:lastRowLastColumn="0"/>
              <w:rPr>
                <w:sz w:val="18"/>
                <w:szCs w:val="18"/>
              </w:rPr>
            </w:pPr>
          </w:p>
        </w:tc>
        <w:tc>
          <w:tcPr>
            <w:tcW w:w="1418" w:type="dxa"/>
          </w:tcPr>
          <w:p w:rsidR="00326811" w:rsidRPr="00ED0D20" w:rsidRDefault="00326811" w:rsidP="00326811">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Number of branches per 100000 adults</w:t>
            </w:r>
          </w:p>
        </w:tc>
        <w:tc>
          <w:tcPr>
            <w:tcW w:w="1253" w:type="dxa"/>
          </w:tcPr>
          <w:p w:rsidR="00326811" w:rsidRPr="00ED0D20" w:rsidRDefault="00326811" w:rsidP="00326811">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2005-2014</w:t>
            </w:r>
          </w:p>
        </w:tc>
      </w:tr>
      <w:tr w:rsidR="0098064D" w:rsidRPr="002E6A4D" w:rsidTr="0089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98064D" w:rsidRPr="00ED0D20" w:rsidRDefault="0098064D" w:rsidP="0098064D">
            <w:pPr>
              <w:spacing w:before="40"/>
              <w:rPr>
                <w:sz w:val="18"/>
                <w:szCs w:val="18"/>
              </w:rPr>
            </w:pPr>
            <w:r w:rsidRPr="00ED0D20">
              <w:rPr>
                <w:sz w:val="18"/>
                <w:szCs w:val="18"/>
              </w:rPr>
              <w:t>pactst</w:t>
            </w:r>
          </w:p>
        </w:tc>
        <w:tc>
          <w:tcPr>
            <w:tcW w:w="5386" w:type="dxa"/>
          </w:tcPr>
          <w:p w:rsidR="0098064D" w:rsidRDefault="0098064D" w:rsidP="0098064D">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ED0D20">
              <w:rPr>
                <w:b/>
                <w:sz w:val="18"/>
                <w:szCs w:val="18"/>
              </w:rPr>
              <w:t>Pact structure</w:t>
            </w:r>
          </w:p>
          <w:p w:rsidR="0098064D" w:rsidRDefault="0098064D" w:rsidP="0098064D">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98064D"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566180">
              <w:rPr>
                <w:sz w:val="18"/>
                <w:szCs w:val="18"/>
              </w:rPr>
              <w:t>Source:</w:t>
            </w:r>
            <w:r>
              <w:rPr>
                <w:sz w:val="18"/>
                <w:szCs w:val="18"/>
              </w:rPr>
              <w:t xml:space="preserve"> ICTWSS. </w:t>
            </w:r>
            <w:r w:rsidRPr="00566180">
              <w:rPr>
                <w:sz w:val="18"/>
                <w:szCs w:val="18"/>
              </w:rPr>
              <w:t>Pact or agreement is negotiated by all or some of the (possible) actors</w:t>
            </w:r>
            <w:r>
              <w:rPr>
                <w:sz w:val="18"/>
                <w:szCs w:val="18"/>
              </w:rPr>
              <w:t xml:space="preserve">. </w:t>
            </w:r>
          </w:p>
          <w:p w:rsidR="0098064D"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566180">
              <w:rPr>
                <w:sz w:val="18"/>
                <w:szCs w:val="18"/>
              </w:rPr>
              <w:t>0 - No pact or agreement; 1 - Pact is negotiated by government, all (mainstream) union confederations and employers peak associations; 2 - Pact is negotiated without major (mainstream) union(s); 3 - Pact is negotiated without major (mainstream) employers association(s); 4 - Pact is negotiated between unions and employers, but with heavy involvement of the government in negotiations; 5 -  Agreement is negotiated between unions and employers, but implemented through legislation; 6 - Agreement is negotiated between unions and employers and implemented without government involvement or legislation.</w:t>
            </w:r>
          </w:p>
          <w:p w:rsidR="0098064D" w:rsidRPr="00566180"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p>
        </w:tc>
        <w:tc>
          <w:tcPr>
            <w:tcW w:w="1418" w:type="dxa"/>
          </w:tcPr>
          <w:p w:rsidR="0098064D" w:rsidRPr="00ED0D20"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0 - 6</w:t>
            </w:r>
          </w:p>
        </w:tc>
        <w:tc>
          <w:tcPr>
            <w:tcW w:w="1253" w:type="dxa"/>
          </w:tcPr>
          <w:p w:rsidR="0098064D" w:rsidRPr="00ED0D20"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1960-2014</w:t>
            </w:r>
          </w:p>
        </w:tc>
      </w:tr>
      <w:tr w:rsidR="0098064D" w:rsidRPr="002E6A4D" w:rsidTr="00896539">
        <w:tc>
          <w:tcPr>
            <w:cnfStyle w:val="001000000000" w:firstRow="0" w:lastRow="0" w:firstColumn="1" w:lastColumn="0" w:oddVBand="0" w:evenVBand="0" w:oddHBand="0" w:evenHBand="0" w:firstRowFirstColumn="0" w:firstRowLastColumn="0" w:lastRowFirstColumn="0" w:lastRowLastColumn="0"/>
            <w:tcW w:w="959" w:type="dxa"/>
          </w:tcPr>
          <w:p w:rsidR="0098064D" w:rsidRPr="00ED0D20" w:rsidRDefault="0098064D" w:rsidP="0098064D">
            <w:pPr>
              <w:spacing w:before="40"/>
              <w:rPr>
                <w:sz w:val="18"/>
                <w:szCs w:val="18"/>
              </w:rPr>
            </w:pPr>
            <w:r w:rsidRPr="00ED0D20">
              <w:rPr>
                <w:sz w:val="18"/>
                <w:szCs w:val="18"/>
              </w:rPr>
              <w:t>pactsc</w:t>
            </w:r>
          </w:p>
        </w:tc>
        <w:tc>
          <w:tcPr>
            <w:tcW w:w="5386" w:type="dxa"/>
          </w:tcPr>
          <w:p w:rsidR="0098064D" w:rsidRDefault="0098064D" w:rsidP="0098064D">
            <w:pPr>
              <w:tabs>
                <w:tab w:val="left" w:pos="2160"/>
              </w:tabs>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ED0D20">
              <w:rPr>
                <w:b/>
                <w:sz w:val="18"/>
                <w:szCs w:val="18"/>
              </w:rPr>
              <w:t>Pact scope</w:t>
            </w:r>
          </w:p>
          <w:p w:rsidR="0098064D" w:rsidRDefault="0098064D" w:rsidP="0098064D">
            <w:pPr>
              <w:tabs>
                <w:tab w:val="left" w:pos="2160"/>
              </w:tabs>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98064D" w:rsidRDefault="0098064D" w:rsidP="0098064D">
            <w:pPr>
              <w:tabs>
                <w:tab w:val="left" w:pos="2160"/>
              </w:tabs>
              <w:spacing w:before="40"/>
              <w:cnfStyle w:val="000000000000" w:firstRow="0" w:lastRow="0" w:firstColumn="0" w:lastColumn="0" w:oddVBand="0" w:evenVBand="0" w:oddHBand="0" w:evenHBand="0" w:firstRowFirstColumn="0" w:firstRowLastColumn="0" w:lastRowFirstColumn="0" w:lastRowLastColumn="0"/>
              <w:rPr>
                <w:sz w:val="18"/>
                <w:szCs w:val="18"/>
              </w:rPr>
            </w:pPr>
            <w:r w:rsidRPr="00566180">
              <w:rPr>
                <w:sz w:val="18"/>
                <w:szCs w:val="18"/>
              </w:rPr>
              <w:t>Source:</w:t>
            </w:r>
            <w:r>
              <w:rPr>
                <w:sz w:val="18"/>
                <w:szCs w:val="18"/>
              </w:rPr>
              <w:t xml:space="preserve"> ICTWSS. Scope of social pact.</w:t>
            </w:r>
          </w:p>
          <w:p w:rsidR="0098064D" w:rsidRDefault="0098064D" w:rsidP="0098064D">
            <w:pPr>
              <w:tabs>
                <w:tab w:val="left" w:pos="2160"/>
              </w:tabs>
              <w:spacing w:before="40"/>
              <w:cnfStyle w:val="000000000000" w:firstRow="0" w:lastRow="0" w:firstColumn="0" w:lastColumn="0" w:oddVBand="0" w:evenVBand="0" w:oddHBand="0" w:evenHBand="0" w:firstRowFirstColumn="0" w:firstRowLastColumn="0" w:lastRowFirstColumn="0" w:lastRowLastColumn="0"/>
              <w:rPr>
                <w:sz w:val="18"/>
                <w:szCs w:val="18"/>
              </w:rPr>
            </w:pPr>
            <w:r w:rsidRPr="00566180">
              <w:rPr>
                <w:sz w:val="18"/>
                <w:szCs w:val="18"/>
              </w:rPr>
              <w:t>0 - No pact; 1 - narrow pacts, dealing with one issue and not extending into lower-firm decision making; 2 - broad pacts, dealing with several issues; 3 - pact is declaratory or symbolic.</w:t>
            </w:r>
          </w:p>
          <w:p w:rsidR="0098064D" w:rsidRPr="00566180" w:rsidRDefault="0098064D" w:rsidP="0098064D">
            <w:pPr>
              <w:tabs>
                <w:tab w:val="left" w:pos="2160"/>
              </w:tabs>
              <w:spacing w:before="40"/>
              <w:cnfStyle w:val="000000000000" w:firstRow="0" w:lastRow="0" w:firstColumn="0" w:lastColumn="0" w:oddVBand="0" w:evenVBand="0" w:oddHBand="0" w:evenHBand="0" w:firstRowFirstColumn="0" w:firstRowLastColumn="0" w:lastRowFirstColumn="0" w:lastRowLastColumn="0"/>
              <w:rPr>
                <w:sz w:val="18"/>
                <w:szCs w:val="18"/>
              </w:rPr>
            </w:pPr>
          </w:p>
        </w:tc>
        <w:tc>
          <w:tcPr>
            <w:tcW w:w="1418" w:type="dxa"/>
          </w:tcPr>
          <w:p w:rsidR="0098064D" w:rsidRPr="00ED0D20" w:rsidRDefault="0098064D" w:rsidP="0098064D">
            <w:pPr>
              <w:tabs>
                <w:tab w:val="left" w:pos="2160"/>
              </w:tabs>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0 - 3</w:t>
            </w:r>
          </w:p>
        </w:tc>
        <w:tc>
          <w:tcPr>
            <w:tcW w:w="1253" w:type="dxa"/>
          </w:tcPr>
          <w:p w:rsidR="0098064D" w:rsidRPr="00ED0D20" w:rsidRDefault="0098064D" w:rsidP="0098064D">
            <w:pPr>
              <w:tabs>
                <w:tab w:val="left" w:pos="2160"/>
              </w:tabs>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1960-2014</w:t>
            </w:r>
          </w:p>
        </w:tc>
      </w:tr>
      <w:tr w:rsidR="0098064D" w:rsidRPr="002E6A4D" w:rsidTr="0089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98064D" w:rsidRPr="00ED0D20" w:rsidRDefault="0098064D" w:rsidP="0098064D">
            <w:pPr>
              <w:spacing w:before="40"/>
              <w:rPr>
                <w:sz w:val="18"/>
                <w:szCs w:val="18"/>
              </w:rPr>
            </w:pPr>
            <w:r w:rsidRPr="00ED0D20">
              <w:rPr>
                <w:sz w:val="18"/>
                <w:szCs w:val="18"/>
              </w:rPr>
              <w:t>inwfdi</w:t>
            </w:r>
          </w:p>
        </w:tc>
        <w:tc>
          <w:tcPr>
            <w:tcW w:w="5386" w:type="dxa"/>
          </w:tcPr>
          <w:p w:rsidR="0098064D" w:rsidRDefault="0098064D" w:rsidP="0098064D">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ED0D20">
              <w:rPr>
                <w:b/>
                <w:sz w:val="18"/>
                <w:szCs w:val="18"/>
              </w:rPr>
              <w:t>Inwards FDI stocks in % of GDP</w:t>
            </w:r>
          </w:p>
          <w:p w:rsidR="0098064D" w:rsidRDefault="0098064D" w:rsidP="0098064D">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98064D" w:rsidRPr="008B466C"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Source: OECD. “</w:t>
            </w:r>
            <w:r w:rsidRPr="008B466C">
              <w:rPr>
                <w:sz w:val="18"/>
                <w:szCs w:val="18"/>
              </w:rPr>
              <w:t>The inward FDI stock is the value of foreign investors' equity in and net loans to enterprises resident in the reporting economy. FDI stocks are measured in USD an</w:t>
            </w:r>
            <w:r>
              <w:rPr>
                <w:sz w:val="18"/>
                <w:szCs w:val="18"/>
              </w:rPr>
              <w:t>d as a share of GDP”</w:t>
            </w:r>
            <w:r>
              <w:rPr>
                <w:rStyle w:val="FootnoteReference"/>
                <w:sz w:val="18"/>
                <w:szCs w:val="18"/>
              </w:rPr>
              <w:footnoteReference w:id="17"/>
            </w:r>
            <w:r>
              <w:rPr>
                <w:sz w:val="18"/>
                <w:szCs w:val="18"/>
              </w:rPr>
              <w:t>.</w:t>
            </w:r>
          </w:p>
        </w:tc>
        <w:tc>
          <w:tcPr>
            <w:tcW w:w="1418" w:type="dxa"/>
          </w:tcPr>
          <w:p w:rsidR="0098064D" w:rsidRPr="00ED0D20"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w:t>
            </w:r>
          </w:p>
        </w:tc>
        <w:tc>
          <w:tcPr>
            <w:tcW w:w="1253" w:type="dxa"/>
          </w:tcPr>
          <w:p w:rsidR="0098064D" w:rsidRPr="00ED0D20"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2009-2013</w:t>
            </w:r>
          </w:p>
        </w:tc>
      </w:tr>
      <w:tr w:rsidR="0098064D" w:rsidRPr="002E6A4D" w:rsidTr="00896539">
        <w:tc>
          <w:tcPr>
            <w:cnfStyle w:val="001000000000" w:firstRow="0" w:lastRow="0" w:firstColumn="1" w:lastColumn="0" w:oddVBand="0" w:evenVBand="0" w:oddHBand="0" w:evenHBand="0" w:firstRowFirstColumn="0" w:firstRowLastColumn="0" w:lastRowFirstColumn="0" w:lastRowLastColumn="0"/>
            <w:tcW w:w="959" w:type="dxa"/>
          </w:tcPr>
          <w:p w:rsidR="0098064D" w:rsidRPr="00ED0D20" w:rsidRDefault="0098064D" w:rsidP="0098064D">
            <w:pPr>
              <w:spacing w:before="40"/>
              <w:rPr>
                <w:sz w:val="18"/>
                <w:szCs w:val="18"/>
              </w:rPr>
            </w:pPr>
            <w:r w:rsidRPr="00ED0D20">
              <w:rPr>
                <w:sz w:val="18"/>
                <w:szCs w:val="18"/>
              </w:rPr>
              <w:t>ouwfdi</w:t>
            </w:r>
          </w:p>
        </w:tc>
        <w:tc>
          <w:tcPr>
            <w:tcW w:w="5386" w:type="dxa"/>
          </w:tcPr>
          <w:p w:rsidR="0098064D" w:rsidRDefault="0098064D" w:rsidP="0098064D">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ED0D20">
              <w:rPr>
                <w:b/>
                <w:sz w:val="18"/>
                <w:szCs w:val="18"/>
              </w:rPr>
              <w:t>Outwards FDI stocks in % of GDP</w:t>
            </w:r>
          </w:p>
          <w:p w:rsidR="0098064D" w:rsidRDefault="0098064D" w:rsidP="0098064D">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98064D" w:rsidRPr="00ED0D20" w:rsidRDefault="0098064D" w:rsidP="0098064D">
            <w:pPr>
              <w:spacing w:before="40"/>
              <w:cnfStyle w:val="000000000000" w:firstRow="0" w:lastRow="0" w:firstColumn="0" w:lastColumn="0" w:oddVBand="0" w:evenVBand="0" w:oddHBand="0" w:evenHBand="0" w:firstRowFirstColumn="0" w:firstRowLastColumn="0" w:lastRowFirstColumn="0" w:lastRowLastColumn="0"/>
              <w:rPr>
                <w:b/>
                <w:sz w:val="18"/>
                <w:szCs w:val="18"/>
              </w:rPr>
            </w:pPr>
            <w:r>
              <w:rPr>
                <w:sz w:val="18"/>
                <w:szCs w:val="18"/>
              </w:rPr>
              <w:lastRenderedPageBreak/>
              <w:t>Source: OECD. “</w:t>
            </w:r>
            <w:r w:rsidRPr="008B466C">
              <w:rPr>
                <w:sz w:val="18"/>
                <w:szCs w:val="18"/>
              </w:rPr>
              <w:t>The outward FDI stock is the value of the resident investors' equity in and net loans to e</w:t>
            </w:r>
            <w:r>
              <w:rPr>
                <w:sz w:val="18"/>
                <w:szCs w:val="18"/>
              </w:rPr>
              <w:t>nterprises in foreign economies”</w:t>
            </w:r>
            <w:r>
              <w:rPr>
                <w:rStyle w:val="FootnoteReference"/>
                <w:sz w:val="18"/>
                <w:szCs w:val="18"/>
              </w:rPr>
              <w:footnoteReference w:id="18"/>
            </w:r>
            <w:r>
              <w:rPr>
                <w:sz w:val="18"/>
                <w:szCs w:val="18"/>
              </w:rPr>
              <w:t>.</w:t>
            </w:r>
          </w:p>
        </w:tc>
        <w:tc>
          <w:tcPr>
            <w:tcW w:w="1418" w:type="dxa"/>
          </w:tcPr>
          <w:p w:rsidR="0098064D" w:rsidRPr="00ED0D20"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lastRenderedPageBreak/>
              <w:t>%</w:t>
            </w:r>
          </w:p>
        </w:tc>
        <w:tc>
          <w:tcPr>
            <w:tcW w:w="1253" w:type="dxa"/>
          </w:tcPr>
          <w:p w:rsidR="0098064D" w:rsidRPr="00ED0D20"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2009-2013</w:t>
            </w:r>
          </w:p>
        </w:tc>
      </w:tr>
      <w:tr w:rsidR="0098064D" w:rsidRPr="002E6A4D" w:rsidTr="0089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98064D" w:rsidRPr="00ED0D20" w:rsidRDefault="0098064D" w:rsidP="0098064D">
            <w:pPr>
              <w:spacing w:before="40"/>
              <w:rPr>
                <w:sz w:val="18"/>
                <w:szCs w:val="18"/>
              </w:rPr>
            </w:pPr>
            <w:r w:rsidRPr="00ED0D20">
              <w:rPr>
                <w:sz w:val="18"/>
                <w:szCs w:val="18"/>
              </w:rPr>
              <w:t>empfor</w:t>
            </w:r>
          </w:p>
        </w:tc>
        <w:tc>
          <w:tcPr>
            <w:tcW w:w="5386" w:type="dxa"/>
          </w:tcPr>
          <w:p w:rsidR="0098064D" w:rsidRDefault="0098064D" w:rsidP="0098064D">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ED0D20">
              <w:rPr>
                <w:b/>
                <w:sz w:val="18"/>
                <w:szCs w:val="18"/>
              </w:rPr>
              <w:t>Employment in foreign controlled enterprises as share of total domestic employment</w:t>
            </w:r>
          </w:p>
          <w:p w:rsidR="0098064D" w:rsidRDefault="0098064D" w:rsidP="0098064D">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98064D" w:rsidRPr="00EC3263"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C3263">
              <w:rPr>
                <w:sz w:val="18"/>
                <w:szCs w:val="18"/>
              </w:rPr>
              <w:t>Source:</w:t>
            </w:r>
            <w:r>
              <w:rPr>
                <w:sz w:val="18"/>
                <w:szCs w:val="18"/>
              </w:rPr>
              <w:t xml:space="preserve"> Eurostat</w:t>
            </w:r>
            <w:r>
              <w:rPr>
                <w:rStyle w:val="FootnoteReference"/>
                <w:sz w:val="18"/>
                <w:szCs w:val="18"/>
              </w:rPr>
              <w:footnoteReference w:id="19"/>
            </w:r>
            <w:r>
              <w:rPr>
                <w:sz w:val="18"/>
                <w:szCs w:val="18"/>
              </w:rPr>
              <w:t xml:space="preserve">. </w:t>
            </w:r>
          </w:p>
        </w:tc>
        <w:tc>
          <w:tcPr>
            <w:tcW w:w="1418" w:type="dxa"/>
          </w:tcPr>
          <w:p w:rsidR="0098064D" w:rsidRPr="00ED0D20"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w:t>
            </w:r>
          </w:p>
        </w:tc>
        <w:tc>
          <w:tcPr>
            <w:tcW w:w="1253" w:type="dxa"/>
          </w:tcPr>
          <w:p w:rsidR="0098064D" w:rsidRPr="00ED0D20"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2008-2011</w:t>
            </w:r>
          </w:p>
        </w:tc>
      </w:tr>
      <w:tr w:rsidR="0098064D" w:rsidRPr="002E6A4D" w:rsidTr="00896539">
        <w:tc>
          <w:tcPr>
            <w:cnfStyle w:val="001000000000" w:firstRow="0" w:lastRow="0" w:firstColumn="1" w:lastColumn="0" w:oddVBand="0" w:evenVBand="0" w:oddHBand="0" w:evenHBand="0" w:firstRowFirstColumn="0" w:firstRowLastColumn="0" w:lastRowFirstColumn="0" w:lastRowLastColumn="0"/>
            <w:tcW w:w="959" w:type="dxa"/>
          </w:tcPr>
          <w:p w:rsidR="0098064D" w:rsidRPr="00ED0D20" w:rsidRDefault="0098064D" w:rsidP="0098064D">
            <w:pPr>
              <w:spacing w:before="40"/>
              <w:rPr>
                <w:sz w:val="18"/>
                <w:szCs w:val="18"/>
              </w:rPr>
            </w:pPr>
            <w:r w:rsidRPr="00ED0D20">
              <w:rPr>
                <w:sz w:val="18"/>
                <w:szCs w:val="18"/>
              </w:rPr>
              <w:t>rdexpf</w:t>
            </w:r>
          </w:p>
        </w:tc>
        <w:tc>
          <w:tcPr>
            <w:tcW w:w="5386" w:type="dxa"/>
          </w:tcPr>
          <w:p w:rsidR="0098064D" w:rsidRDefault="0098064D" w:rsidP="0098064D">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ED0D20">
              <w:rPr>
                <w:b/>
                <w:sz w:val="18"/>
                <w:szCs w:val="18"/>
              </w:rPr>
              <w:t>R&amp;D expenditure in foreign controlled enterprises as % of total R&amp;D expenditure</w:t>
            </w:r>
          </w:p>
          <w:p w:rsidR="0098064D" w:rsidRDefault="0098064D" w:rsidP="0098064D">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98064D" w:rsidRPr="00EC3263"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Source: Eurostat</w:t>
            </w:r>
          </w:p>
        </w:tc>
        <w:tc>
          <w:tcPr>
            <w:tcW w:w="1418" w:type="dxa"/>
          </w:tcPr>
          <w:p w:rsidR="0098064D" w:rsidRPr="00ED0D20"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w:t>
            </w:r>
          </w:p>
        </w:tc>
        <w:tc>
          <w:tcPr>
            <w:tcW w:w="1253" w:type="dxa"/>
          </w:tcPr>
          <w:p w:rsidR="0098064D" w:rsidRPr="00ED0D20"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2009; 2011</w:t>
            </w:r>
          </w:p>
        </w:tc>
      </w:tr>
      <w:tr w:rsidR="0098064D" w:rsidRPr="002E6A4D" w:rsidTr="0089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98064D" w:rsidRPr="00ED0D20" w:rsidRDefault="0098064D" w:rsidP="0098064D">
            <w:pPr>
              <w:spacing w:before="40"/>
              <w:rPr>
                <w:sz w:val="18"/>
                <w:szCs w:val="18"/>
              </w:rPr>
            </w:pPr>
            <w:r w:rsidRPr="00ED0D20">
              <w:rPr>
                <w:sz w:val="18"/>
                <w:szCs w:val="18"/>
              </w:rPr>
              <w:t>tgovexp</w:t>
            </w:r>
          </w:p>
        </w:tc>
        <w:tc>
          <w:tcPr>
            <w:tcW w:w="5386" w:type="dxa"/>
          </w:tcPr>
          <w:p w:rsidR="0098064D" w:rsidRDefault="0098064D" w:rsidP="0098064D">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ED0D20">
              <w:rPr>
                <w:b/>
                <w:sz w:val="18"/>
                <w:szCs w:val="18"/>
              </w:rPr>
              <w:t>Total government expenditure as % of GDP</w:t>
            </w:r>
          </w:p>
          <w:p w:rsidR="0098064D" w:rsidRDefault="0098064D" w:rsidP="0098064D">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98064D" w:rsidRPr="00EC3263"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Source: OECD. “</w:t>
            </w:r>
            <w:r w:rsidRPr="00EC3263">
              <w:rPr>
                <w:sz w:val="18"/>
                <w:szCs w:val="18"/>
              </w:rPr>
              <w:t>Total general government expenditure (GGE) is equivalent to expenditures by general government on the following payable items: intermediate consumption, compensation of employees, subsidies, social benefits and social transfers in kind (via market producers), other current transfers, property income, capital transfers, the adjustment for the net equity of households in pension funds reserves, gross capital formation and net acquisition of non-financial non-produced assets. It also includes taxes on income and wealth and any other taxes on production that government may be required to pay</w:t>
            </w:r>
            <w:r>
              <w:rPr>
                <w:sz w:val="18"/>
                <w:szCs w:val="18"/>
              </w:rPr>
              <w:t>”</w:t>
            </w:r>
            <w:r>
              <w:rPr>
                <w:rStyle w:val="FootnoteReference"/>
                <w:sz w:val="18"/>
                <w:szCs w:val="18"/>
              </w:rPr>
              <w:footnoteReference w:id="20"/>
            </w:r>
            <w:r w:rsidRPr="00EC3263">
              <w:rPr>
                <w:sz w:val="18"/>
                <w:szCs w:val="18"/>
              </w:rPr>
              <w:t>.</w:t>
            </w:r>
          </w:p>
          <w:p w:rsidR="0098064D" w:rsidRPr="00EC3263"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p>
        </w:tc>
        <w:tc>
          <w:tcPr>
            <w:tcW w:w="1418" w:type="dxa"/>
          </w:tcPr>
          <w:p w:rsidR="0098064D" w:rsidRPr="00ED0D20"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w:t>
            </w:r>
          </w:p>
        </w:tc>
        <w:tc>
          <w:tcPr>
            <w:tcW w:w="1253" w:type="dxa"/>
          </w:tcPr>
          <w:p w:rsidR="0098064D" w:rsidRPr="00ED0D20"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1970-2014</w:t>
            </w:r>
          </w:p>
        </w:tc>
      </w:tr>
      <w:tr w:rsidR="0098064D" w:rsidRPr="002E6A4D" w:rsidTr="00896539">
        <w:tc>
          <w:tcPr>
            <w:cnfStyle w:val="001000000000" w:firstRow="0" w:lastRow="0" w:firstColumn="1" w:lastColumn="0" w:oddVBand="0" w:evenVBand="0" w:oddHBand="0" w:evenHBand="0" w:firstRowFirstColumn="0" w:firstRowLastColumn="0" w:lastRowFirstColumn="0" w:lastRowLastColumn="0"/>
            <w:tcW w:w="959" w:type="dxa"/>
          </w:tcPr>
          <w:p w:rsidR="0098064D" w:rsidRPr="00ED0D20" w:rsidRDefault="0098064D" w:rsidP="0098064D">
            <w:pPr>
              <w:spacing w:before="40"/>
              <w:rPr>
                <w:sz w:val="18"/>
                <w:szCs w:val="18"/>
              </w:rPr>
            </w:pPr>
            <w:r w:rsidRPr="00ED0D20">
              <w:rPr>
                <w:sz w:val="18"/>
                <w:szCs w:val="18"/>
              </w:rPr>
              <w:t>hhmcin</w:t>
            </w:r>
          </w:p>
        </w:tc>
        <w:tc>
          <w:tcPr>
            <w:tcW w:w="5386" w:type="dxa"/>
          </w:tcPr>
          <w:p w:rsidR="0098064D" w:rsidRDefault="0098064D" w:rsidP="0098064D">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ED0D20">
              <w:rPr>
                <w:b/>
                <w:sz w:val="18"/>
                <w:szCs w:val="18"/>
              </w:rPr>
              <w:t>Herfindahl-Hirschman Market Concentration Index</w:t>
            </w:r>
          </w:p>
          <w:p w:rsidR="0098064D" w:rsidRDefault="0098064D" w:rsidP="0098064D">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98064D" w:rsidRPr="00701B48"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Source: World Bank - World Integrated Trade Solution Database/ Un COMTRADE. </w:t>
            </w:r>
          </w:p>
          <w:p w:rsidR="0098064D" w:rsidRPr="00701B48"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701B48">
              <w:rPr>
                <w:sz w:val="18"/>
                <w:szCs w:val="18"/>
              </w:rPr>
              <w:t>"This indicator is a measure of the dispersion of trade value across an exporter’s partners. A country with a preponderance of trade value concentrated in a very few markets will have an index value close to 1. Thus, it is an indicator of the exporter’s dependency on its trading partners and the danger it could face should its partners increase trade barriers. Measured over time, a fall in the index may be an indication of diversification in the exporter’s trading partnerships"</w:t>
            </w:r>
            <w:r>
              <w:rPr>
                <w:rStyle w:val="FootnoteReference"/>
                <w:sz w:val="18"/>
                <w:szCs w:val="18"/>
              </w:rPr>
              <w:footnoteReference w:id="21"/>
            </w:r>
            <w:r>
              <w:rPr>
                <w:sz w:val="18"/>
                <w:szCs w:val="18"/>
              </w:rPr>
              <w:t>.</w:t>
            </w:r>
            <w:r w:rsidRPr="00701B48">
              <w:rPr>
                <w:sz w:val="18"/>
                <w:szCs w:val="18"/>
              </w:rPr>
              <w:t xml:space="preserve"> </w:t>
            </w:r>
          </w:p>
          <w:p w:rsidR="0098064D" w:rsidRPr="00701B48"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p>
        </w:tc>
        <w:tc>
          <w:tcPr>
            <w:tcW w:w="1418" w:type="dxa"/>
          </w:tcPr>
          <w:p w:rsidR="0098064D" w:rsidRPr="00ED0D20"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0 – 1</w:t>
            </w:r>
            <w:r w:rsidRPr="00ED0D20">
              <w:rPr>
                <w:rStyle w:val="FootnoteReference"/>
                <w:sz w:val="18"/>
                <w:szCs w:val="18"/>
              </w:rPr>
              <w:footnoteReference w:id="22"/>
            </w:r>
          </w:p>
        </w:tc>
        <w:tc>
          <w:tcPr>
            <w:tcW w:w="1253" w:type="dxa"/>
          </w:tcPr>
          <w:p w:rsidR="0098064D" w:rsidRPr="00ED0D20"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1988-2014</w:t>
            </w:r>
          </w:p>
        </w:tc>
      </w:tr>
      <w:tr w:rsidR="0098064D" w:rsidRPr="002E6A4D" w:rsidTr="0089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98064D" w:rsidRPr="00ED0D20" w:rsidRDefault="0098064D" w:rsidP="0098064D">
            <w:pPr>
              <w:spacing w:before="40"/>
              <w:rPr>
                <w:sz w:val="18"/>
                <w:szCs w:val="18"/>
              </w:rPr>
            </w:pPr>
            <w:r w:rsidRPr="00ED0D20">
              <w:rPr>
                <w:sz w:val="18"/>
                <w:szCs w:val="18"/>
              </w:rPr>
              <w:t>distrtax</w:t>
            </w:r>
          </w:p>
        </w:tc>
        <w:tc>
          <w:tcPr>
            <w:tcW w:w="5386" w:type="dxa"/>
          </w:tcPr>
          <w:p w:rsidR="0098064D" w:rsidRDefault="0098064D" w:rsidP="0098064D">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ED0D20">
              <w:rPr>
                <w:b/>
                <w:sz w:val="18"/>
                <w:szCs w:val="18"/>
              </w:rPr>
              <w:t>Attribution of tax revenues to regional and local sectors of government as % of total tax revenue</w:t>
            </w:r>
          </w:p>
          <w:p w:rsidR="0098064D" w:rsidRDefault="0098064D" w:rsidP="0098064D">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98064D"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701B48">
              <w:rPr>
                <w:sz w:val="18"/>
                <w:szCs w:val="18"/>
              </w:rPr>
              <w:t xml:space="preserve">Source: </w:t>
            </w:r>
            <w:r>
              <w:rPr>
                <w:sz w:val="18"/>
                <w:szCs w:val="18"/>
              </w:rPr>
              <w:t>OECD. The relative share of tax revenues attributed to regional and local sectors of government as % of total tax revenue</w:t>
            </w:r>
            <w:r>
              <w:rPr>
                <w:rStyle w:val="FootnoteReference"/>
                <w:sz w:val="18"/>
                <w:szCs w:val="18"/>
              </w:rPr>
              <w:footnoteReference w:id="23"/>
            </w:r>
            <w:r>
              <w:rPr>
                <w:sz w:val="18"/>
                <w:szCs w:val="18"/>
              </w:rPr>
              <w:t>.</w:t>
            </w:r>
          </w:p>
          <w:p w:rsidR="0098064D" w:rsidRPr="00701B48"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p>
        </w:tc>
        <w:tc>
          <w:tcPr>
            <w:tcW w:w="1418" w:type="dxa"/>
          </w:tcPr>
          <w:p w:rsidR="0098064D" w:rsidRPr="00ED0D20"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w:t>
            </w:r>
          </w:p>
        </w:tc>
        <w:tc>
          <w:tcPr>
            <w:tcW w:w="1253" w:type="dxa"/>
          </w:tcPr>
          <w:p w:rsidR="0098064D" w:rsidRPr="00ED0D20"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1975; 1995; 2013</w:t>
            </w:r>
          </w:p>
        </w:tc>
      </w:tr>
      <w:tr w:rsidR="0098064D" w:rsidRPr="002E6A4D" w:rsidTr="00896539">
        <w:tc>
          <w:tcPr>
            <w:cnfStyle w:val="001000000000" w:firstRow="0" w:lastRow="0" w:firstColumn="1" w:lastColumn="0" w:oddVBand="0" w:evenVBand="0" w:oddHBand="0" w:evenHBand="0" w:firstRowFirstColumn="0" w:firstRowLastColumn="0" w:lastRowFirstColumn="0" w:lastRowLastColumn="0"/>
            <w:tcW w:w="959" w:type="dxa"/>
          </w:tcPr>
          <w:p w:rsidR="0098064D" w:rsidRPr="00ED0D20" w:rsidRDefault="0098064D" w:rsidP="0098064D">
            <w:pPr>
              <w:spacing w:before="40"/>
              <w:rPr>
                <w:sz w:val="18"/>
                <w:szCs w:val="18"/>
              </w:rPr>
            </w:pPr>
            <w:r w:rsidRPr="00ED0D20">
              <w:rPr>
                <w:sz w:val="18"/>
                <w:szCs w:val="18"/>
              </w:rPr>
              <w:t>iuegod</w:t>
            </w:r>
          </w:p>
        </w:tc>
        <w:tc>
          <w:tcPr>
            <w:tcW w:w="5386" w:type="dxa"/>
          </w:tcPr>
          <w:p w:rsidR="0098064D" w:rsidRDefault="0098064D" w:rsidP="0098064D">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ED0D20">
              <w:rPr>
                <w:b/>
                <w:sz w:val="18"/>
                <w:szCs w:val="18"/>
              </w:rPr>
              <w:t>Involvement of unions and employers in government decisions on social and economic policy</w:t>
            </w:r>
          </w:p>
          <w:p w:rsidR="0098064D" w:rsidRDefault="0098064D" w:rsidP="0098064D">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98064D"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2F1667">
              <w:rPr>
                <w:sz w:val="18"/>
                <w:szCs w:val="18"/>
              </w:rPr>
              <w:t xml:space="preserve">Source: </w:t>
            </w:r>
            <w:r>
              <w:rPr>
                <w:sz w:val="18"/>
                <w:szCs w:val="18"/>
              </w:rPr>
              <w:t xml:space="preserve">ICTWSS. </w:t>
            </w:r>
            <w:r w:rsidRPr="00B87A4D">
              <w:rPr>
                <w:sz w:val="18"/>
                <w:szCs w:val="18"/>
              </w:rPr>
              <w:t>2 - Full concertation, regular and frequent involvement; 1- partial concertation, irregular and infrequent involvement; 0 - no concertation, involvement is rare or absent.</w:t>
            </w:r>
          </w:p>
          <w:p w:rsidR="0098064D" w:rsidRPr="002F1667"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p>
        </w:tc>
        <w:tc>
          <w:tcPr>
            <w:tcW w:w="1418" w:type="dxa"/>
          </w:tcPr>
          <w:p w:rsidR="0098064D" w:rsidRPr="00ED0D20"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0 – 2</w:t>
            </w:r>
          </w:p>
        </w:tc>
        <w:tc>
          <w:tcPr>
            <w:tcW w:w="1253" w:type="dxa"/>
          </w:tcPr>
          <w:p w:rsidR="0098064D" w:rsidRPr="00ED0D20"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1960-2014</w:t>
            </w:r>
          </w:p>
        </w:tc>
      </w:tr>
      <w:tr w:rsidR="0098064D" w:rsidRPr="002E6A4D" w:rsidTr="0089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98064D" w:rsidRPr="00ED0D20" w:rsidRDefault="0098064D" w:rsidP="0098064D">
            <w:pPr>
              <w:spacing w:before="40"/>
              <w:rPr>
                <w:sz w:val="18"/>
                <w:szCs w:val="18"/>
              </w:rPr>
            </w:pPr>
            <w:r w:rsidRPr="00ED0D20">
              <w:rPr>
                <w:sz w:val="18"/>
                <w:szCs w:val="18"/>
              </w:rPr>
              <w:t>tricounc</w:t>
            </w:r>
          </w:p>
        </w:tc>
        <w:tc>
          <w:tcPr>
            <w:tcW w:w="5386" w:type="dxa"/>
          </w:tcPr>
          <w:p w:rsidR="0098064D" w:rsidRDefault="0098064D" w:rsidP="0098064D">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ED0D20">
              <w:rPr>
                <w:b/>
                <w:sz w:val="18"/>
                <w:szCs w:val="18"/>
              </w:rPr>
              <w:t>Existence of a tripartite council on social and economic policy</w:t>
            </w:r>
          </w:p>
          <w:p w:rsidR="0098064D" w:rsidRDefault="0098064D" w:rsidP="0098064D">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98064D"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2F1667">
              <w:rPr>
                <w:sz w:val="18"/>
                <w:szCs w:val="18"/>
              </w:rPr>
              <w:t xml:space="preserve">Source: </w:t>
            </w:r>
            <w:r>
              <w:rPr>
                <w:sz w:val="18"/>
                <w:szCs w:val="18"/>
              </w:rPr>
              <w:t xml:space="preserve">ICTWSS. </w:t>
            </w:r>
            <w:r w:rsidRPr="00B87A4D">
              <w:rPr>
                <w:sz w:val="18"/>
                <w:szCs w:val="18"/>
              </w:rPr>
              <w:t>2 - Tripartite council with representation from the trade unions, employers' associations, and independent experts or (appointed) representatives; 1 - council with various societal interest representatives, including unions and employers; 0 - no permanent council.</w:t>
            </w:r>
          </w:p>
          <w:p w:rsidR="0098064D" w:rsidRPr="002F1667"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p>
        </w:tc>
        <w:tc>
          <w:tcPr>
            <w:tcW w:w="1418" w:type="dxa"/>
          </w:tcPr>
          <w:p w:rsidR="0098064D" w:rsidRPr="00ED0D20"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0 – 2</w:t>
            </w:r>
          </w:p>
        </w:tc>
        <w:tc>
          <w:tcPr>
            <w:tcW w:w="1253" w:type="dxa"/>
          </w:tcPr>
          <w:p w:rsidR="0098064D" w:rsidRPr="00ED0D20"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1960-2014</w:t>
            </w:r>
          </w:p>
        </w:tc>
      </w:tr>
      <w:tr w:rsidR="0098064D" w:rsidRPr="002E6A4D" w:rsidTr="00896539">
        <w:tc>
          <w:tcPr>
            <w:cnfStyle w:val="001000000000" w:firstRow="0" w:lastRow="0" w:firstColumn="1" w:lastColumn="0" w:oddVBand="0" w:evenVBand="0" w:oddHBand="0" w:evenHBand="0" w:firstRowFirstColumn="0" w:firstRowLastColumn="0" w:lastRowFirstColumn="0" w:lastRowLastColumn="0"/>
            <w:tcW w:w="959" w:type="dxa"/>
          </w:tcPr>
          <w:p w:rsidR="0098064D" w:rsidRPr="00ED0D20" w:rsidRDefault="0098064D" w:rsidP="0098064D">
            <w:pPr>
              <w:spacing w:before="40"/>
              <w:rPr>
                <w:sz w:val="18"/>
                <w:szCs w:val="18"/>
              </w:rPr>
            </w:pPr>
            <w:r w:rsidRPr="00ED0D20">
              <w:rPr>
                <w:sz w:val="18"/>
                <w:szCs w:val="18"/>
              </w:rPr>
              <w:t>petition</w:t>
            </w:r>
          </w:p>
        </w:tc>
        <w:tc>
          <w:tcPr>
            <w:tcW w:w="5386" w:type="dxa"/>
            <w:vMerge w:val="restart"/>
          </w:tcPr>
          <w:p w:rsidR="0098064D" w:rsidRDefault="0098064D" w:rsidP="0098064D">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ED0D20">
              <w:rPr>
                <w:b/>
                <w:sz w:val="18"/>
                <w:szCs w:val="18"/>
              </w:rPr>
              <w:t>Signing a petition</w:t>
            </w:r>
          </w:p>
          <w:p w:rsidR="0098064D" w:rsidRPr="00ED0D20" w:rsidRDefault="0098064D" w:rsidP="0098064D">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ED0D20">
              <w:rPr>
                <w:b/>
                <w:sz w:val="18"/>
                <w:szCs w:val="18"/>
              </w:rPr>
              <w:t>Joining boycotts</w:t>
            </w:r>
          </w:p>
          <w:p w:rsidR="0098064D" w:rsidRPr="00ED0D20" w:rsidRDefault="0098064D" w:rsidP="0098064D">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ED0D20">
              <w:rPr>
                <w:b/>
                <w:sz w:val="18"/>
                <w:szCs w:val="18"/>
              </w:rPr>
              <w:t>Attending peaceful demonstrations</w:t>
            </w:r>
          </w:p>
          <w:p w:rsidR="0098064D" w:rsidRDefault="0098064D" w:rsidP="0098064D">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ED0D20">
              <w:rPr>
                <w:b/>
                <w:sz w:val="18"/>
                <w:szCs w:val="18"/>
              </w:rPr>
              <w:t>Joining unofficial strikes</w:t>
            </w:r>
          </w:p>
          <w:p w:rsidR="0098064D" w:rsidRDefault="0098064D" w:rsidP="0098064D">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98064D" w:rsidRPr="00BF03A8"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Source: European Values Survey and World Values Survey (original variables: </w:t>
            </w:r>
            <w:r w:rsidRPr="00BF03A8">
              <w:rPr>
                <w:sz w:val="18"/>
                <w:szCs w:val="18"/>
              </w:rPr>
              <w:t>EVS: v187; v188; v189; v190; WVS: E025/ v85; E026/ v86; E027/ v87; E028/ v88</w:t>
            </w:r>
            <w:r>
              <w:rPr>
                <w:sz w:val="18"/>
                <w:szCs w:val="18"/>
              </w:rPr>
              <w:t>). “</w:t>
            </w:r>
          </w:p>
          <w:p w:rsidR="0098064D" w:rsidRPr="00E617F0"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617F0">
              <w:rPr>
                <w:sz w:val="18"/>
                <w:szCs w:val="18"/>
              </w:rPr>
              <w:t>EVS: "Now I’d like you to look at this card. I’m going to read out some different forms of political action that people can take, and I’d like you to tell me, for each one, whether you have actually done any of these things, whether you might do it or would never, under any circumstances, do it: signin</w:t>
            </w:r>
            <w:r>
              <w:rPr>
                <w:sz w:val="18"/>
                <w:szCs w:val="18"/>
              </w:rPr>
              <w:t>g a petition; joining in boycot</w:t>
            </w:r>
            <w:r w:rsidRPr="00E617F0">
              <w:rPr>
                <w:sz w:val="18"/>
                <w:szCs w:val="18"/>
              </w:rPr>
              <w:t>ts; attending lawful/ peaceful demonstrations; joining in unofficial strikes" (Have done) - weight applied 'weight_g'. WVS "I'm going to read out some forms of political action that people can take, and I'd like you to tell me, for each one, whether you have done any of these things, whether you might do it or would never under any circumstances do it: signing a petition; joining in boycotts; attending lawful/ peaceful demonstrations; joining in unofficial strikes" (Have done) - weight applied 'S017'</w:t>
            </w:r>
            <w:r>
              <w:rPr>
                <w:sz w:val="18"/>
                <w:szCs w:val="18"/>
              </w:rPr>
              <w:t>.</w:t>
            </w:r>
          </w:p>
          <w:p w:rsidR="0098064D" w:rsidRPr="00BF03A8"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p>
          <w:p w:rsidR="0098064D" w:rsidRPr="00BF03A8"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p>
        </w:tc>
        <w:tc>
          <w:tcPr>
            <w:tcW w:w="1418" w:type="dxa"/>
          </w:tcPr>
          <w:p w:rsidR="0098064D" w:rsidRPr="00ED0D20"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w:t>
            </w:r>
          </w:p>
        </w:tc>
        <w:tc>
          <w:tcPr>
            <w:tcW w:w="1253" w:type="dxa"/>
          </w:tcPr>
          <w:p w:rsidR="0098064D" w:rsidRPr="00ED0D20"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2005-2009; 2010-2014</w:t>
            </w:r>
          </w:p>
        </w:tc>
      </w:tr>
      <w:tr w:rsidR="0098064D" w:rsidRPr="002E6A4D" w:rsidTr="0089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98064D" w:rsidRPr="00ED0D20" w:rsidRDefault="0098064D" w:rsidP="0098064D">
            <w:pPr>
              <w:spacing w:before="40"/>
              <w:rPr>
                <w:sz w:val="18"/>
                <w:szCs w:val="18"/>
              </w:rPr>
            </w:pPr>
            <w:r w:rsidRPr="00ED0D20">
              <w:rPr>
                <w:sz w:val="18"/>
                <w:szCs w:val="18"/>
              </w:rPr>
              <w:t>boycott</w:t>
            </w:r>
          </w:p>
        </w:tc>
        <w:tc>
          <w:tcPr>
            <w:tcW w:w="5386" w:type="dxa"/>
            <w:vMerge/>
          </w:tcPr>
          <w:p w:rsidR="0098064D" w:rsidRPr="00ED0D20" w:rsidRDefault="0098064D" w:rsidP="0098064D">
            <w:pPr>
              <w:spacing w:before="40"/>
              <w:cnfStyle w:val="000000100000" w:firstRow="0" w:lastRow="0" w:firstColumn="0" w:lastColumn="0" w:oddVBand="0" w:evenVBand="0" w:oddHBand="1" w:evenHBand="0" w:firstRowFirstColumn="0" w:firstRowLastColumn="0" w:lastRowFirstColumn="0" w:lastRowLastColumn="0"/>
              <w:rPr>
                <w:b/>
                <w:sz w:val="18"/>
                <w:szCs w:val="18"/>
              </w:rPr>
            </w:pPr>
          </w:p>
        </w:tc>
        <w:tc>
          <w:tcPr>
            <w:tcW w:w="1418" w:type="dxa"/>
          </w:tcPr>
          <w:p w:rsidR="0098064D" w:rsidRPr="00ED0D20"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w:t>
            </w:r>
          </w:p>
        </w:tc>
        <w:tc>
          <w:tcPr>
            <w:tcW w:w="1253" w:type="dxa"/>
          </w:tcPr>
          <w:p w:rsidR="0098064D" w:rsidRPr="00ED0D20"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2005-2009; 2010-2014</w:t>
            </w:r>
          </w:p>
        </w:tc>
      </w:tr>
      <w:tr w:rsidR="0098064D" w:rsidRPr="002E6A4D" w:rsidTr="00896539">
        <w:tc>
          <w:tcPr>
            <w:cnfStyle w:val="001000000000" w:firstRow="0" w:lastRow="0" w:firstColumn="1" w:lastColumn="0" w:oddVBand="0" w:evenVBand="0" w:oddHBand="0" w:evenHBand="0" w:firstRowFirstColumn="0" w:firstRowLastColumn="0" w:lastRowFirstColumn="0" w:lastRowLastColumn="0"/>
            <w:tcW w:w="959" w:type="dxa"/>
          </w:tcPr>
          <w:p w:rsidR="0098064D" w:rsidRPr="00ED0D20" w:rsidRDefault="0098064D" w:rsidP="0098064D">
            <w:pPr>
              <w:spacing w:before="40"/>
              <w:rPr>
                <w:sz w:val="18"/>
                <w:szCs w:val="18"/>
              </w:rPr>
            </w:pPr>
            <w:r w:rsidRPr="00ED0D20">
              <w:rPr>
                <w:sz w:val="18"/>
                <w:szCs w:val="18"/>
              </w:rPr>
              <w:t>demonst</w:t>
            </w:r>
          </w:p>
        </w:tc>
        <w:tc>
          <w:tcPr>
            <w:tcW w:w="5386" w:type="dxa"/>
            <w:vMerge/>
          </w:tcPr>
          <w:p w:rsidR="0098064D" w:rsidRPr="00ED0D20" w:rsidRDefault="0098064D" w:rsidP="0098064D">
            <w:pPr>
              <w:spacing w:before="40"/>
              <w:cnfStyle w:val="000000000000" w:firstRow="0" w:lastRow="0" w:firstColumn="0" w:lastColumn="0" w:oddVBand="0" w:evenVBand="0" w:oddHBand="0" w:evenHBand="0" w:firstRowFirstColumn="0" w:firstRowLastColumn="0" w:lastRowFirstColumn="0" w:lastRowLastColumn="0"/>
              <w:rPr>
                <w:b/>
                <w:sz w:val="18"/>
                <w:szCs w:val="18"/>
              </w:rPr>
            </w:pPr>
          </w:p>
        </w:tc>
        <w:tc>
          <w:tcPr>
            <w:tcW w:w="1418" w:type="dxa"/>
          </w:tcPr>
          <w:p w:rsidR="0098064D" w:rsidRPr="00ED0D20"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w:t>
            </w:r>
          </w:p>
        </w:tc>
        <w:tc>
          <w:tcPr>
            <w:tcW w:w="1253" w:type="dxa"/>
          </w:tcPr>
          <w:p w:rsidR="0098064D" w:rsidRPr="00ED0D20"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2005-2009; 2010-2014</w:t>
            </w:r>
          </w:p>
        </w:tc>
      </w:tr>
      <w:tr w:rsidR="0098064D" w:rsidRPr="002E6A4D" w:rsidTr="0089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98064D" w:rsidRPr="00ED0D20" w:rsidRDefault="0098064D" w:rsidP="0098064D">
            <w:pPr>
              <w:spacing w:before="40"/>
              <w:rPr>
                <w:sz w:val="18"/>
                <w:szCs w:val="18"/>
              </w:rPr>
            </w:pPr>
            <w:r w:rsidRPr="00ED0D20">
              <w:rPr>
                <w:sz w:val="18"/>
                <w:szCs w:val="18"/>
              </w:rPr>
              <w:t>strike</w:t>
            </w:r>
          </w:p>
        </w:tc>
        <w:tc>
          <w:tcPr>
            <w:tcW w:w="5386" w:type="dxa"/>
            <w:vMerge/>
          </w:tcPr>
          <w:p w:rsidR="0098064D" w:rsidRPr="00ED0D20" w:rsidRDefault="0098064D" w:rsidP="0098064D">
            <w:pPr>
              <w:spacing w:before="40"/>
              <w:cnfStyle w:val="000000100000" w:firstRow="0" w:lastRow="0" w:firstColumn="0" w:lastColumn="0" w:oddVBand="0" w:evenVBand="0" w:oddHBand="1" w:evenHBand="0" w:firstRowFirstColumn="0" w:firstRowLastColumn="0" w:lastRowFirstColumn="0" w:lastRowLastColumn="0"/>
              <w:rPr>
                <w:b/>
                <w:sz w:val="18"/>
                <w:szCs w:val="18"/>
              </w:rPr>
            </w:pPr>
          </w:p>
        </w:tc>
        <w:tc>
          <w:tcPr>
            <w:tcW w:w="1418" w:type="dxa"/>
          </w:tcPr>
          <w:p w:rsidR="0098064D" w:rsidRPr="00ED0D20"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w:t>
            </w:r>
          </w:p>
        </w:tc>
        <w:tc>
          <w:tcPr>
            <w:tcW w:w="1253" w:type="dxa"/>
          </w:tcPr>
          <w:p w:rsidR="0098064D" w:rsidRPr="00ED0D20"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2005-2009; 2010-2014</w:t>
            </w:r>
          </w:p>
        </w:tc>
      </w:tr>
      <w:tr w:rsidR="0098064D" w:rsidRPr="002E6A4D" w:rsidTr="00896539">
        <w:tc>
          <w:tcPr>
            <w:cnfStyle w:val="001000000000" w:firstRow="0" w:lastRow="0" w:firstColumn="1" w:lastColumn="0" w:oddVBand="0" w:evenVBand="0" w:oddHBand="0" w:evenHBand="0" w:firstRowFirstColumn="0" w:firstRowLastColumn="0" w:lastRowFirstColumn="0" w:lastRowLastColumn="0"/>
            <w:tcW w:w="959" w:type="dxa"/>
          </w:tcPr>
          <w:p w:rsidR="0098064D" w:rsidRPr="00ED0D20" w:rsidRDefault="0098064D" w:rsidP="0098064D">
            <w:pPr>
              <w:spacing w:before="40"/>
              <w:rPr>
                <w:sz w:val="18"/>
                <w:szCs w:val="18"/>
              </w:rPr>
            </w:pPr>
            <w:r w:rsidRPr="00ED0D20">
              <w:rPr>
                <w:sz w:val="18"/>
                <w:szCs w:val="18"/>
              </w:rPr>
              <w:t>cbind</w:t>
            </w:r>
          </w:p>
        </w:tc>
        <w:tc>
          <w:tcPr>
            <w:tcW w:w="5386" w:type="dxa"/>
          </w:tcPr>
          <w:p w:rsidR="0098064D" w:rsidRDefault="0098064D" w:rsidP="0098064D">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ED0D20">
              <w:rPr>
                <w:b/>
                <w:sz w:val="18"/>
                <w:szCs w:val="18"/>
              </w:rPr>
              <w:t>Central bank independence index</w:t>
            </w:r>
          </w:p>
          <w:p w:rsidR="0098064D" w:rsidRDefault="0098064D" w:rsidP="0098064D">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98064D" w:rsidRPr="00B0732B"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Source: </w:t>
            </w:r>
            <w:r w:rsidRPr="00B0732B">
              <w:rPr>
                <w:sz w:val="18"/>
                <w:szCs w:val="18"/>
              </w:rPr>
              <w:t>Cukierman, Webb and Neyapti</w:t>
            </w:r>
            <w:r>
              <w:rPr>
                <w:sz w:val="18"/>
                <w:szCs w:val="18"/>
              </w:rPr>
              <w:t xml:space="preserve"> (1980-89 CBI index); Crowe and Meade (2003). </w:t>
            </w:r>
            <w:r w:rsidRPr="00B0732B">
              <w:rPr>
                <w:sz w:val="18"/>
                <w:szCs w:val="18"/>
              </w:rPr>
              <w:t>The index has four components: appointment procedures for the head of the central bank (the appointment, dismissal, and term of office of the chief executive officer of the bank - usually the governor); the resolution of conflict between the central bank and the executive branch of government (resolution of conflicts over monetary policy and the participation of the central bank in the budget process); the use of an explicit policy target (the objectives of the central bank); and rules limiting lending to the public sector (such restrictions limit the volume, maturity, interest rates, and conditions for direct advances and s</w:t>
            </w:r>
            <w:r>
              <w:rPr>
                <w:sz w:val="18"/>
                <w:szCs w:val="18"/>
              </w:rPr>
              <w:t>ecuritized lending from the cen</w:t>
            </w:r>
            <w:r w:rsidRPr="00B0732B">
              <w:rPr>
                <w:sz w:val="18"/>
                <w:szCs w:val="18"/>
              </w:rPr>
              <w:t>tral bank to the public sector). Coding scheme: Cukierman et al. (1992: 358-59)</w:t>
            </w:r>
            <w:r>
              <w:rPr>
                <w:rStyle w:val="FootnoteReference"/>
                <w:sz w:val="18"/>
                <w:szCs w:val="18"/>
              </w:rPr>
              <w:footnoteReference w:id="24"/>
            </w:r>
            <w:r>
              <w:rPr>
                <w:sz w:val="18"/>
                <w:szCs w:val="18"/>
              </w:rPr>
              <w:t>.</w:t>
            </w:r>
          </w:p>
          <w:p w:rsidR="0098064D" w:rsidRPr="00D5401E"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p>
        </w:tc>
        <w:tc>
          <w:tcPr>
            <w:tcW w:w="1418" w:type="dxa"/>
          </w:tcPr>
          <w:p w:rsidR="0098064D" w:rsidRPr="00ED0D20"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0 – 1 (highest level of independence)</w:t>
            </w:r>
          </w:p>
        </w:tc>
        <w:tc>
          <w:tcPr>
            <w:tcW w:w="1253" w:type="dxa"/>
          </w:tcPr>
          <w:p w:rsidR="0098064D" w:rsidRPr="00ED0D20" w:rsidRDefault="0098064D" w:rsidP="0098064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1980-89; 2003</w:t>
            </w:r>
          </w:p>
        </w:tc>
      </w:tr>
      <w:tr w:rsidR="0098064D" w:rsidRPr="002E6A4D" w:rsidTr="008965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98064D" w:rsidRPr="00ED0D20" w:rsidRDefault="0098064D" w:rsidP="0098064D">
            <w:pPr>
              <w:spacing w:before="40"/>
              <w:rPr>
                <w:sz w:val="18"/>
                <w:szCs w:val="18"/>
              </w:rPr>
            </w:pPr>
            <w:r w:rsidRPr="00ED0D20">
              <w:rPr>
                <w:sz w:val="18"/>
                <w:szCs w:val="18"/>
              </w:rPr>
              <w:t>cbtran</w:t>
            </w:r>
          </w:p>
        </w:tc>
        <w:tc>
          <w:tcPr>
            <w:tcW w:w="5386" w:type="dxa"/>
          </w:tcPr>
          <w:p w:rsidR="0098064D" w:rsidRDefault="0098064D" w:rsidP="0098064D">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ED0D20">
              <w:rPr>
                <w:b/>
                <w:sz w:val="18"/>
                <w:szCs w:val="18"/>
              </w:rPr>
              <w:t>Central bank transparency index</w:t>
            </w:r>
          </w:p>
          <w:p w:rsidR="0098064D" w:rsidRDefault="0098064D" w:rsidP="0098064D">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98064D"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Source: Fry et al. (2000); Crowe and Meade (2008). </w:t>
            </w:r>
          </w:p>
          <w:p w:rsidR="0098064D"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5038C">
              <w:rPr>
                <w:sz w:val="18"/>
                <w:szCs w:val="18"/>
              </w:rPr>
              <w:t>(0 - 1 highest level of transparency) This index replicates Fry et al (2000). Coding available on Crowe and Meade (2008: 24)</w:t>
            </w:r>
            <w:r>
              <w:rPr>
                <w:rStyle w:val="FootnoteReference"/>
                <w:sz w:val="18"/>
                <w:szCs w:val="18"/>
              </w:rPr>
              <w:footnoteReference w:id="25"/>
            </w:r>
            <w:r w:rsidRPr="00E5038C">
              <w:rPr>
                <w:sz w:val="18"/>
                <w:szCs w:val="18"/>
              </w:rPr>
              <w:t>.</w:t>
            </w:r>
          </w:p>
          <w:p w:rsidR="0098064D" w:rsidRPr="00D5401E"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p>
        </w:tc>
        <w:tc>
          <w:tcPr>
            <w:tcW w:w="1418" w:type="dxa"/>
          </w:tcPr>
          <w:p w:rsidR="0098064D" w:rsidRPr="00ED0D20"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0 – 1 (highest level of transparency</w:t>
            </w:r>
          </w:p>
        </w:tc>
        <w:tc>
          <w:tcPr>
            <w:tcW w:w="1253" w:type="dxa"/>
          </w:tcPr>
          <w:p w:rsidR="0098064D" w:rsidRPr="00ED0D20" w:rsidRDefault="0098064D" w:rsidP="0098064D">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1998; 2006</w:t>
            </w:r>
          </w:p>
        </w:tc>
      </w:tr>
    </w:tbl>
    <w:p w:rsidR="00850C1D" w:rsidRPr="002E6A4D" w:rsidRDefault="00850C1D">
      <w:pPr>
        <w:rPr>
          <w:sz w:val="20"/>
          <w:szCs w:val="20"/>
        </w:rPr>
      </w:pPr>
      <w:r w:rsidRPr="002E6A4D">
        <w:rPr>
          <w:sz w:val="20"/>
          <w:szCs w:val="20"/>
        </w:rPr>
        <w:br w:type="page"/>
      </w:r>
    </w:p>
    <w:p w:rsidR="00850C1D" w:rsidRPr="002E6A4D" w:rsidRDefault="00850C1D" w:rsidP="00305824">
      <w:pPr>
        <w:outlineLvl w:val="0"/>
        <w:rPr>
          <w:b/>
          <w:sz w:val="20"/>
          <w:szCs w:val="20"/>
        </w:rPr>
      </w:pPr>
      <w:r w:rsidRPr="002E6A4D">
        <w:rPr>
          <w:b/>
          <w:sz w:val="20"/>
          <w:szCs w:val="20"/>
        </w:rPr>
        <w:t>Control variables</w:t>
      </w:r>
    </w:p>
    <w:p w:rsidR="00850C1D" w:rsidRPr="002E6A4D" w:rsidRDefault="00850C1D" w:rsidP="0076607D">
      <w:pPr>
        <w:spacing w:after="120"/>
        <w:rPr>
          <w:sz w:val="20"/>
          <w:szCs w:val="20"/>
        </w:rPr>
      </w:pPr>
    </w:p>
    <w:tbl>
      <w:tblPr>
        <w:tblStyle w:val="PlainTable11"/>
        <w:tblW w:w="0" w:type="auto"/>
        <w:tblLayout w:type="fixed"/>
        <w:tblLook w:val="04A0" w:firstRow="1" w:lastRow="0" w:firstColumn="1" w:lastColumn="0" w:noHBand="0" w:noVBand="1"/>
      </w:tblPr>
      <w:tblGrid>
        <w:gridCol w:w="1110"/>
        <w:gridCol w:w="4527"/>
        <w:gridCol w:w="1984"/>
        <w:gridCol w:w="1395"/>
      </w:tblGrid>
      <w:tr w:rsidR="00343139" w:rsidRPr="002E6A4D" w:rsidTr="006B7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tcPr>
          <w:p w:rsidR="00343139" w:rsidRPr="002E6A4D" w:rsidRDefault="00343139" w:rsidP="007B5C5A">
            <w:pPr>
              <w:spacing w:beforeLines="40" w:before="96"/>
              <w:rPr>
                <w:sz w:val="20"/>
                <w:szCs w:val="20"/>
              </w:rPr>
            </w:pPr>
            <w:r w:rsidRPr="002E6A4D">
              <w:rPr>
                <w:sz w:val="20"/>
                <w:szCs w:val="20"/>
              </w:rPr>
              <w:t>Variable name</w:t>
            </w:r>
          </w:p>
        </w:tc>
        <w:tc>
          <w:tcPr>
            <w:tcW w:w="4527" w:type="dxa"/>
          </w:tcPr>
          <w:p w:rsidR="00343139" w:rsidRPr="002E6A4D" w:rsidRDefault="00343139" w:rsidP="007B5C5A">
            <w:pPr>
              <w:spacing w:beforeLines="40" w:before="96"/>
              <w:cnfStyle w:val="100000000000" w:firstRow="1" w:lastRow="0" w:firstColumn="0" w:lastColumn="0" w:oddVBand="0" w:evenVBand="0" w:oddHBand="0" w:evenHBand="0" w:firstRowFirstColumn="0" w:firstRowLastColumn="0" w:lastRowFirstColumn="0" w:lastRowLastColumn="0"/>
              <w:rPr>
                <w:sz w:val="20"/>
                <w:szCs w:val="20"/>
              </w:rPr>
            </w:pPr>
            <w:r w:rsidRPr="002E6A4D">
              <w:rPr>
                <w:sz w:val="20"/>
                <w:szCs w:val="20"/>
              </w:rPr>
              <w:t>Variable label</w:t>
            </w:r>
          </w:p>
        </w:tc>
        <w:tc>
          <w:tcPr>
            <w:tcW w:w="1984" w:type="dxa"/>
          </w:tcPr>
          <w:p w:rsidR="00343139" w:rsidRPr="002E6A4D" w:rsidRDefault="00343139" w:rsidP="007B5C5A">
            <w:pPr>
              <w:spacing w:beforeLines="40" w:before="96"/>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Range</w:t>
            </w:r>
          </w:p>
        </w:tc>
        <w:tc>
          <w:tcPr>
            <w:tcW w:w="1395" w:type="dxa"/>
          </w:tcPr>
          <w:p w:rsidR="00343139" w:rsidRDefault="00343139" w:rsidP="007B5C5A">
            <w:pPr>
              <w:spacing w:beforeLines="40" w:before="96"/>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Coverage</w:t>
            </w:r>
          </w:p>
        </w:tc>
      </w:tr>
      <w:tr w:rsidR="00343139" w:rsidRPr="002E6A4D" w:rsidTr="006B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tcPr>
          <w:p w:rsidR="00343139" w:rsidRPr="00ED0D20" w:rsidRDefault="00343139" w:rsidP="007B5C5A">
            <w:pPr>
              <w:spacing w:beforeLines="40" w:before="96"/>
              <w:rPr>
                <w:sz w:val="18"/>
                <w:szCs w:val="18"/>
              </w:rPr>
            </w:pPr>
            <w:r w:rsidRPr="00ED0D20">
              <w:rPr>
                <w:sz w:val="18"/>
                <w:szCs w:val="18"/>
              </w:rPr>
              <w:t>malepar</w:t>
            </w:r>
          </w:p>
        </w:tc>
        <w:tc>
          <w:tcPr>
            <w:tcW w:w="4527" w:type="dxa"/>
          </w:tcPr>
          <w:p w:rsidR="00343139" w:rsidRDefault="00343139" w:rsidP="007B5C5A">
            <w:pPr>
              <w:spacing w:beforeLines="40" w:before="96"/>
              <w:cnfStyle w:val="000000100000" w:firstRow="0" w:lastRow="0" w:firstColumn="0" w:lastColumn="0" w:oddVBand="0" w:evenVBand="0" w:oddHBand="1" w:evenHBand="0" w:firstRowFirstColumn="0" w:firstRowLastColumn="0" w:lastRowFirstColumn="0" w:lastRowLastColumn="0"/>
              <w:rPr>
                <w:b/>
                <w:sz w:val="18"/>
                <w:szCs w:val="18"/>
              </w:rPr>
            </w:pPr>
            <w:r w:rsidRPr="00FF0AA5">
              <w:rPr>
                <w:b/>
                <w:sz w:val="18"/>
                <w:szCs w:val="18"/>
              </w:rPr>
              <w:t>Male labour force participation</w:t>
            </w:r>
          </w:p>
          <w:p w:rsidR="00FF0AA5" w:rsidRDefault="00FF0AA5" w:rsidP="007B5C5A">
            <w:pPr>
              <w:spacing w:beforeLines="40" w:before="96"/>
              <w:cnfStyle w:val="000000100000" w:firstRow="0" w:lastRow="0" w:firstColumn="0" w:lastColumn="0" w:oddVBand="0" w:evenVBand="0" w:oddHBand="1" w:evenHBand="0" w:firstRowFirstColumn="0" w:firstRowLastColumn="0" w:lastRowFirstColumn="0" w:lastRowLastColumn="0"/>
              <w:rPr>
                <w:b/>
                <w:sz w:val="18"/>
                <w:szCs w:val="18"/>
              </w:rPr>
            </w:pPr>
          </w:p>
          <w:p w:rsidR="00FF0AA5" w:rsidRPr="00FF0AA5" w:rsidRDefault="00FF0AA5"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Source: OECD. Male labour force participation rate (age 15-64).</w:t>
            </w:r>
          </w:p>
        </w:tc>
        <w:tc>
          <w:tcPr>
            <w:tcW w:w="1984" w:type="dxa"/>
          </w:tcPr>
          <w:p w:rsidR="00343139" w:rsidRPr="00ED0D20" w:rsidRDefault="00343139"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w:t>
            </w:r>
          </w:p>
        </w:tc>
        <w:tc>
          <w:tcPr>
            <w:tcW w:w="1395" w:type="dxa"/>
          </w:tcPr>
          <w:p w:rsidR="00343139" w:rsidRPr="00ED0D20" w:rsidRDefault="00343139"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1970-2014</w:t>
            </w:r>
          </w:p>
        </w:tc>
      </w:tr>
      <w:tr w:rsidR="00343139" w:rsidRPr="002E6A4D" w:rsidTr="006B7EC0">
        <w:tc>
          <w:tcPr>
            <w:cnfStyle w:val="001000000000" w:firstRow="0" w:lastRow="0" w:firstColumn="1" w:lastColumn="0" w:oddVBand="0" w:evenVBand="0" w:oddHBand="0" w:evenHBand="0" w:firstRowFirstColumn="0" w:firstRowLastColumn="0" w:lastRowFirstColumn="0" w:lastRowLastColumn="0"/>
            <w:tcW w:w="1110" w:type="dxa"/>
          </w:tcPr>
          <w:p w:rsidR="00343139" w:rsidRPr="00ED0D20" w:rsidRDefault="00343139" w:rsidP="007B5C5A">
            <w:pPr>
              <w:spacing w:beforeLines="40" w:before="96"/>
              <w:rPr>
                <w:sz w:val="18"/>
                <w:szCs w:val="18"/>
              </w:rPr>
            </w:pPr>
            <w:r w:rsidRPr="00ED0D20">
              <w:rPr>
                <w:sz w:val="18"/>
                <w:szCs w:val="18"/>
              </w:rPr>
              <w:t>fempar</w:t>
            </w:r>
          </w:p>
        </w:tc>
        <w:tc>
          <w:tcPr>
            <w:tcW w:w="4527" w:type="dxa"/>
          </w:tcPr>
          <w:p w:rsidR="00343139" w:rsidRDefault="00343139" w:rsidP="007B5C5A">
            <w:pPr>
              <w:spacing w:beforeLines="40" w:before="96"/>
              <w:cnfStyle w:val="000000000000" w:firstRow="0" w:lastRow="0" w:firstColumn="0" w:lastColumn="0" w:oddVBand="0" w:evenVBand="0" w:oddHBand="0" w:evenHBand="0" w:firstRowFirstColumn="0" w:firstRowLastColumn="0" w:lastRowFirstColumn="0" w:lastRowLastColumn="0"/>
              <w:rPr>
                <w:b/>
                <w:sz w:val="18"/>
                <w:szCs w:val="18"/>
              </w:rPr>
            </w:pPr>
            <w:r w:rsidRPr="00FF0AA5">
              <w:rPr>
                <w:b/>
                <w:sz w:val="18"/>
                <w:szCs w:val="18"/>
              </w:rPr>
              <w:t>Female labour force participation</w:t>
            </w:r>
          </w:p>
          <w:p w:rsidR="00FF0AA5" w:rsidRDefault="00FF0AA5" w:rsidP="007B5C5A">
            <w:pPr>
              <w:spacing w:beforeLines="40" w:before="96"/>
              <w:cnfStyle w:val="000000000000" w:firstRow="0" w:lastRow="0" w:firstColumn="0" w:lastColumn="0" w:oddVBand="0" w:evenVBand="0" w:oddHBand="0" w:evenHBand="0" w:firstRowFirstColumn="0" w:firstRowLastColumn="0" w:lastRowFirstColumn="0" w:lastRowLastColumn="0"/>
              <w:rPr>
                <w:b/>
                <w:sz w:val="18"/>
                <w:szCs w:val="18"/>
              </w:rPr>
            </w:pPr>
          </w:p>
          <w:p w:rsidR="00FF0AA5" w:rsidRPr="00FF0AA5" w:rsidRDefault="00FF0AA5" w:rsidP="007B5C5A">
            <w:pPr>
              <w:spacing w:beforeLines="40" w:before="96"/>
              <w:cnfStyle w:val="000000000000" w:firstRow="0" w:lastRow="0" w:firstColumn="0" w:lastColumn="0" w:oddVBand="0" w:evenVBand="0" w:oddHBand="0" w:evenHBand="0" w:firstRowFirstColumn="0" w:firstRowLastColumn="0" w:lastRowFirstColumn="0" w:lastRowLastColumn="0"/>
              <w:rPr>
                <w:b/>
                <w:sz w:val="18"/>
                <w:szCs w:val="18"/>
              </w:rPr>
            </w:pPr>
            <w:r>
              <w:rPr>
                <w:sz w:val="18"/>
                <w:szCs w:val="18"/>
              </w:rPr>
              <w:t>Source: OECD. Female labour force participation rate (age 15-64).</w:t>
            </w:r>
          </w:p>
        </w:tc>
        <w:tc>
          <w:tcPr>
            <w:tcW w:w="1984" w:type="dxa"/>
          </w:tcPr>
          <w:p w:rsidR="00343139" w:rsidRPr="00ED0D20" w:rsidRDefault="00343139" w:rsidP="007B5C5A">
            <w:pPr>
              <w:spacing w:beforeLines="40" w:before="96"/>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w:t>
            </w:r>
          </w:p>
        </w:tc>
        <w:tc>
          <w:tcPr>
            <w:tcW w:w="1395" w:type="dxa"/>
          </w:tcPr>
          <w:p w:rsidR="00343139" w:rsidRPr="00ED0D20" w:rsidRDefault="00343139" w:rsidP="007B5C5A">
            <w:pPr>
              <w:spacing w:beforeLines="40" w:before="96"/>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1970-2014</w:t>
            </w:r>
          </w:p>
        </w:tc>
      </w:tr>
      <w:tr w:rsidR="00343139" w:rsidRPr="002E6A4D" w:rsidTr="006B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tcPr>
          <w:p w:rsidR="00343139" w:rsidRPr="00ED0D20" w:rsidRDefault="00343139" w:rsidP="007B5C5A">
            <w:pPr>
              <w:spacing w:beforeLines="40" w:before="96"/>
              <w:rPr>
                <w:sz w:val="18"/>
                <w:szCs w:val="18"/>
              </w:rPr>
            </w:pPr>
            <w:r w:rsidRPr="00ED0D20">
              <w:rPr>
                <w:sz w:val="18"/>
                <w:szCs w:val="18"/>
              </w:rPr>
              <w:t>tereduc</w:t>
            </w:r>
          </w:p>
        </w:tc>
        <w:tc>
          <w:tcPr>
            <w:tcW w:w="4527" w:type="dxa"/>
          </w:tcPr>
          <w:p w:rsidR="00343139" w:rsidRDefault="00343139" w:rsidP="007B5C5A">
            <w:pPr>
              <w:spacing w:beforeLines="40" w:before="96"/>
              <w:cnfStyle w:val="000000100000" w:firstRow="0" w:lastRow="0" w:firstColumn="0" w:lastColumn="0" w:oddVBand="0" w:evenVBand="0" w:oddHBand="1" w:evenHBand="0" w:firstRowFirstColumn="0" w:firstRowLastColumn="0" w:lastRowFirstColumn="0" w:lastRowLastColumn="0"/>
              <w:rPr>
                <w:b/>
                <w:sz w:val="18"/>
                <w:szCs w:val="18"/>
              </w:rPr>
            </w:pPr>
            <w:r w:rsidRPr="00FF0AA5">
              <w:rPr>
                <w:b/>
                <w:sz w:val="18"/>
                <w:szCs w:val="18"/>
              </w:rPr>
              <w:t>Educational attainment (share of population with tertiary education, 25-64 year-old population)</w:t>
            </w:r>
          </w:p>
          <w:p w:rsidR="005556A3" w:rsidRDefault="005556A3" w:rsidP="007B5C5A">
            <w:pPr>
              <w:spacing w:beforeLines="40" w:before="96"/>
              <w:cnfStyle w:val="000000100000" w:firstRow="0" w:lastRow="0" w:firstColumn="0" w:lastColumn="0" w:oddVBand="0" w:evenVBand="0" w:oddHBand="1" w:evenHBand="0" w:firstRowFirstColumn="0" w:firstRowLastColumn="0" w:lastRowFirstColumn="0" w:lastRowLastColumn="0"/>
              <w:rPr>
                <w:b/>
                <w:sz w:val="18"/>
                <w:szCs w:val="18"/>
              </w:rPr>
            </w:pPr>
          </w:p>
          <w:p w:rsidR="005556A3" w:rsidRPr="005556A3" w:rsidRDefault="005556A3"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Source: OECD. Share of the population with tertiary education, 25-64 year-old population</w:t>
            </w:r>
            <w:r w:rsidR="006B7EC0">
              <w:rPr>
                <w:sz w:val="18"/>
                <w:szCs w:val="18"/>
              </w:rPr>
              <w:t>.</w:t>
            </w:r>
          </w:p>
        </w:tc>
        <w:tc>
          <w:tcPr>
            <w:tcW w:w="1984" w:type="dxa"/>
          </w:tcPr>
          <w:p w:rsidR="00343139" w:rsidRPr="00ED0D20" w:rsidRDefault="00343139"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w:t>
            </w:r>
          </w:p>
        </w:tc>
        <w:tc>
          <w:tcPr>
            <w:tcW w:w="1395" w:type="dxa"/>
          </w:tcPr>
          <w:p w:rsidR="00343139" w:rsidRPr="00ED0D20" w:rsidRDefault="00343139"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2000; 2005; 2010; 2013; 2014</w:t>
            </w:r>
          </w:p>
        </w:tc>
      </w:tr>
      <w:tr w:rsidR="00343139" w:rsidRPr="002E6A4D" w:rsidTr="006B7EC0">
        <w:tc>
          <w:tcPr>
            <w:cnfStyle w:val="001000000000" w:firstRow="0" w:lastRow="0" w:firstColumn="1" w:lastColumn="0" w:oddVBand="0" w:evenVBand="0" w:oddHBand="0" w:evenHBand="0" w:firstRowFirstColumn="0" w:firstRowLastColumn="0" w:lastRowFirstColumn="0" w:lastRowLastColumn="0"/>
            <w:tcW w:w="1110" w:type="dxa"/>
          </w:tcPr>
          <w:p w:rsidR="00343139" w:rsidRPr="00ED0D20" w:rsidRDefault="00343139" w:rsidP="007B5C5A">
            <w:pPr>
              <w:spacing w:beforeLines="40" w:before="96"/>
              <w:rPr>
                <w:sz w:val="18"/>
                <w:szCs w:val="18"/>
              </w:rPr>
            </w:pPr>
            <w:r w:rsidRPr="00ED0D20">
              <w:rPr>
                <w:sz w:val="18"/>
                <w:szCs w:val="18"/>
              </w:rPr>
              <w:t>ethfrac</w:t>
            </w:r>
          </w:p>
        </w:tc>
        <w:tc>
          <w:tcPr>
            <w:tcW w:w="4527" w:type="dxa"/>
          </w:tcPr>
          <w:p w:rsidR="00343139" w:rsidRDefault="00343139" w:rsidP="007B5C5A">
            <w:pPr>
              <w:spacing w:beforeLines="40" w:before="96"/>
              <w:cnfStyle w:val="000000000000" w:firstRow="0" w:lastRow="0" w:firstColumn="0" w:lastColumn="0" w:oddVBand="0" w:evenVBand="0" w:oddHBand="0" w:evenHBand="0" w:firstRowFirstColumn="0" w:firstRowLastColumn="0" w:lastRowFirstColumn="0" w:lastRowLastColumn="0"/>
              <w:rPr>
                <w:b/>
                <w:sz w:val="18"/>
                <w:szCs w:val="18"/>
              </w:rPr>
            </w:pPr>
            <w:r w:rsidRPr="00FF0AA5">
              <w:rPr>
                <w:b/>
                <w:sz w:val="18"/>
                <w:szCs w:val="18"/>
              </w:rPr>
              <w:t>Ethnic fractionalization index</w:t>
            </w:r>
          </w:p>
          <w:p w:rsidR="006B7EC0" w:rsidRDefault="006B7EC0" w:rsidP="007B5C5A">
            <w:pPr>
              <w:spacing w:beforeLines="40" w:before="96"/>
              <w:cnfStyle w:val="000000000000" w:firstRow="0" w:lastRow="0" w:firstColumn="0" w:lastColumn="0" w:oddVBand="0" w:evenVBand="0" w:oddHBand="0" w:evenHBand="0" w:firstRowFirstColumn="0" w:firstRowLastColumn="0" w:lastRowFirstColumn="0" w:lastRowLastColumn="0"/>
              <w:rPr>
                <w:b/>
                <w:sz w:val="18"/>
                <w:szCs w:val="18"/>
              </w:rPr>
            </w:pPr>
          </w:p>
          <w:p w:rsidR="006B7EC0" w:rsidRPr="006B7EC0" w:rsidRDefault="006B7EC0" w:rsidP="007B5C5A">
            <w:pPr>
              <w:spacing w:beforeLines="40" w:before="96"/>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Source: Fearon (2003). </w:t>
            </w:r>
          </w:p>
          <w:p w:rsidR="006B7EC0" w:rsidRPr="006B7EC0" w:rsidRDefault="006B7EC0" w:rsidP="006B7EC0">
            <w:pPr>
              <w:spacing w:beforeLines="40" w:before="96"/>
              <w:cnfStyle w:val="000000000000" w:firstRow="0" w:lastRow="0" w:firstColumn="0" w:lastColumn="0" w:oddVBand="0" w:evenVBand="0" w:oddHBand="0" w:evenHBand="0" w:firstRowFirstColumn="0" w:firstRowLastColumn="0" w:lastRowFirstColumn="0" w:lastRowLastColumn="0"/>
              <w:rPr>
                <w:sz w:val="18"/>
                <w:szCs w:val="18"/>
              </w:rPr>
            </w:pPr>
            <w:r w:rsidRPr="006B7EC0">
              <w:rPr>
                <w:sz w:val="18"/>
                <w:szCs w:val="18"/>
              </w:rPr>
              <w:t>Fearon (2003: 208):  Fractionalization is "defined as the probability that two individuals selected at random from a country will b</w:t>
            </w:r>
            <w:r w:rsidR="000F4590">
              <w:rPr>
                <w:sz w:val="18"/>
                <w:szCs w:val="18"/>
              </w:rPr>
              <w:t>e from different ethnic groups"</w:t>
            </w:r>
            <w:r>
              <w:rPr>
                <w:rStyle w:val="FootnoteReference"/>
                <w:sz w:val="18"/>
                <w:szCs w:val="18"/>
              </w:rPr>
              <w:footnoteReference w:id="26"/>
            </w:r>
            <w:r w:rsidRPr="006B7EC0">
              <w:rPr>
                <w:sz w:val="18"/>
                <w:szCs w:val="18"/>
              </w:rPr>
              <w:t xml:space="preserve">. </w:t>
            </w:r>
          </w:p>
          <w:p w:rsidR="006B7EC0" w:rsidRPr="006B7EC0" w:rsidRDefault="006B7EC0" w:rsidP="007B5C5A">
            <w:pPr>
              <w:spacing w:beforeLines="40" w:before="96"/>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rsidR="00343139" w:rsidRPr="00ED0D20" w:rsidRDefault="00343139" w:rsidP="007B5C5A">
            <w:pPr>
              <w:spacing w:beforeLines="40" w:before="96"/>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0 – 1 (fractionalization)</w:t>
            </w:r>
          </w:p>
        </w:tc>
        <w:tc>
          <w:tcPr>
            <w:tcW w:w="1395" w:type="dxa"/>
          </w:tcPr>
          <w:p w:rsidR="00343139" w:rsidRPr="00ED0D20" w:rsidRDefault="00343139" w:rsidP="007B5C5A">
            <w:pPr>
              <w:spacing w:beforeLines="40" w:before="96"/>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2003</w:t>
            </w:r>
          </w:p>
        </w:tc>
      </w:tr>
      <w:tr w:rsidR="00343139" w:rsidRPr="002E6A4D" w:rsidTr="006B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tcPr>
          <w:p w:rsidR="00343139" w:rsidRPr="00ED0D20" w:rsidRDefault="00343139" w:rsidP="007B5C5A">
            <w:pPr>
              <w:spacing w:beforeLines="40" w:before="96"/>
              <w:rPr>
                <w:sz w:val="18"/>
                <w:szCs w:val="18"/>
              </w:rPr>
            </w:pPr>
            <w:r w:rsidRPr="00ED0D20">
              <w:rPr>
                <w:sz w:val="18"/>
                <w:szCs w:val="18"/>
              </w:rPr>
              <w:t>cultfrac</w:t>
            </w:r>
          </w:p>
        </w:tc>
        <w:tc>
          <w:tcPr>
            <w:tcW w:w="4527" w:type="dxa"/>
          </w:tcPr>
          <w:p w:rsidR="00343139" w:rsidRDefault="00343139" w:rsidP="007B5C5A">
            <w:pPr>
              <w:spacing w:beforeLines="40" w:before="96"/>
              <w:cnfStyle w:val="000000100000" w:firstRow="0" w:lastRow="0" w:firstColumn="0" w:lastColumn="0" w:oddVBand="0" w:evenVBand="0" w:oddHBand="1" w:evenHBand="0" w:firstRowFirstColumn="0" w:firstRowLastColumn="0" w:lastRowFirstColumn="0" w:lastRowLastColumn="0"/>
              <w:rPr>
                <w:b/>
                <w:sz w:val="18"/>
                <w:szCs w:val="18"/>
              </w:rPr>
            </w:pPr>
            <w:r w:rsidRPr="00FF0AA5">
              <w:rPr>
                <w:b/>
                <w:sz w:val="18"/>
                <w:szCs w:val="18"/>
              </w:rPr>
              <w:t>Cultural fractionalization index</w:t>
            </w:r>
          </w:p>
          <w:p w:rsidR="006B7EC0" w:rsidRDefault="006B7EC0" w:rsidP="007B5C5A">
            <w:pPr>
              <w:spacing w:beforeLines="40" w:before="96"/>
              <w:cnfStyle w:val="000000100000" w:firstRow="0" w:lastRow="0" w:firstColumn="0" w:lastColumn="0" w:oddVBand="0" w:evenVBand="0" w:oddHBand="1" w:evenHBand="0" w:firstRowFirstColumn="0" w:firstRowLastColumn="0" w:lastRowFirstColumn="0" w:lastRowLastColumn="0"/>
              <w:rPr>
                <w:b/>
                <w:sz w:val="18"/>
                <w:szCs w:val="18"/>
              </w:rPr>
            </w:pPr>
          </w:p>
          <w:p w:rsidR="000F4590" w:rsidRDefault="006B7EC0"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Source: Fearon (2003)</w:t>
            </w:r>
            <w:r>
              <w:rPr>
                <w:rStyle w:val="FootnoteReference"/>
                <w:sz w:val="18"/>
                <w:szCs w:val="18"/>
              </w:rPr>
              <w:t xml:space="preserve"> </w:t>
            </w:r>
            <w:r>
              <w:rPr>
                <w:rStyle w:val="FootnoteReference"/>
                <w:sz w:val="18"/>
                <w:szCs w:val="18"/>
              </w:rPr>
              <w:footnoteReference w:id="27"/>
            </w:r>
            <w:r>
              <w:rPr>
                <w:sz w:val="18"/>
                <w:szCs w:val="18"/>
              </w:rPr>
              <w:t xml:space="preserve">. </w:t>
            </w:r>
          </w:p>
          <w:p w:rsidR="006B7EC0" w:rsidRDefault="000F4590"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sidRPr="006B7EC0">
              <w:rPr>
                <w:sz w:val="18"/>
                <w:szCs w:val="18"/>
              </w:rPr>
              <w:t>Fearon (2003: 195): "uses the structural distance between languages as a proxy for the distance betw</w:t>
            </w:r>
            <w:r>
              <w:rPr>
                <w:sz w:val="18"/>
                <w:szCs w:val="18"/>
              </w:rPr>
              <w:t>een groups in a country".</w:t>
            </w:r>
          </w:p>
          <w:p w:rsidR="006B7EC0" w:rsidRPr="006B7EC0" w:rsidRDefault="006B7EC0"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p>
        </w:tc>
        <w:tc>
          <w:tcPr>
            <w:tcW w:w="1984" w:type="dxa"/>
          </w:tcPr>
          <w:p w:rsidR="00343139" w:rsidRPr="00ED0D20" w:rsidRDefault="00343139"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0 – 1 (fractionalization)</w:t>
            </w:r>
          </w:p>
        </w:tc>
        <w:tc>
          <w:tcPr>
            <w:tcW w:w="1395" w:type="dxa"/>
          </w:tcPr>
          <w:p w:rsidR="00343139" w:rsidRPr="00ED0D20" w:rsidRDefault="00343139"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2003</w:t>
            </w:r>
          </w:p>
        </w:tc>
      </w:tr>
      <w:tr w:rsidR="00343139" w:rsidRPr="002E6A4D" w:rsidTr="006B7EC0">
        <w:tc>
          <w:tcPr>
            <w:cnfStyle w:val="001000000000" w:firstRow="0" w:lastRow="0" w:firstColumn="1" w:lastColumn="0" w:oddVBand="0" w:evenVBand="0" w:oddHBand="0" w:evenHBand="0" w:firstRowFirstColumn="0" w:firstRowLastColumn="0" w:lastRowFirstColumn="0" w:lastRowLastColumn="0"/>
            <w:tcW w:w="1110" w:type="dxa"/>
          </w:tcPr>
          <w:p w:rsidR="00343139" w:rsidRPr="00ED0D20" w:rsidRDefault="00343139" w:rsidP="007B5C5A">
            <w:pPr>
              <w:spacing w:beforeLines="40" w:before="96"/>
              <w:rPr>
                <w:sz w:val="18"/>
                <w:szCs w:val="18"/>
              </w:rPr>
            </w:pPr>
            <w:r w:rsidRPr="00ED0D20">
              <w:rPr>
                <w:sz w:val="18"/>
                <w:szCs w:val="18"/>
              </w:rPr>
              <w:t>expeduc</w:t>
            </w:r>
          </w:p>
        </w:tc>
        <w:tc>
          <w:tcPr>
            <w:tcW w:w="4527" w:type="dxa"/>
          </w:tcPr>
          <w:p w:rsidR="00343139" w:rsidRDefault="00343139" w:rsidP="007B5C5A">
            <w:pPr>
              <w:spacing w:beforeLines="40" w:before="96"/>
              <w:cnfStyle w:val="000000000000" w:firstRow="0" w:lastRow="0" w:firstColumn="0" w:lastColumn="0" w:oddVBand="0" w:evenVBand="0" w:oddHBand="0" w:evenHBand="0" w:firstRowFirstColumn="0" w:firstRowLastColumn="0" w:lastRowFirstColumn="0" w:lastRowLastColumn="0"/>
              <w:rPr>
                <w:b/>
                <w:sz w:val="18"/>
                <w:szCs w:val="18"/>
              </w:rPr>
            </w:pPr>
            <w:r w:rsidRPr="00FF0AA5">
              <w:rPr>
                <w:b/>
                <w:sz w:val="18"/>
                <w:szCs w:val="18"/>
              </w:rPr>
              <w:t>Expenditure in education as % of total government expenditure</w:t>
            </w:r>
          </w:p>
          <w:p w:rsidR="00FA38C6" w:rsidRDefault="00FA38C6" w:rsidP="007B5C5A">
            <w:pPr>
              <w:spacing w:beforeLines="40" w:before="96"/>
              <w:cnfStyle w:val="000000000000" w:firstRow="0" w:lastRow="0" w:firstColumn="0" w:lastColumn="0" w:oddVBand="0" w:evenVBand="0" w:oddHBand="0" w:evenHBand="0" w:firstRowFirstColumn="0" w:firstRowLastColumn="0" w:lastRowFirstColumn="0" w:lastRowLastColumn="0"/>
              <w:rPr>
                <w:b/>
                <w:sz w:val="18"/>
                <w:szCs w:val="18"/>
              </w:rPr>
            </w:pPr>
          </w:p>
          <w:p w:rsidR="00FA38C6" w:rsidRPr="00FA38C6" w:rsidRDefault="00FA38C6" w:rsidP="007B5C5A">
            <w:pPr>
              <w:spacing w:beforeLines="40" w:before="96"/>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Source: World Bank/ UNESCO. “</w:t>
            </w:r>
            <w:r w:rsidRPr="00FA38C6">
              <w:rPr>
                <w:sz w:val="18"/>
                <w:szCs w:val="18"/>
              </w:rPr>
              <w:t>"Public education expenditure includes spending by local/municipal, regional and national governments (excluding household contributions) on educational institutions (both public and private), education administration, and subsidies for private entities (students/households and other privates entities)"</w:t>
            </w:r>
            <w:r>
              <w:rPr>
                <w:rStyle w:val="FootnoteReference"/>
                <w:sz w:val="18"/>
                <w:szCs w:val="18"/>
              </w:rPr>
              <w:footnoteReference w:id="28"/>
            </w:r>
            <w:r w:rsidRPr="00FA38C6">
              <w:rPr>
                <w:sz w:val="18"/>
                <w:szCs w:val="18"/>
              </w:rPr>
              <w:t>.</w:t>
            </w:r>
          </w:p>
        </w:tc>
        <w:tc>
          <w:tcPr>
            <w:tcW w:w="1984" w:type="dxa"/>
          </w:tcPr>
          <w:p w:rsidR="00343139" w:rsidRPr="00ED0D20" w:rsidRDefault="00343139" w:rsidP="007B5C5A">
            <w:pPr>
              <w:spacing w:beforeLines="40" w:before="96"/>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w:t>
            </w:r>
          </w:p>
        </w:tc>
        <w:tc>
          <w:tcPr>
            <w:tcW w:w="1395" w:type="dxa"/>
          </w:tcPr>
          <w:p w:rsidR="00343139" w:rsidRPr="00ED0D20" w:rsidRDefault="00343139" w:rsidP="007B5C5A">
            <w:pPr>
              <w:spacing w:beforeLines="40" w:before="96"/>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2000-2012</w:t>
            </w:r>
          </w:p>
        </w:tc>
      </w:tr>
      <w:tr w:rsidR="00343139" w:rsidRPr="002E6A4D" w:rsidTr="006B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tcPr>
          <w:p w:rsidR="00343139" w:rsidRPr="00ED0D20" w:rsidRDefault="00343139" w:rsidP="007B5C5A">
            <w:pPr>
              <w:spacing w:beforeLines="40" w:before="96"/>
              <w:rPr>
                <w:sz w:val="18"/>
                <w:szCs w:val="18"/>
              </w:rPr>
            </w:pPr>
            <w:r w:rsidRPr="00ED0D20">
              <w:rPr>
                <w:sz w:val="18"/>
                <w:szCs w:val="18"/>
              </w:rPr>
              <w:t>renew</w:t>
            </w:r>
          </w:p>
        </w:tc>
        <w:tc>
          <w:tcPr>
            <w:tcW w:w="4527" w:type="dxa"/>
          </w:tcPr>
          <w:p w:rsidR="00343139" w:rsidRDefault="00343139" w:rsidP="007B5C5A">
            <w:pPr>
              <w:spacing w:beforeLines="40" w:before="96"/>
              <w:cnfStyle w:val="000000100000" w:firstRow="0" w:lastRow="0" w:firstColumn="0" w:lastColumn="0" w:oddVBand="0" w:evenVBand="0" w:oddHBand="1" w:evenHBand="0" w:firstRowFirstColumn="0" w:firstRowLastColumn="0" w:lastRowFirstColumn="0" w:lastRowLastColumn="0"/>
              <w:rPr>
                <w:b/>
                <w:sz w:val="18"/>
                <w:szCs w:val="18"/>
              </w:rPr>
            </w:pPr>
            <w:r w:rsidRPr="00FF0AA5">
              <w:rPr>
                <w:b/>
                <w:sz w:val="18"/>
                <w:szCs w:val="18"/>
              </w:rPr>
              <w:t>Contribution of renewables to energy supply</w:t>
            </w:r>
          </w:p>
          <w:p w:rsidR="00F8712D" w:rsidRDefault="00F8712D" w:rsidP="007B5C5A">
            <w:pPr>
              <w:spacing w:beforeLines="40" w:before="96"/>
              <w:cnfStyle w:val="000000100000" w:firstRow="0" w:lastRow="0" w:firstColumn="0" w:lastColumn="0" w:oddVBand="0" w:evenVBand="0" w:oddHBand="1" w:evenHBand="0" w:firstRowFirstColumn="0" w:firstRowLastColumn="0" w:lastRowFirstColumn="0" w:lastRowLastColumn="0"/>
              <w:rPr>
                <w:b/>
                <w:sz w:val="18"/>
                <w:szCs w:val="18"/>
              </w:rPr>
            </w:pPr>
          </w:p>
          <w:p w:rsidR="00F8712D" w:rsidRPr="00F8712D" w:rsidRDefault="00F8712D"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Source: OECD. “</w:t>
            </w:r>
            <w:r w:rsidRPr="00F8712D">
              <w:rPr>
                <w:sz w:val="18"/>
                <w:szCs w:val="18"/>
              </w:rPr>
              <w:t>Renewable energy is defined as the contribution of renewables to total primary energy supply (TPES). Renewables include the primary energy equivalent of hydro (excluding pumped storage), geothermal, sol</w:t>
            </w:r>
            <w:r w:rsidR="00276FE0">
              <w:rPr>
                <w:sz w:val="18"/>
                <w:szCs w:val="18"/>
              </w:rPr>
              <w:t>ar, wind, tide and wave sources”</w:t>
            </w:r>
            <w:r>
              <w:rPr>
                <w:rStyle w:val="FootnoteReference"/>
                <w:sz w:val="18"/>
                <w:szCs w:val="18"/>
              </w:rPr>
              <w:footnoteReference w:id="29"/>
            </w:r>
            <w:r w:rsidR="00276FE0">
              <w:rPr>
                <w:sz w:val="18"/>
                <w:szCs w:val="18"/>
              </w:rPr>
              <w:t>.</w:t>
            </w:r>
          </w:p>
        </w:tc>
        <w:tc>
          <w:tcPr>
            <w:tcW w:w="1984" w:type="dxa"/>
          </w:tcPr>
          <w:p w:rsidR="00343139" w:rsidRPr="00ED0D20" w:rsidRDefault="00343139"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w:t>
            </w:r>
          </w:p>
        </w:tc>
        <w:tc>
          <w:tcPr>
            <w:tcW w:w="1395" w:type="dxa"/>
          </w:tcPr>
          <w:p w:rsidR="00343139" w:rsidRPr="00ED0D20" w:rsidRDefault="00343139"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1971; 1990; 2002-2012</w:t>
            </w:r>
          </w:p>
        </w:tc>
      </w:tr>
      <w:tr w:rsidR="00343139" w:rsidRPr="002E6A4D" w:rsidTr="006B7EC0">
        <w:tc>
          <w:tcPr>
            <w:cnfStyle w:val="001000000000" w:firstRow="0" w:lastRow="0" w:firstColumn="1" w:lastColumn="0" w:oddVBand="0" w:evenVBand="0" w:oddHBand="0" w:evenHBand="0" w:firstRowFirstColumn="0" w:firstRowLastColumn="0" w:lastRowFirstColumn="0" w:lastRowLastColumn="0"/>
            <w:tcW w:w="1110" w:type="dxa"/>
          </w:tcPr>
          <w:p w:rsidR="00343139" w:rsidRPr="00ED0D20" w:rsidRDefault="00343139" w:rsidP="007B5C5A">
            <w:pPr>
              <w:spacing w:beforeLines="40" w:before="96"/>
              <w:rPr>
                <w:sz w:val="18"/>
                <w:szCs w:val="18"/>
              </w:rPr>
            </w:pPr>
            <w:r w:rsidRPr="00ED0D20">
              <w:rPr>
                <w:sz w:val="18"/>
                <w:szCs w:val="18"/>
              </w:rPr>
              <w:t>womparl</w:t>
            </w:r>
          </w:p>
        </w:tc>
        <w:tc>
          <w:tcPr>
            <w:tcW w:w="4527" w:type="dxa"/>
          </w:tcPr>
          <w:p w:rsidR="00343139" w:rsidRDefault="00343139" w:rsidP="007B5C5A">
            <w:pPr>
              <w:spacing w:beforeLines="40" w:before="96"/>
              <w:cnfStyle w:val="000000000000" w:firstRow="0" w:lastRow="0" w:firstColumn="0" w:lastColumn="0" w:oddVBand="0" w:evenVBand="0" w:oddHBand="0" w:evenHBand="0" w:firstRowFirstColumn="0" w:firstRowLastColumn="0" w:lastRowFirstColumn="0" w:lastRowLastColumn="0"/>
              <w:rPr>
                <w:b/>
                <w:sz w:val="18"/>
                <w:szCs w:val="18"/>
              </w:rPr>
            </w:pPr>
            <w:r w:rsidRPr="00FF0AA5">
              <w:rPr>
                <w:b/>
                <w:sz w:val="18"/>
                <w:szCs w:val="18"/>
              </w:rPr>
              <w:t>Proportion of seats held by women in national parliaments</w:t>
            </w:r>
          </w:p>
          <w:p w:rsidR="00E95726" w:rsidRDefault="00E95726" w:rsidP="007B5C5A">
            <w:pPr>
              <w:spacing w:beforeLines="40" w:before="96"/>
              <w:cnfStyle w:val="000000000000" w:firstRow="0" w:lastRow="0" w:firstColumn="0" w:lastColumn="0" w:oddVBand="0" w:evenVBand="0" w:oddHBand="0" w:evenHBand="0" w:firstRowFirstColumn="0" w:firstRowLastColumn="0" w:lastRowFirstColumn="0" w:lastRowLastColumn="0"/>
              <w:rPr>
                <w:b/>
                <w:sz w:val="18"/>
                <w:szCs w:val="18"/>
              </w:rPr>
            </w:pPr>
          </w:p>
          <w:p w:rsidR="00E728C1" w:rsidRPr="00E728C1" w:rsidRDefault="00E95726" w:rsidP="00E728C1">
            <w:pPr>
              <w:spacing w:beforeLines="40" w:before="96"/>
              <w:cnfStyle w:val="000000000000" w:firstRow="0" w:lastRow="0" w:firstColumn="0" w:lastColumn="0" w:oddVBand="0" w:evenVBand="0" w:oddHBand="0" w:evenHBand="0" w:firstRowFirstColumn="0" w:firstRowLastColumn="0" w:lastRowFirstColumn="0" w:lastRowLastColumn="0"/>
              <w:rPr>
                <w:sz w:val="18"/>
                <w:szCs w:val="18"/>
              </w:rPr>
            </w:pPr>
            <w:r w:rsidRPr="00E95726">
              <w:rPr>
                <w:sz w:val="18"/>
                <w:szCs w:val="18"/>
              </w:rPr>
              <w:t xml:space="preserve">Source: </w:t>
            </w:r>
            <w:r w:rsidR="00E728C1" w:rsidRPr="00E728C1">
              <w:rPr>
                <w:sz w:val="18"/>
                <w:szCs w:val="18"/>
              </w:rPr>
              <w:t>World Bank/ Inter-Parliamentary Union</w:t>
            </w:r>
            <w:r w:rsidR="00E728C1">
              <w:rPr>
                <w:rStyle w:val="FootnoteReference"/>
                <w:sz w:val="18"/>
                <w:szCs w:val="18"/>
              </w:rPr>
              <w:footnoteReference w:id="30"/>
            </w:r>
            <w:r w:rsidR="00E728C1">
              <w:rPr>
                <w:sz w:val="18"/>
                <w:szCs w:val="18"/>
              </w:rPr>
              <w:t>.</w:t>
            </w:r>
          </w:p>
          <w:p w:rsidR="00E95726" w:rsidRPr="00E95726" w:rsidRDefault="00E95726" w:rsidP="007B5C5A">
            <w:pPr>
              <w:spacing w:beforeLines="40" w:before="96"/>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rsidR="00343139" w:rsidRPr="00ED0D20" w:rsidRDefault="00343139" w:rsidP="007B5C5A">
            <w:pPr>
              <w:spacing w:beforeLines="40" w:before="96"/>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w:t>
            </w:r>
          </w:p>
        </w:tc>
        <w:tc>
          <w:tcPr>
            <w:tcW w:w="1395" w:type="dxa"/>
          </w:tcPr>
          <w:p w:rsidR="00343139" w:rsidRPr="00ED0D20" w:rsidRDefault="00343139" w:rsidP="007B5C5A">
            <w:pPr>
              <w:spacing w:beforeLines="40" w:before="96"/>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2000-2015</w:t>
            </w:r>
          </w:p>
        </w:tc>
      </w:tr>
      <w:tr w:rsidR="00343139" w:rsidRPr="002E6A4D" w:rsidTr="006B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tcPr>
          <w:p w:rsidR="00343139" w:rsidRPr="00ED0D20" w:rsidRDefault="00343139" w:rsidP="007B5C5A">
            <w:pPr>
              <w:spacing w:beforeLines="40" w:before="96"/>
              <w:rPr>
                <w:sz w:val="18"/>
                <w:szCs w:val="18"/>
              </w:rPr>
            </w:pPr>
            <w:r w:rsidRPr="00ED0D20">
              <w:rPr>
                <w:sz w:val="18"/>
                <w:szCs w:val="18"/>
              </w:rPr>
              <w:t>hdi</w:t>
            </w:r>
          </w:p>
        </w:tc>
        <w:tc>
          <w:tcPr>
            <w:tcW w:w="4527" w:type="dxa"/>
          </w:tcPr>
          <w:p w:rsidR="00343139" w:rsidRDefault="00343139" w:rsidP="007B5C5A">
            <w:pPr>
              <w:spacing w:beforeLines="40" w:before="96"/>
              <w:cnfStyle w:val="000000100000" w:firstRow="0" w:lastRow="0" w:firstColumn="0" w:lastColumn="0" w:oddVBand="0" w:evenVBand="0" w:oddHBand="1" w:evenHBand="0" w:firstRowFirstColumn="0" w:firstRowLastColumn="0" w:lastRowFirstColumn="0" w:lastRowLastColumn="0"/>
              <w:rPr>
                <w:b/>
                <w:sz w:val="18"/>
                <w:szCs w:val="18"/>
              </w:rPr>
            </w:pPr>
            <w:r w:rsidRPr="00FF0AA5">
              <w:rPr>
                <w:b/>
                <w:sz w:val="18"/>
                <w:szCs w:val="18"/>
              </w:rPr>
              <w:t>Human development index</w:t>
            </w:r>
          </w:p>
          <w:p w:rsidR="00E728C1" w:rsidRDefault="00E728C1" w:rsidP="007B5C5A">
            <w:pPr>
              <w:spacing w:beforeLines="40" w:before="96"/>
              <w:cnfStyle w:val="000000100000" w:firstRow="0" w:lastRow="0" w:firstColumn="0" w:lastColumn="0" w:oddVBand="0" w:evenVBand="0" w:oddHBand="1" w:evenHBand="0" w:firstRowFirstColumn="0" w:firstRowLastColumn="0" w:lastRowFirstColumn="0" w:lastRowLastColumn="0"/>
              <w:rPr>
                <w:b/>
                <w:sz w:val="18"/>
                <w:szCs w:val="18"/>
              </w:rPr>
            </w:pPr>
          </w:p>
          <w:p w:rsidR="00E728C1" w:rsidRDefault="00E728C1"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sidRPr="00E728C1">
              <w:rPr>
                <w:sz w:val="18"/>
                <w:szCs w:val="18"/>
              </w:rPr>
              <w:t>Source:</w:t>
            </w:r>
            <w:r>
              <w:rPr>
                <w:sz w:val="18"/>
                <w:szCs w:val="18"/>
              </w:rPr>
              <w:t xml:space="preserve"> United Nations Development Programme. </w:t>
            </w:r>
            <w:r w:rsidR="0032435F">
              <w:rPr>
                <w:sz w:val="18"/>
                <w:szCs w:val="18"/>
              </w:rPr>
              <w:t>“</w:t>
            </w:r>
            <w:r w:rsidR="0032435F" w:rsidRPr="0032435F">
              <w:rPr>
                <w:sz w:val="18"/>
                <w:szCs w:val="18"/>
              </w:rPr>
              <w:t>The Human Development Index (HDI) is a summary measure of average achievement in key dimensions of human development: a long and healthy life, being knowledgeable and have a decent standard of living. The HDI is the geometric mean of normalized indices f</w:t>
            </w:r>
            <w:r w:rsidR="0032435F">
              <w:rPr>
                <w:sz w:val="18"/>
                <w:szCs w:val="18"/>
              </w:rPr>
              <w:t>or each of the three dimensions”</w:t>
            </w:r>
            <w:r>
              <w:rPr>
                <w:rStyle w:val="FootnoteReference"/>
                <w:sz w:val="18"/>
                <w:szCs w:val="18"/>
              </w:rPr>
              <w:footnoteReference w:id="31"/>
            </w:r>
            <w:r w:rsidR="0032435F">
              <w:rPr>
                <w:sz w:val="18"/>
                <w:szCs w:val="18"/>
              </w:rPr>
              <w:t>.</w:t>
            </w:r>
          </w:p>
          <w:p w:rsidR="009277A1" w:rsidRPr="00E728C1" w:rsidRDefault="009277A1"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p>
        </w:tc>
        <w:tc>
          <w:tcPr>
            <w:tcW w:w="1984" w:type="dxa"/>
          </w:tcPr>
          <w:p w:rsidR="00343139" w:rsidRPr="00ED0D20" w:rsidRDefault="00343139"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0 – 1</w:t>
            </w:r>
          </w:p>
        </w:tc>
        <w:tc>
          <w:tcPr>
            <w:tcW w:w="1395" w:type="dxa"/>
          </w:tcPr>
          <w:p w:rsidR="00343139" w:rsidRPr="00ED0D20" w:rsidRDefault="00343139"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1990; 2000; 2010; 2011-2014</w:t>
            </w:r>
          </w:p>
        </w:tc>
      </w:tr>
      <w:tr w:rsidR="00343139" w:rsidRPr="002E6A4D" w:rsidTr="006B7EC0">
        <w:tc>
          <w:tcPr>
            <w:cnfStyle w:val="001000000000" w:firstRow="0" w:lastRow="0" w:firstColumn="1" w:lastColumn="0" w:oddVBand="0" w:evenVBand="0" w:oddHBand="0" w:evenHBand="0" w:firstRowFirstColumn="0" w:firstRowLastColumn="0" w:lastRowFirstColumn="0" w:lastRowLastColumn="0"/>
            <w:tcW w:w="1110" w:type="dxa"/>
          </w:tcPr>
          <w:p w:rsidR="00343139" w:rsidRPr="00ED0D20" w:rsidRDefault="00343139" w:rsidP="007B5C5A">
            <w:pPr>
              <w:spacing w:beforeLines="40" w:before="96"/>
              <w:rPr>
                <w:sz w:val="18"/>
                <w:szCs w:val="18"/>
              </w:rPr>
            </w:pPr>
            <w:r w:rsidRPr="00ED0D20">
              <w:rPr>
                <w:sz w:val="18"/>
                <w:szCs w:val="18"/>
              </w:rPr>
              <w:t>gini</w:t>
            </w:r>
          </w:p>
        </w:tc>
        <w:tc>
          <w:tcPr>
            <w:tcW w:w="4527" w:type="dxa"/>
          </w:tcPr>
          <w:p w:rsidR="00343139" w:rsidRDefault="00343139" w:rsidP="007B5C5A">
            <w:pPr>
              <w:spacing w:beforeLines="40" w:before="96"/>
              <w:cnfStyle w:val="000000000000" w:firstRow="0" w:lastRow="0" w:firstColumn="0" w:lastColumn="0" w:oddVBand="0" w:evenVBand="0" w:oddHBand="0" w:evenHBand="0" w:firstRowFirstColumn="0" w:firstRowLastColumn="0" w:lastRowFirstColumn="0" w:lastRowLastColumn="0"/>
              <w:rPr>
                <w:b/>
                <w:sz w:val="18"/>
                <w:szCs w:val="18"/>
              </w:rPr>
            </w:pPr>
            <w:r w:rsidRPr="00FF0AA5">
              <w:rPr>
                <w:b/>
                <w:sz w:val="18"/>
                <w:szCs w:val="18"/>
              </w:rPr>
              <w:t>Gini coefficient</w:t>
            </w:r>
          </w:p>
          <w:p w:rsidR="008164B1" w:rsidRDefault="008164B1" w:rsidP="007B5C5A">
            <w:pPr>
              <w:spacing w:beforeLines="40" w:before="96"/>
              <w:cnfStyle w:val="000000000000" w:firstRow="0" w:lastRow="0" w:firstColumn="0" w:lastColumn="0" w:oddVBand="0" w:evenVBand="0" w:oddHBand="0" w:evenHBand="0" w:firstRowFirstColumn="0" w:firstRowLastColumn="0" w:lastRowFirstColumn="0" w:lastRowLastColumn="0"/>
              <w:rPr>
                <w:b/>
                <w:sz w:val="18"/>
                <w:szCs w:val="18"/>
              </w:rPr>
            </w:pPr>
          </w:p>
          <w:p w:rsidR="008164B1" w:rsidRDefault="008164B1" w:rsidP="007B5C5A">
            <w:pPr>
              <w:spacing w:beforeLines="40" w:before="96"/>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Source: World Bank. “</w:t>
            </w:r>
            <w:r w:rsidRPr="008164B1">
              <w:rPr>
                <w:sz w:val="18"/>
                <w:szCs w:val="18"/>
              </w:rPr>
              <w:t>Gini index measures the extent to which the distribution of income (or, in some cases, consumption expenditure) among individuals or households within an economy deviates from</w:t>
            </w:r>
            <w:r>
              <w:rPr>
                <w:sz w:val="18"/>
                <w:szCs w:val="18"/>
              </w:rPr>
              <w:t xml:space="preserve"> a perfectly equal distribution”</w:t>
            </w:r>
            <w:r>
              <w:rPr>
                <w:rStyle w:val="FootnoteReference"/>
                <w:sz w:val="18"/>
                <w:szCs w:val="18"/>
              </w:rPr>
              <w:footnoteReference w:id="32"/>
            </w:r>
            <w:r>
              <w:rPr>
                <w:sz w:val="18"/>
                <w:szCs w:val="18"/>
              </w:rPr>
              <w:t>.</w:t>
            </w:r>
          </w:p>
          <w:p w:rsidR="008164B1" w:rsidRPr="008164B1" w:rsidRDefault="008164B1" w:rsidP="007B5C5A">
            <w:pPr>
              <w:spacing w:beforeLines="40" w:before="96"/>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rsidR="00343139" w:rsidRPr="00ED0D20" w:rsidRDefault="00343139" w:rsidP="007B5C5A">
            <w:pPr>
              <w:spacing w:beforeLines="40" w:before="96"/>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0 – 100 (inequality)</w:t>
            </w:r>
          </w:p>
        </w:tc>
        <w:tc>
          <w:tcPr>
            <w:tcW w:w="1395" w:type="dxa"/>
          </w:tcPr>
          <w:p w:rsidR="00343139" w:rsidRPr="00ED0D20" w:rsidRDefault="006371FF" w:rsidP="007B5C5A">
            <w:pPr>
              <w:spacing w:beforeLines="40" w:before="96"/>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2000-2013</w:t>
            </w:r>
          </w:p>
        </w:tc>
      </w:tr>
      <w:tr w:rsidR="00343139" w:rsidRPr="002E6A4D" w:rsidTr="006B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tcPr>
          <w:p w:rsidR="00343139" w:rsidRPr="00ED0D20" w:rsidRDefault="00343139" w:rsidP="007B5C5A">
            <w:pPr>
              <w:spacing w:beforeLines="40" w:before="96"/>
              <w:rPr>
                <w:sz w:val="18"/>
                <w:szCs w:val="18"/>
              </w:rPr>
            </w:pPr>
            <w:r w:rsidRPr="00ED0D20">
              <w:rPr>
                <w:sz w:val="18"/>
                <w:szCs w:val="18"/>
              </w:rPr>
              <w:t>polity</w:t>
            </w:r>
          </w:p>
        </w:tc>
        <w:tc>
          <w:tcPr>
            <w:tcW w:w="4527" w:type="dxa"/>
          </w:tcPr>
          <w:p w:rsidR="00343139" w:rsidRDefault="00343139" w:rsidP="007B5C5A">
            <w:pPr>
              <w:spacing w:beforeLines="40" w:before="96"/>
              <w:cnfStyle w:val="000000100000" w:firstRow="0" w:lastRow="0" w:firstColumn="0" w:lastColumn="0" w:oddVBand="0" w:evenVBand="0" w:oddHBand="1" w:evenHBand="0" w:firstRowFirstColumn="0" w:firstRowLastColumn="0" w:lastRowFirstColumn="0" w:lastRowLastColumn="0"/>
              <w:rPr>
                <w:b/>
                <w:sz w:val="18"/>
                <w:szCs w:val="18"/>
              </w:rPr>
            </w:pPr>
            <w:r w:rsidRPr="00FF0AA5">
              <w:rPr>
                <w:b/>
                <w:sz w:val="18"/>
                <w:szCs w:val="18"/>
              </w:rPr>
              <w:t>Polity IV score</w:t>
            </w:r>
          </w:p>
          <w:p w:rsidR="00A70FD9" w:rsidRDefault="00A70FD9" w:rsidP="007B5C5A">
            <w:pPr>
              <w:spacing w:beforeLines="40" w:before="96"/>
              <w:cnfStyle w:val="000000100000" w:firstRow="0" w:lastRow="0" w:firstColumn="0" w:lastColumn="0" w:oddVBand="0" w:evenVBand="0" w:oddHBand="1" w:evenHBand="0" w:firstRowFirstColumn="0" w:firstRowLastColumn="0" w:lastRowFirstColumn="0" w:lastRowLastColumn="0"/>
              <w:rPr>
                <w:b/>
                <w:sz w:val="18"/>
                <w:szCs w:val="18"/>
              </w:rPr>
            </w:pPr>
          </w:p>
          <w:p w:rsidR="00A70FD9" w:rsidRDefault="00A70FD9"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Source: Centre for Systemic Peace. “</w:t>
            </w:r>
            <w:r w:rsidRPr="00A70FD9">
              <w:rPr>
                <w:sz w:val="18"/>
                <w:szCs w:val="18"/>
              </w:rPr>
              <w:t>The "Polity Score" captures this regime authority spectrum on a 21-pont scale ranging from -10 (hereditary monarchy) to +10 (consolidated democracy). The Polity scores can also be converted into regime categories in a suggested three part categorization of "autocracies" (-10 to -6), "anocracies" (-5 to +5 and three special values: -66, -77 and -88)</w:t>
            </w:r>
            <w:r>
              <w:rPr>
                <w:sz w:val="18"/>
                <w:szCs w:val="18"/>
              </w:rPr>
              <w:t>, and "democracies" (+6 to +10)”</w:t>
            </w:r>
            <w:r>
              <w:rPr>
                <w:rStyle w:val="FootnoteReference"/>
                <w:sz w:val="18"/>
                <w:szCs w:val="18"/>
              </w:rPr>
              <w:footnoteReference w:id="33"/>
            </w:r>
            <w:r>
              <w:rPr>
                <w:sz w:val="18"/>
                <w:szCs w:val="18"/>
              </w:rPr>
              <w:t>.</w:t>
            </w:r>
          </w:p>
          <w:p w:rsidR="00952499" w:rsidRPr="00A70FD9" w:rsidRDefault="00952499"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p>
        </w:tc>
        <w:tc>
          <w:tcPr>
            <w:tcW w:w="1984" w:type="dxa"/>
          </w:tcPr>
          <w:p w:rsidR="00343139" w:rsidRPr="00ED0D20" w:rsidRDefault="00343139"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-10 – 10 (democratic regime)</w:t>
            </w:r>
          </w:p>
        </w:tc>
        <w:tc>
          <w:tcPr>
            <w:tcW w:w="1395" w:type="dxa"/>
          </w:tcPr>
          <w:p w:rsidR="00343139" w:rsidRPr="00ED0D20" w:rsidRDefault="006371FF"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1980-2014</w:t>
            </w:r>
          </w:p>
        </w:tc>
      </w:tr>
      <w:tr w:rsidR="00343139" w:rsidRPr="002E6A4D" w:rsidTr="006B7EC0">
        <w:tc>
          <w:tcPr>
            <w:cnfStyle w:val="001000000000" w:firstRow="0" w:lastRow="0" w:firstColumn="1" w:lastColumn="0" w:oddVBand="0" w:evenVBand="0" w:oddHBand="0" w:evenHBand="0" w:firstRowFirstColumn="0" w:firstRowLastColumn="0" w:lastRowFirstColumn="0" w:lastRowLastColumn="0"/>
            <w:tcW w:w="1110" w:type="dxa"/>
          </w:tcPr>
          <w:p w:rsidR="00343139" w:rsidRPr="00ED0D20" w:rsidRDefault="00343139" w:rsidP="007B5C5A">
            <w:pPr>
              <w:spacing w:beforeLines="40" w:before="96"/>
              <w:rPr>
                <w:sz w:val="18"/>
                <w:szCs w:val="18"/>
              </w:rPr>
            </w:pPr>
            <w:r w:rsidRPr="00ED0D20">
              <w:rPr>
                <w:sz w:val="18"/>
                <w:szCs w:val="18"/>
              </w:rPr>
              <w:t>banksec</w:t>
            </w:r>
          </w:p>
        </w:tc>
        <w:tc>
          <w:tcPr>
            <w:tcW w:w="4527" w:type="dxa"/>
          </w:tcPr>
          <w:p w:rsidR="00343139" w:rsidRDefault="00343139" w:rsidP="007B5C5A">
            <w:pPr>
              <w:spacing w:beforeLines="40" w:before="96"/>
              <w:cnfStyle w:val="000000000000" w:firstRow="0" w:lastRow="0" w:firstColumn="0" w:lastColumn="0" w:oddVBand="0" w:evenVBand="0" w:oddHBand="0" w:evenHBand="0" w:firstRowFirstColumn="0" w:firstRowLastColumn="0" w:lastRowFirstColumn="0" w:lastRowLastColumn="0"/>
              <w:rPr>
                <w:b/>
                <w:sz w:val="18"/>
                <w:szCs w:val="18"/>
              </w:rPr>
            </w:pPr>
            <w:r w:rsidRPr="00FF0AA5">
              <w:rPr>
                <w:b/>
                <w:sz w:val="18"/>
                <w:szCs w:val="18"/>
              </w:rPr>
              <w:t>Leverage of the banking sector (ratio of selected assets to equity, number of times)</w:t>
            </w:r>
          </w:p>
          <w:p w:rsidR="0099631E" w:rsidRDefault="0099631E" w:rsidP="007B5C5A">
            <w:pPr>
              <w:spacing w:beforeLines="40" w:before="96"/>
              <w:cnfStyle w:val="000000000000" w:firstRow="0" w:lastRow="0" w:firstColumn="0" w:lastColumn="0" w:oddVBand="0" w:evenVBand="0" w:oddHBand="0" w:evenHBand="0" w:firstRowFirstColumn="0" w:firstRowLastColumn="0" w:lastRowFirstColumn="0" w:lastRowLastColumn="0"/>
              <w:rPr>
                <w:b/>
                <w:sz w:val="18"/>
                <w:szCs w:val="18"/>
              </w:rPr>
            </w:pPr>
          </w:p>
          <w:p w:rsidR="0099631E" w:rsidRDefault="0099631E" w:rsidP="007B5C5A">
            <w:pPr>
              <w:spacing w:beforeLines="40" w:before="96"/>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Source: OECD. “</w:t>
            </w:r>
            <w:r w:rsidRPr="0099631E">
              <w:rPr>
                <w:sz w:val="18"/>
                <w:szCs w:val="18"/>
              </w:rPr>
              <w:t>"The ratio is the number of times selected assets held by the banking sector is to their equity. The ratio between the financial assets of the banking sector and their equity, also known as the equity multiplier ratio, can be used alongside other measurements of the financial leverage of this sector to ascertain its overall financial stability and to analyse its financial health"</w:t>
            </w:r>
            <w:r>
              <w:rPr>
                <w:rStyle w:val="FootnoteReference"/>
                <w:sz w:val="18"/>
                <w:szCs w:val="18"/>
              </w:rPr>
              <w:footnoteReference w:id="34"/>
            </w:r>
            <w:r>
              <w:rPr>
                <w:sz w:val="18"/>
                <w:szCs w:val="18"/>
              </w:rPr>
              <w:t xml:space="preserve">. </w:t>
            </w:r>
          </w:p>
          <w:p w:rsidR="00952499" w:rsidRPr="0099631E" w:rsidRDefault="00952499" w:rsidP="007B5C5A">
            <w:pPr>
              <w:spacing w:beforeLines="40" w:before="96"/>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rsidR="00343139" w:rsidRPr="00ED0D20" w:rsidRDefault="00343139" w:rsidP="007B5C5A">
            <w:pPr>
              <w:spacing w:beforeLines="40" w:before="96"/>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Ratio of selected assets to equity, number of times</w:t>
            </w:r>
          </w:p>
        </w:tc>
        <w:tc>
          <w:tcPr>
            <w:tcW w:w="1395" w:type="dxa"/>
          </w:tcPr>
          <w:p w:rsidR="00343139" w:rsidRPr="00ED0D20" w:rsidRDefault="006371FF" w:rsidP="007B5C5A">
            <w:pPr>
              <w:spacing w:beforeLines="40" w:before="96"/>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1999-2012</w:t>
            </w:r>
          </w:p>
        </w:tc>
      </w:tr>
      <w:tr w:rsidR="00F46B3F" w:rsidRPr="002E6A4D" w:rsidTr="006B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tcPr>
          <w:p w:rsidR="00F46B3F" w:rsidRPr="00ED0D20" w:rsidRDefault="00260212" w:rsidP="007B5C5A">
            <w:pPr>
              <w:spacing w:beforeLines="40" w:before="96"/>
              <w:rPr>
                <w:sz w:val="18"/>
                <w:szCs w:val="18"/>
              </w:rPr>
            </w:pPr>
            <w:r w:rsidRPr="00ED0D20">
              <w:rPr>
                <w:sz w:val="18"/>
                <w:szCs w:val="18"/>
              </w:rPr>
              <w:t>e</w:t>
            </w:r>
            <w:r w:rsidR="00F46B3F" w:rsidRPr="00ED0D20">
              <w:rPr>
                <w:sz w:val="18"/>
                <w:szCs w:val="18"/>
              </w:rPr>
              <w:t>confree</w:t>
            </w:r>
          </w:p>
        </w:tc>
        <w:tc>
          <w:tcPr>
            <w:tcW w:w="4527" w:type="dxa"/>
          </w:tcPr>
          <w:p w:rsidR="00F46B3F" w:rsidRDefault="00F46B3F" w:rsidP="007B5C5A">
            <w:pPr>
              <w:spacing w:beforeLines="40" w:before="96"/>
              <w:cnfStyle w:val="000000100000" w:firstRow="0" w:lastRow="0" w:firstColumn="0" w:lastColumn="0" w:oddVBand="0" w:evenVBand="0" w:oddHBand="1" w:evenHBand="0" w:firstRowFirstColumn="0" w:firstRowLastColumn="0" w:lastRowFirstColumn="0" w:lastRowLastColumn="0"/>
              <w:rPr>
                <w:b/>
                <w:sz w:val="18"/>
                <w:szCs w:val="18"/>
              </w:rPr>
            </w:pPr>
            <w:r w:rsidRPr="00FF0AA5">
              <w:rPr>
                <w:b/>
                <w:sz w:val="18"/>
                <w:szCs w:val="18"/>
              </w:rPr>
              <w:t>Economic freedom index</w:t>
            </w:r>
          </w:p>
          <w:p w:rsidR="009C373F" w:rsidRDefault="009C373F" w:rsidP="007B5C5A">
            <w:pPr>
              <w:spacing w:beforeLines="40" w:before="96"/>
              <w:cnfStyle w:val="000000100000" w:firstRow="0" w:lastRow="0" w:firstColumn="0" w:lastColumn="0" w:oddVBand="0" w:evenVBand="0" w:oddHBand="1" w:evenHBand="0" w:firstRowFirstColumn="0" w:firstRowLastColumn="0" w:lastRowFirstColumn="0" w:lastRowLastColumn="0"/>
              <w:rPr>
                <w:b/>
                <w:sz w:val="18"/>
                <w:szCs w:val="18"/>
              </w:rPr>
            </w:pPr>
          </w:p>
          <w:p w:rsidR="009C373F" w:rsidRPr="009C373F" w:rsidRDefault="009C373F" w:rsidP="009C373F">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sidRPr="009C373F">
              <w:rPr>
                <w:sz w:val="18"/>
                <w:szCs w:val="18"/>
              </w:rPr>
              <w:t>Source:</w:t>
            </w:r>
            <w:r>
              <w:rPr>
                <w:sz w:val="18"/>
                <w:szCs w:val="18"/>
              </w:rPr>
              <w:t xml:space="preserve"> The Heritage Foundation. “</w:t>
            </w:r>
            <w:r w:rsidRPr="009C373F">
              <w:rPr>
                <w:sz w:val="18"/>
                <w:szCs w:val="18"/>
              </w:rPr>
              <w:t>We measure economic freedom based on 10 quantitative and qualitative factors, grouped into four broad categories, or pillars, of economic freedom:</w:t>
            </w:r>
          </w:p>
          <w:p w:rsidR="009C373F" w:rsidRPr="009C373F" w:rsidRDefault="009C373F" w:rsidP="009C373F">
            <w:pPr>
              <w:numPr>
                <w:ilvl w:val="0"/>
                <w:numId w:val="1"/>
              </w:num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sidRPr="009C373F">
              <w:rPr>
                <w:sz w:val="18"/>
                <w:szCs w:val="18"/>
              </w:rPr>
              <w:t>Rule of Law (property rights, freedom from corruption);</w:t>
            </w:r>
          </w:p>
          <w:p w:rsidR="009C373F" w:rsidRPr="009C373F" w:rsidRDefault="009C373F" w:rsidP="009C373F">
            <w:pPr>
              <w:numPr>
                <w:ilvl w:val="0"/>
                <w:numId w:val="1"/>
              </w:num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sidRPr="009C373F">
              <w:rPr>
                <w:sz w:val="18"/>
                <w:szCs w:val="18"/>
              </w:rPr>
              <w:t>Limited Government (fiscal freedom, government spending);</w:t>
            </w:r>
          </w:p>
          <w:p w:rsidR="009C373F" w:rsidRPr="009C373F" w:rsidRDefault="009C373F" w:rsidP="009C373F">
            <w:pPr>
              <w:numPr>
                <w:ilvl w:val="0"/>
                <w:numId w:val="1"/>
              </w:num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sidRPr="009C373F">
              <w:rPr>
                <w:sz w:val="18"/>
                <w:szCs w:val="18"/>
              </w:rPr>
              <w:t>Regulatory Efficiency (business freedom, labour freedom, monetary freedom); and</w:t>
            </w:r>
          </w:p>
          <w:p w:rsidR="009C373F" w:rsidRPr="009C373F" w:rsidRDefault="009C373F" w:rsidP="009C373F">
            <w:pPr>
              <w:numPr>
                <w:ilvl w:val="0"/>
                <w:numId w:val="1"/>
              </w:num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sidRPr="009C373F">
              <w:rPr>
                <w:sz w:val="18"/>
                <w:szCs w:val="18"/>
              </w:rPr>
              <w:t>Open Markets (trade freedom, investment freedom, financial freedom).</w:t>
            </w:r>
          </w:p>
          <w:p w:rsidR="009C373F" w:rsidRPr="009C373F" w:rsidRDefault="009C373F" w:rsidP="009C373F">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sidRPr="009C373F">
              <w:rPr>
                <w:sz w:val="18"/>
                <w:szCs w:val="18"/>
              </w:rPr>
              <w:t>Each of the ten economic freedoms within these categories is graded on a scale of 0 to 100. A country’s overall score is derived by averaging these ten economic freedoms, with e</w:t>
            </w:r>
            <w:r w:rsidR="00A03F74">
              <w:rPr>
                <w:sz w:val="18"/>
                <w:szCs w:val="18"/>
              </w:rPr>
              <w:t>qual weight being given to each”</w:t>
            </w:r>
            <w:r w:rsidR="00A03F74">
              <w:rPr>
                <w:rStyle w:val="FootnoteReference"/>
                <w:sz w:val="18"/>
                <w:szCs w:val="18"/>
              </w:rPr>
              <w:footnoteReference w:id="35"/>
            </w:r>
            <w:r w:rsidR="00A03F74">
              <w:rPr>
                <w:sz w:val="18"/>
                <w:szCs w:val="18"/>
              </w:rPr>
              <w:t>.</w:t>
            </w:r>
          </w:p>
          <w:p w:rsidR="009C373F" w:rsidRPr="009C373F" w:rsidRDefault="009C373F"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p>
        </w:tc>
        <w:tc>
          <w:tcPr>
            <w:tcW w:w="1984" w:type="dxa"/>
          </w:tcPr>
          <w:p w:rsidR="00F46B3F" w:rsidRPr="00ED0D20" w:rsidRDefault="00F46B3F"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0 – 100 (free)</w:t>
            </w:r>
          </w:p>
        </w:tc>
        <w:tc>
          <w:tcPr>
            <w:tcW w:w="1395" w:type="dxa"/>
          </w:tcPr>
          <w:p w:rsidR="00F46B3F" w:rsidRPr="00ED0D20" w:rsidRDefault="00F46B3F" w:rsidP="007B5C5A">
            <w:pPr>
              <w:spacing w:beforeLines="40" w:before="96"/>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2010-2016</w:t>
            </w:r>
          </w:p>
        </w:tc>
      </w:tr>
      <w:tr w:rsidR="00B87A4D" w:rsidRPr="002E6A4D" w:rsidTr="006B7EC0">
        <w:tc>
          <w:tcPr>
            <w:cnfStyle w:val="001000000000" w:firstRow="0" w:lastRow="0" w:firstColumn="1" w:lastColumn="0" w:oddVBand="0" w:evenVBand="0" w:oddHBand="0" w:evenHBand="0" w:firstRowFirstColumn="0" w:firstRowLastColumn="0" w:lastRowFirstColumn="0" w:lastRowLastColumn="0"/>
            <w:tcW w:w="1110" w:type="dxa"/>
            <w:vAlign w:val="center"/>
          </w:tcPr>
          <w:p w:rsidR="00B87A4D" w:rsidRPr="00ED0D20" w:rsidRDefault="00B87A4D" w:rsidP="00B87A4D">
            <w:pPr>
              <w:spacing w:before="40"/>
              <w:rPr>
                <w:sz w:val="18"/>
                <w:szCs w:val="18"/>
              </w:rPr>
            </w:pPr>
            <w:r w:rsidRPr="00ED0D20">
              <w:rPr>
                <w:sz w:val="18"/>
                <w:szCs w:val="18"/>
              </w:rPr>
              <w:t>openbud</w:t>
            </w:r>
          </w:p>
        </w:tc>
        <w:tc>
          <w:tcPr>
            <w:tcW w:w="4527" w:type="dxa"/>
            <w:vAlign w:val="center"/>
          </w:tcPr>
          <w:p w:rsidR="00B87A4D" w:rsidRDefault="00B87A4D" w:rsidP="00B87A4D">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FF0AA5">
              <w:rPr>
                <w:b/>
                <w:sz w:val="18"/>
                <w:szCs w:val="18"/>
              </w:rPr>
              <w:t>Open Budget Index</w:t>
            </w:r>
          </w:p>
          <w:p w:rsidR="00DE09D0" w:rsidRDefault="00DE09D0" w:rsidP="00B87A4D">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DE09D0" w:rsidRPr="00DE09D0" w:rsidRDefault="00DE09D0" w:rsidP="00DE09D0">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Source: </w:t>
            </w:r>
            <w:r w:rsidRPr="00DE09D0">
              <w:rPr>
                <w:sz w:val="18"/>
                <w:szCs w:val="18"/>
              </w:rPr>
              <w:t>Intl. Budget Partnership</w:t>
            </w:r>
            <w:r>
              <w:rPr>
                <w:sz w:val="18"/>
                <w:szCs w:val="18"/>
              </w:rPr>
              <w:t>.</w:t>
            </w:r>
            <w:r w:rsidR="001B6191">
              <w:rPr>
                <w:sz w:val="18"/>
                <w:szCs w:val="18"/>
              </w:rPr>
              <w:t xml:space="preserve"> “The amount, level of detail, and timeliness of budget information governments are making publicly available”</w:t>
            </w:r>
            <w:r w:rsidR="001B6191">
              <w:rPr>
                <w:rStyle w:val="FootnoteReference"/>
                <w:sz w:val="18"/>
                <w:szCs w:val="18"/>
              </w:rPr>
              <w:footnoteReference w:id="36"/>
            </w:r>
            <w:r w:rsidR="001B6191">
              <w:rPr>
                <w:sz w:val="18"/>
                <w:szCs w:val="18"/>
              </w:rPr>
              <w:t>.</w:t>
            </w:r>
          </w:p>
          <w:p w:rsidR="00DE09D0" w:rsidRPr="00DE09D0" w:rsidRDefault="00DE09D0" w:rsidP="00B87A4D">
            <w:pPr>
              <w:spacing w:before="40"/>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rsidR="00B87A4D" w:rsidRPr="00ED0D20" w:rsidRDefault="00B87A4D" w:rsidP="00B87A4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0 – 100 (transparent)</w:t>
            </w:r>
          </w:p>
        </w:tc>
        <w:tc>
          <w:tcPr>
            <w:tcW w:w="1395" w:type="dxa"/>
          </w:tcPr>
          <w:p w:rsidR="00B87A4D" w:rsidRPr="00ED0D20" w:rsidRDefault="00B87A4D" w:rsidP="00B87A4D">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2015</w:t>
            </w:r>
          </w:p>
        </w:tc>
      </w:tr>
      <w:tr w:rsidR="00D5401E" w:rsidRPr="002E6A4D" w:rsidTr="006B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vAlign w:val="center"/>
          </w:tcPr>
          <w:p w:rsidR="00D5401E" w:rsidRPr="00ED0D20" w:rsidRDefault="00D5401E" w:rsidP="00D5401E">
            <w:pPr>
              <w:spacing w:before="40"/>
              <w:rPr>
                <w:sz w:val="18"/>
                <w:szCs w:val="18"/>
              </w:rPr>
            </w:pPr>
            <w:r w:rsidRPr="00ED0D20">
              <w:rPr>
                <w:sz w:val="18"/>
                <w:szCs w:val="18"/>
              </w:rPr>
              <w:t>govchpo</w:t>
            </w:r>
          </w:p>
        </w:tc>
        <w:tc>
          <w:tcPr>
            <w:tcW w:w="4527" w:type="dxa"/>
            <w:vAlign w:val="center"/>
          </w:tcPr>
          <w:p w:rsidR="00D5401E" w:rsidRDefault="00D5401E" w:rsidP="00D5401E">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FF0AA5">
              <w:rPr>
                <w:b/>
                <w:sz w:val="18"/>
                <w:szCs w:val="18"/>
              </w:rPr>
              <w:t>Govt. should change policies in response to what most people think</w:t>
            </w:r>
          </w:p>
          <w:p w:rsidR="002050CF" w:rsidRDefault="002050CF" w:rsidP="00D5401E">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2050CF" w:rsidRDefault="002050CF" w:rsidP="00D5401E">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2050CF">
              <w:rPr>
                <w:sz w:val="18"/>
                <w:szCs w:val="18"/>
              </w:rPr>
              <w:t>Source:</w:t>
            </w:r>
            <w:r>
              <w:rPr>
                <w:sz w:val="18"/>
                <w:szCs w:val="18"/>
              </w:rPr>
              <w:t xml:space="preserve"> </w:t>
            </w:r>
            <w:r w:rsidR="00A931AA">
              <w:rPr>
                <w:sz w:val="18"/>
                <w:szCs w:val="18"/>
              </w:rPr>
              <w:t>European Social Survey, round 6 (Understandings and Evaluation of Democracy module)</w:t>
            </w:r>
            <w:r w:rsidR="00A931AA">
              <w:rPr>
                <w:rStyle w:val="FootnoteReference"/>
                <w:sz w:val="18"/>
                <w:szCs w:val="18"/>
              </w:rPr>
              <w:footnoteReference w:id="37"/>
            </w:r>
            <w:r w:rsidR="00A931AA">
              <w:rPr>
                <w:sz w:val="18"/>
                <w:szCs w:val="18"/>
              </w:rPr>
              <w:t>.</w:t>
            </w:r>
          </w:p>
          <w:p w:rsidR="00050BB3" w:rsidRPr="002050CF" w:rsidRDefault="00050BB3" w:rsidP="00D5401E">
            <w:pPr>
              <w:spacing w:before="40"/>
              <w:cnfStyle w:val="000000100000" w:firstRow="0" w:lastRow="0" w:firstColumn="0" w:lastColumn="0" w:oddVBand="0" w:evenVBand="0" w:oddHBand="1" w:evenHBand="0" w:firstRowFirstColumn="0" w:firstRowLastColumn="0" w:lastRowFirstColumn="0" w:lastRowLastColumn="0"/>
              <w:rPr>
                <w:sz w:val="18"/>
                <w:szCs w:val="18"/>
              </w:rPr>
            </w:pPr>
          </w:p>
        </w:tc>
        <w:tc>
          <w:tcPr>
            <w:tcW w:w="1984" w:type="dxa"/>
          </w:tcPr>
          <w:p w:rsidR="00D5401E" w:rsidRPr="00ED0D20" w:rsidRDefault="00D5401E" w:rsidP="00D5401E">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average (0 never – 10 always)</w:t>
            </w:r>
          </w:p>
        </w:tc>
        <w:tc>
          <w:tcPr>
            <w:tcW w:w="1395" w:type="dxa"/>
          </w:tcPr>
          <w:p w:rsidR="00D5401E" w:rsidRPr="00ED0D20" w:rsidRDefault="00D5401E" w:rsidP="00D5401E">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ED0D20">
              <w:rPr>
                <w:sz w:val="18"/>
                <w:szCs w:val="18"/>
              </w:rPr>
              <w:t>2012</w:t>
            </w:r>
          </w:p>
        </w:tc>
      </w:tr>
      <w:tr w:rsidR="00D5401E" w:rsidRPr="002E6A4D" w:rsidTr="006B7EC0">
        <w:tc>
          <w:tcPr>
            <w:cnfStyle w:val="001000000000" w:firstRow="0" w:lastRow="0" w:firstColumn="1" w:lastColumn="0" w:oddVBand="0" w:evenVBand="0" w:oddHBand="0" w:evenHBand="0" w:firstRowFirstColumn="0" w:firstRowLastColumn="0" w:lastRowFirstColumn="0" w:lastRowLastColumn="0"/>
            <w:tcW w:w="1110" w:type="dxa"/>
            <w:vAlign w:val="center"/>
          </w:tcPr>
          <w:p w:rsidR="00D5401E" w:rsidRPr="00ED0D20" w:rsidRDefault="00D5401E" w:rsidP="00D5401E">
            <w:pPr>
              <w:spacing w:before="40"/>
              <w:rPr>
                <w:sz w:val="18"/>
                <w:szCs w:val="18"/>
              </w:rPr>
            </w:pPr>
            <w:r w:rsidRPr="00ED0D20">
              <w:rPr>
                <w:sz w:val="18"/>
                <w:szCs w:val="18"/>
              </w:rPr>
              <w:t>hoftgcp</w:t>
            </w:r>
          </w:p>
        </w:tc>
        <w:tc>
          <w:tcPr>
            <w:tcW w:w="4527" w:type="dxa"/>
            <w:vAlign w:val="center"/>
          </w:tcPr>
          <w:p w:rsidR="00D5401E" w:rsidRDefault="00D5401E" w:rsidP="00D5401E">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FF0AA5">
              <w:rPr>
                <w:b/>
                <w:sz w:val="18"/>
                <w:szCs w:val="18"/>
              </w:rPr>
              <w:t>How often does the government changes its planned policies in response to what most people think</w:t>
            </w:r>
          </w:p>
          <w:p w:rsidR="004F3062" w:rsidRDefault="004F3062" w:rsidP="00D5401E">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4F3062" w:rsidRDefault="004F3062" w:rsidP="00D540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2050CF">
              <w:rPr>
                <w:sz w:val="18"/>
                <w:szCs w:val="18"/>
              </w:rPr>
              <w:t>Source:</w:t>
            </w:r>
            <w:r w:rsidR="00A931AA">
              <w:rPr>
                <w:sz w:val="18"/>
                <w:szCs w:val="18"/>
              </w:rPr>
              <w:t xml:space="preserve"> European Social Survey, round 6 (Understandings and Evaluation of Democracy module)</w:t>
            </w:r>
            <w:r w:rsidR="00A931AA">
              <w:rPr>
                <w:rStyle w:val="FootnoteReference"/>
                <w:sz w:val="18"/>
                <w:szCs w:val="18"/>
              </w:rPr>
              <w:footnoteReference w:id="38"/>
            </w:r>
            <w:r w:rsidR="00A931AA">
              <w:rPr>
                <w:sz w:val="18"/>
                <w:szCs w:val="18"/>
              </w:rPr>
              <w:t>.</w:t>
            </w:r>
          </w:p>
          <w:p w:rsidR="00050BB3" w:rsidRPr="00FF0AA5" w:rsidRDefault="00050BB3" w:rsidP="00D5401E">
            <w:pPr>
              <w:spacing w:before="40"/>
              <w:cnfStyle w:val="000000000000" w:firstRow="0" w:lastRow="0" w:firstColumn="0" w:lastColumn="0" w:oddVBand="0" w:evenVBand="0" w:oddHBand="0" w:evenHBand="0" w:firstRowFirstColumn="0" w:firstRowLastColumn="0" w:lastRowFirstColumn="0" w:lastRowLastColumn="0"/>
              <w:rPr>
                <w:b/>
                <w:sz w:val="18"/>
                <w:szCs w:val="18"/>
              </w:rPr>
            </w:pPr>
          </w:p>
        </w:tc>
        <w:tc>
          <w:tcPr>
            <w:tcW w:w="1984" w:type="dxa"/>
          </w:tcPr>
          <w:p w:rsidR="00D5401E" w:rsidRPr="00ED0D20" w:rsidRDefault="00D5401E" w:rsidP="00D540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w:t>
            </w:r>
          </w:p>
        </w:tc>
        <w:tc>
          <w:tcPr>
            <w:tcW w:w="1395" w:type="dxa"/>
          </w:tcPr>
          <w:p w:rsidR="00D5401E" w:rsidRPr="00ED0D20" w:rsidRDefault="00D5401E" w:rsidP="00D5401E">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ED0D20">
              <w:rPr>
                <w:sz w:val="18"/>
                <w:szCs w:val="18"/>
              </w:rPr>
              <w:t>2012</w:t>
            </w:r>
          </w:p>
        </w:tc>
      </w:tr>
      <w:tr w:rsidR="00E06744" w:rsidRPr="002E6A4D" w:rsidTr="006B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vAlign w:val="center"/>
          </w:tcPr>
          <w:p w:rsidR="00E06744" w:rsidRDefault="00E06744" w:rsidP="00D5401E">
            <w:pPr>
              <w:spacing w:before="40"/>
              <w:rPr>
                <w:sz w:val="18"/>
                <w:szCs w:val="18"/>
              </w:rPr>
            </w:pPr>
            <w:r w:rsidRPr="00E06744">
              <w:rPr>
                <w:sz w:val="18"/>
                <w:szCs w:val="18"/>
              </w:rPr>
              <w:t>gdpvob</w:t>
            </w:r>
          </w:p>
          <w:p w:rsidR="00DF398B" w:rsidRPr="00DF398B" w:rsidRDefault="00DF398B" w:rsidP="00DF398B">
            <w:pPr>
              <w:spacing w:before="40"/>
              <w:rPr>
                <w:sz w:val="18"/>
                <w:szCs w:val="18"/>
              </w:rPr>
            </w:pPr>
            <w:r w:rsidRPr="00DF398B">
              <w:rPr>
                <w:sz w:val="18"/>
                <w:szCs w:val="18"/>
              </w:rPr>
              <w:t>gdpvpvob</w:t>
            </w:r>
          </w:p>
          <w:p w:rsidR="00DF398B" w:rsidRPr="00DF398B" w:rsidRDefault="00DF398B" w:rsidP="00DF398B">
            <w:pPr>
              <w:spacing w:before="40"/>
              <w:rPr>
                <w:sz w:val="18"/>
                <w:szCs w:val="18"/>
              </w:rPr>
            </w:pPr>
            <w:r w:rsidRPr="00DF398B">
              <w:rPr>
                <w:sz w:val="18"/>
                <w:szCs w:val="18"/>
              </w:rPr>
              <w:t>gdpc</w:t>
            </w:r>
          </w:p>
          <w:p w:rsidR="00DF398B" w:rsidRPr="00DF398B" w:rsidRDefault="00DF398B" w:rsidP="00DF398B">
            <w:pPr>
              <w:spacing w:before="40"/>
              <w:rPr>
                <w:sz w:val="18"/>
                <w:szCs w:val="18"/>
              </w:rPr>
            </w:pPr>
            <w:r w:rsidRPr="00DF398B">
              <w:rPr>
                <w:sz w:val="18"/>
                <w:szCs w:val="18"/>
              </w:rPr>
              <w:t>gdpv</w:t>
            </w:r>
          </w:p>
          <w:p w:rsidR="00DF398B" w:rsidRPr="00DF398B" w:rsidRDefault="00DF398B" w:rsidP="00DF398B">
            <w:pPr>
              <w:spacing w:before="40"/>
              <w:rPr>
                <w:sz w:val="18"/>
                <w:szCs w:val="18"/>
              </w:rPr>
            </w:pPr>
            <w:r w:rsidRPr="00DF398B">
              <w:rPr>
                <w:sz w:val="18"/>
                <w:szCs w:val="18"/>
              </w:rPr>
              <w:t>gdpdob</w:t>
            </w:r>
          </w:p>
          <w:p w:rsidR="00DF398B" w:rsidRDefault="00DF398B" w:rsidP="00DF398B">
            <w:pPr>
              <w:spacing w:before="40"/>
              <w:rPr>
                <w:sz w:val="18"/>
                <w:szCs w:val="18"/>
              </w:rPr>
            </w:pPr>
            <w:r w:rsidRPr="00DF398B">
              <w:rPr>
                <w:sz w:val="18"/>
                <w:szCs w:val="18"/>
              </w:rPr>
              <w:t>gdphvpvob</w:t>
            </w:r>
          </w:p>
          <w:p w:rsidR="009F23D5" w:rsidRPr="00ED0D20" w:rsidRDefault="009F23D5" w:rsidP="00DF398B">
            <w:pPr>
              <w:spacing w:before="40"/>
              <w:rPr>
                <w:sz w:val="18"/>
                <w:szCs w:val="18"/>
              </w:rPr>
            </w:pPr>
            <w:r>
              <w:rPr>
                <w:sz w:val="18"/>
                <w:szCs w:val="18"/>
              </w:rPr>
              <w:t>gdpgrow</w:t>
            </w:r>
          </w:p>
        </w:tc>
        <w:tc>
          <w:tcPr>
            <w:tcW w:w="4527" w:type="dxa"/>
            <w:vAlign w:val="center"/>
          </w:tcPr>
          <w:p w:rsidR="00DF398B" w:rsidRDefault="00DF398B" w:rsidP="00D5401E">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E06744" w:rsidRDefault="00E06744" w:rsidP="00D5401E">
            <w:pPr>
              <w:spacing w:before="40"/>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GDP, constant prices, OECD base year (2010)</w:t>
            </w:r>
          </w:p>
          <w:p w:rsidR="00DF398B" w:rsidRPr="00DF398B" w:rsidRDefault="00DF398B" w:rsidP="00DF398B">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DF398B">
              <w:rPr>
                <w:b/>
                <w:sz w:val="18"/>
                <w:szCs w:val="18"/>
              </w:rPr>
              <w:t>GDP, constant prices, constant PPP, OECD base year (2010)</w:t>
            </w:r>
          </w:p>
          <w:p w:rsidR="00DF398B" w:rsidRPr="00DF398B" w:rsidRDefault="00DF398B" w:rsidP="00DF398B">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DF398B">
              <w:rPr>
                <w:b/>
                <w:sz w:val="18"/>
                <w:szCs w:val="18"/>
              </w:rPr>
              <w:t>GDP, current prices</w:t>
            </w:r>
          </w:p>
          <w:p w:rsidR="00DF398B" w:rsidRPr="00DF398B" w:rsidRDefault="00DF398B" w:rsidP="00DF398B">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DF398B">
              <w:rPr>
                <w:b/>
                <w:sz w:val="18"/>
                <w:szCs w:val="18"/>
              </w:rPr>
              <w:t>GDP, constant prices, national base year</w:t>
            </w:r>
          </w:p>
          <w:p w:rsidR="00DF398B" w:rsidRPr="00DF398B" w:rsidRDefault="00DF398B" w:rsidP="00DF398B">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DF398B">
              <w:rPr>
                <w:b/>
                <w:sz w:val="18"/>
                <w:szCs w:val="18"/>
              </w:rPr>
              <w:t>GDP deflator (index, hundrendths, 2010)</w:t>
            </w:r>
          </w:p>
          <w:p w:rsidR="00DF398B" w:rsidRDefault="00DF398B" w:rsidP="00DF398B">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DF398B">
              <w:rPr>
                <w:b/>
                <w:sz w:val="18"/>
                <w:szCs w:val="18"/>
              </w:rPr>
              <w:t>GDP, per head, constant prices, constant PPP, OECD base year (expenditure approach)</w:t>
            </w:r>
          </w:p>
          <w:p w:rsidR="009F23D5" w:rsidRDefault="009F23D5" w:rsidP="00DF398B">
            <w:pPr>
              <w:spacing w:before="40"/>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GDP, annual growth rate</w:t>
            </w:r>
          </w:p>
          <w:p w:rsidR="00DF398B" w:rsidRDefault="00DF398B" w:rsidP="00DF398B">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DF398B" w:rsidRPr="00DF398B" w:rsidRDefault="00DF398B" w:rsidP="00DF398B">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Source: OECD, National Accounts. “</w:t>
            </w:r>
            <w:r w:rsidRPr="00DF398B">
              <w:rPr>
                <w:sz w:val="18"/>
                <w:szCs w:val="18"/>
              </w:rPr>
              <w:t>In national currency, in current prices and constant prices (national base year, previous year prices and OECD base year i.e. 2010) - and for comparative purposes in US $ current prices and constant prices (using exchange rate and GDP PPPs for all series except actual individual consumption where a specific PPP is used). Expre</w:t>
            </w:r>
            <w:r>
              <w:rPr>
                <w:sz w:val="18"/>
                <w:szCs w:val="18"/>
              </w:rPr>
              <w:t>ssed in millions and in indices”</w:t>
            </w:r>
            <w:r>
              <w:rPr>
                <w:rStyle w:val="FootnoteReference"/>
                <w:sz w:val="18"/>
                <w:szCs w:val="18"/>
              </w:rPr>
              <w:t xml:space="preserve"> </w:t>
            </w:r>
            <w:r>
              <w:rPr>
                <w:rStyle w:val="FootnoteReference"/>
                <w:sz w:val="18"/>
                <w:szCs w:val="18"/>
              </w:rPr>
              <w:footnoteReference w:id="39"/>
            </w:r>
            <w:r>
              <w:rPr>
                <w:sz w:val="18"/>
                <w:szCs w:val="18"/>
              </w:rPr>
              <w:t>.</w:t>
            </w:r>
          </w:p>
          <w:p w:rsidR="00E06744" w:rsidRPr="00FF0AA5" w:rsidRDefault="00E06744" w:rsidP="00D5401E">
            <w:pPr>
              <w:spacing w:before="40"/>
              <w:cnfStyle w:val="000000100000" w:firstRow="0" w:lastRow="0" w:firstColumn="0" w:lastColumn="0" w:oddVBand="0" w:evenVBand="0" w:oddHBand="1" w:evenHBand="0" w:firstRowFirstColumn="0" w:firstRowLastColumn="0" w:lastRowFirstColumn="0" w:lastRowLastColumn="0"/>
              <w:rPr>
                <w:b/>
                <w:sz w:val="18"/>
                <w:szCs w:val="18"/>
              </w:rPr>
            </w:pPr>
          </w:p>
        </w:tc>
        <w:tc>
          <w:tcPr>
            <w:tcW w:w="1984" w:type="dxa"/>
          </w:tcPr>
          <w:p w:rsidR="00E06744" w:rsidRDefault="00050BB3" w:rsidP="00DF398B">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Millions</w:t>
            </w:r>
          </w:p>
          <w:p w:rsidR="009F23D5" w:rsidRPr="00ED0D20" w:rsidRDefault="009F23D5" w:rsidP="00DF398B">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(growth rate)</w:t>
            </w:r>
          </w:p>
        </w:tc>
        <w:tc>
          <w:tcPr>
            <w:tcW w:w="1395" w:type="dxa"/>
          </w:tcPr>
          <w:p w:rsidR="00E06744" w:rsidRPr="00ED0D20" w:rsidRDefault="00050BB3" w:rsidP="00D5401E">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1960-2015</w:t>
            </w:r>
          </w:p>
        </w:tc>
      </w:tr>
      <w:tr w:rsidR="006B42D3" w:rsidRPr="002E6A4D" w:rsidTr="006B7EC0">
        <w:tc>
          <w:tcPr>
            <w:cnfStyle w:val="001000000000" w:firstRow="0" w:lastRow="0" w:firstColumn="1" w:lastColumn="0" w:oddVBand="0" w:evenVBand="0" w:oddHBand="0" w:evenHBand="0" w:firstRowFirstColumn="0" w:firstRowLastColumn="0" w:lastRowFirstColumn="0" w:lastRowLastColumn="0"/>
            <w:tcW w:w="1110" w:type="dxa"/>
            <w:vAlign w:val="center"/>
          </w:tcPr>
          <w:p w:rsidR="006B42D3" w:rsidRPr="00050BB3" w:rsidRDefault="006B42D3" w:rsidP="00D5401E">
            <w:pPr>
              <w:spacing w:before="40"/>
              <w:rPr>
                <w:sz w:val="18"/>
                <w:szCs w:val="18"/>
              </w:rPr>
            </w:pPr>
            <w:r w:rsidRPr="006B42D3">
              <w:rPr>
                <w:sz w:val="18"/>
                <w:szCs w:val="18"/>
              </w:rPr>
              <w:t>financorp</w:t>
            </w:r>
          </w:p>
        </w:tc>
        <w:tc>
          <w:tcPr>
            <w:tcW w:w="4527" w:type="dxa"/>
            <w:vAlign w:val="center"/>
          </w:tcPr>
          <w:p w:rsidR="006B42D3" w:rsidRDefault="006B42D3" w:rsidP="00D5401E">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6B42D3">
              <w:rPr>
                <w:b/>
                <w:sz w:val="18"/>
                <w:szCs w:val="18"/>
              </w:rPr>
              <w:t>Financial net worth of financial corporations, as % of GDP</w:t>
            </w:r>
          </w:p>
          <w:p w:rsidR="006B42D3" w:rsidRDefault="006B42D3" w:rsidP="00D5401E">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6B42D3" w:rsidRPr="006B42D3" w:rsidRDefault="006B42D3" w:rsidP="00D5401E">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Source: OECD (National Accounts, Financial Indicators - Stocks). “</w:t>
            </w:r>
            <w:r w:rsidRPr="006B42D3">
              <w:rPr>
                <w:sz w:val="18"/>
                <w:szCs w:val="18"/>
              </w:rPr>
              <w:t>The financial net worth is the balancing item of the financial balance sheet (financial assets minus liabilities) which represents a synthesis of all financial stocks for the various institut</w:t>
            </w:r>
            <w:r>
              <w:rPr>
                <w:sz w:val="18"/>
                <w:szCs w:val="18"/>
              </w:rPr>
              <w:t>ional sectors of the economy”</w:t>
            </w:r>
            <w:r>
              <w:rPr>
                <w:rStyle w:val="FootnoteReference"/>
                <w:sz w:val="18"/>
                <w:szCs w:val="18"/>
              </w:rPr>
              <w:footnoteReference w:id="40"/>
            </w:r>
            <w:r w:rsidR="00754897">
              <w:rPr>
                <w:sz w:val="18"/>
                <w:szCs w:val="18"/>
              </w:rPr>
              <w:t>.</w:t>
            </w:r>
          </w:p>
        </w:tc>
        <w:tc>
          <w:tcPr>
            <w:tcW w:w="1984" w:type="dxa"/>
          </w:tcPr>
          <w:p w:rsidR="006B42D3" w:rsidRDefault="006B42D3" w:rsidP="00DF398B">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1395" w:type="dxa"/>
          </w:tcPr>
          <w:p w:rsidR="006B42D3" w:rsidRDefault="006B42D3" w:rsidP="00D5401E">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1990-2015</w:t>
            </w:r>
          </w:p>
        </w:tc>
      </w:tr>
      <w:tr w:rsidR="007432A3" w:rsidRPr="002E6A4D" w:rsidTr="006B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vAlign w:val="center"/>
          </w:tcPr>
          <w:p w:rsidR="007432A3" w:rsidRDefault="006E1E67" w:rsidP="00D5401E">
            <w:pPr>
              <w:spacing w:before="40"/>
              <w:rPr>
                <w:sz w:val="18"/>
                <w:szCs w:val="18"/>
              </w:rPr>
            </w:pPr>
            <w:r w:rsidRPr="006E1E67">
              <w:rPr>
                <w:sz w:val="18"/>
                <w:szCs w:val="18"/>
              </w:rPr>
              <w:t>top10inc</w:t>
            </w:r>
          </w:p>
          <w:p w:rsidR="006E1E67" w:rsidRDefault="006E1E67" w:rsidP="00D5401E">
            <w:pPr>
              <w:spacing w:before="40"/>
              <w:rPr>
                <w:sz w:val="18"/>
                <w:szCs w:val="18"/>
              </w:rPr>
            </w:pPr>
            <w:r w:rsidRPr="006E1E67">
              <w:rPr>
                <w:sz w:val="18"/>
                <w:szCs w:val="18"/>
              </w:rPr>
              <w:t>top5inc</w:t>
            </w:r>
          </w:p>
          <w:p w:rsidR="006E1E67" w:rsidRPr="003A2E50" w:rsidRDefault="006E1E67" w:rsidP="00D5401E">
            <w:pPr>
              <w:spacing w:before="40"/>
              <w:rPr>
                <w:sz w:val="18"/>
                <w:szCs w:val="18"/>
              </w:rPr>
            </w:pPr>
            <w:r w:rsidRPr="006E1E67">
              <w:rPr>
                <w:sz w:val="18"/>
                <w:szCs w:val="18"/>
              </w:rPr>
              <w:t>top1inc</w:t>
            </w:r>
          </w:p>
        </w:tc>
        <w:tc>
          <w:tcPr>
            <w:tcW w:w="4527" w:type="dxa"/>
            <w:vAlign w:val="center"/>
          </w:tcPr>
          <w:p w:rsidR="007432A3" w:rsidRDefault="006E1E67" w:rsidP="00D5401E">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6E1E67">
              <w:rPr>
                <w:b/>
                <w:sz w:val="18"/>
                <w:szCs w:val="18"/>
              </w:rPr>
              <w:t>Top 10% income share</w:t>
            </w:r>
          </w:p>
          <w:p w:rsidR="006E1E67" w:rsidRDefault="006E1E67" w:rsidP="00D5401E">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6E1E67">
              <w:rPr>
                <w:b/>
                <w:sz w:val="18"/>
                <w:szCs w:val="18"/>
              </w:rPr>
              <w:t>Top 5% income share</w:t>
            </w:r>
          </w:p>
          <w:p w:rsidR="006E1E67" w:rsidRDefault="006E1E67" w:rsidP="00D5401E">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6E1E67">
              <w:rPr>
                <w:b/>
                <w:sz w:val="18"/>
                <w:szCs w:val="18"/>
              </w:rPr>
              <w:t>Top1% income share</w:t>
            </w:r>
          </w:p>
          <w:p w:rsidR="006E1E67" w:rsidRDefault="006E1E67" w:rsidP="00D5401E">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6E1E67" w:rsidRPr="006E1E67" w:rsidRDefault="006E1E67" w:rsidP="00D5401E">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Source: The World Wealth and Income database. </w:t>
            </w:r>
          </w:p>
        </w:tc>
        <w:tc>
          <w:tcPr>
            <w:tcW w:w="1984" w:type="dxa"/>
          </w:tcPr>
          <w:p w:rsidR="007432A3" w:rsidRDefault="006E1E67" w:rsidP="00DF398B">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1395" w:type="dxa"/>
          </w:tcPr>
          <w:p w:rsidR="007432A3" w:rsidRDefault="006E1E67" w:rsidP="00D5401E">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1960-2015</w:t>
            </w:r>
          </w:p>
        </w:tc>
      </w:tr>
      <w:tr w:rsidR="00265A64" w:rsidRPr="002E6A4D" w:rsidTr="006B7EC0">
        <w:tc>
          <w:tcPr>
            <w:cnfStyle w:val="001000000000" w:firstRow="0" w:lastRow="0" w:firstColumn="1" w:lastColumn="0" w:oddVBand="0" w:evenVBand="0" w:oddHBand="0" w:evenHBand="0" w:firstRowFirstColumn="0" w:firstRowLastColumn="0" w:lastRowFirstColumn="0" w:lastRowLastColumn="0"/>
            <w:tcW w:w="1110" w:type="dxa"/>
            <w:vAlign w:val="center"/>
          </w:tcPr>
          <w:p w:rsidR="00265A64" w:rsidRPr="00265A64" w:rsidRDefault="00265A64" w:rsidP="00265A64">
            <w:pPr>
              <w:spacing w:before="40"/>
              <w:rPr>
                <w:sz w:val="18"/>
                <w:szCs w:val="18"/>
              </w:rPr>
            </w:pPr>
            <w:r w:rsidRPr="00265A64">
              <w:rPr>
                <w:sz w:val="18"/>
                <w:szCs w:val="18"/>
              </w:rPr>
              <w:t>top10av</w:t>
            </w:r>
          </w:p>
          <w:p w:rsidR="00265A64" w:rsidRPr="00265A64" w:rsidRDefault="00265A64" w:rsidP="00265A64">
            <w:pPr>
              <w:spacing w:before="40"/>
              <w:rPr>
                <w:sz w:val="18"/>
                <w:szCs w:val="18"/>
              </w:rPr>
            </w:pPr>
            <w:r w:rsidRPr="00265A64">
              <w:rPr>
                <w:sz w:val="18"/>
                <w:szCs w:val="18"/>
              </w:rPr>
              <w:t>top5av</w:t>
            </w:r>
          </w:p>
          <w:p w:rsidR="00265A64" w:rsidRPr="006E1E67" w:rsidRDefault="00265A64" w:rsidP="00265A64">
            <w:pPr>
              <w:spacing w:before="40"/>
              <w:rPr>
                <w:sz w:val="18"/>
                <w:szCs w:val="18"/>
              </w:rPr>
            </w:pPr>
            <w:r w:rsidRPr="00265A64">
              <w:rPr>
                <w:sz w:val="18"/>
                <w:szCs w:val="18"/>
              </w:rPr>
              <w:t>top1av</w:t>
            </w:r>
          </w:p>
        </w:tc>
        <w:tc>
          <w:tcPr>
            <w:tcW w:w="4527" w:type="dxa"/>
            <w:vAlign w:val="center"/>
          </w:tcPr>
          <w:p w:rsidR="00265A64" w:rsidRPr="00265A64" w:rsidRDefault="00265A64" w:rsidP="00265A64">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265A64">
              <w:rPr>
                <w:b/>
                <w:sz w:val="18"/>
                <w:szCs w:val="18"/>
              </w:rPr>
              <w:t>Top 10% average income</w:t>
            </w:r>
          </w:p>
          <w:p w:rsidR="00265A64" w:rsidRPr="00265A64" w:rsidRDefault="00265A64" w:rsidP="00265A64">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265A64">
              <w:rPr>
                <w:b/>
                <w:sz w:val="18"/>
                <w:szCs w:val="18"/>
              </w:rPr>
              <w:t>Top 5% average income</w:t>
            </w:r>
          </w:p>
          <w:p w:rsidR="00265A64" w:rsidRDefault="00265A64" w:rsidP="00265A64">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265A64">
              <w:rPr>
                <w:b/>
                <w:sz w:val="18"/>
                <w:szCs w:val="18"/>
              </w:rPr>
              <w:t>Top 1% average income</w:t>
            </w:r>
          </w:p>
          <w:p w:rsidR="00DE06FD" w:rsidRDefault="00DE06FD" w:rsidP="00265A64">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DE06FD">
              <w:rPr>
                <w:b/>
                <w:sz w:val="18"/>
                <w:szCs w:val="18"/>
              </w:rPr>
              <w:t>Bottom 90% average income</w:t>
            </w:r>
          </w:p>
          <w:p w:rsidR="00DE06FD" w:rsidRPr="00DE06FD" w:rsidRDefault="00DE06FD" w:rsidP="00265A64">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265A64" w:rsidRPr="006E1E67" w:rsidRDefault="00265A64" w:rsidP="00265A64">
            <w:pPr>
              <w:spacing w:before="40"/>
              <w:cnfStyle w:val="000000000000" w:firstRow="0" w:lastRow="0" w:firstColumn="0" w:lastColumn="0" w:oddVBand="0" w:evenVBand="0" w:oddHBand="0" w:evenHBand="0" w:firstRowFirstColumn="0" w:firstRowLastColumn="0" w:lastRowFirstColumn="0" w:lastRowLastColumn="0"/>
              <w:rPr>
                <w:b/>
                <w:sz w:val="18"/>
                <w:szCs w:val="18"/>
              </w:rPr>
            </w:pPr>
            <w:r>
              <w:rPr>
                <w:sz w:val="18"/>
                <w:szCs w:val="18"/>
              </w:rPr>
              <w:t>Source: The World Wealth and Income database.</w:t>
            </w:r>
          </w:p>
        </w:tc>
        <w:tc>
          <w:tcPr>
            <w:tcW w:w="1984" w:type="dxa"/>
          </w:tcPr>
          <w:p w:rsidR="00265A64" w:rsidRDefault="001D0969" w:rsidP="00265A64">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units</w:t>
            </w:r>
          </w:p>
        </w:tc>
        <w:tc>
          <w:tcPr>
            <w:tcW w:w="1395" w:type="dxa"/>
          </w:tcPr>
          <w:p w:rsidR="00265A64" w:rsidRDefault="00265A64" w:rsidP="00265A64">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1960-2015</w:t>
            </w:r>
          </w:p>
        </w:tc>
      </w:tr>
      <w:tr w:rsidR="00FF47DE" w:rsidRPr="002E6A4D" w:rsidTr="006B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vAlign w:val="center"/>
          </w:tcPr>
          <w:p w:rsidR="00FF47DE" w:rsidRPr="00265A64" w:rsidRDefault="001F25E0" w:rsidP="00265A64">
            <w:pPr>
              <w:spacing w:before="40"/>
              <w:rPr>
                <w:sz w:val="18"/>
                <w:szCs w:val="18"/>
              </w:rPr>
            </w:pPr>
            <w:r>
              <w:rPr>
                <w:sz w:val="18"/>
                <w:szCs w:val="18"/>
              </w:rPr>
              <w:t>poverty</w:t>
            </w:r>
          </w:p>
        </w:tc>
        <w:tc>
          <w:tcPr>
            <w:tcW w:w="4527" w:type="dxa"/>
            <w:vAlign w:val="center"/>
          </w:tcPr>
          <w:p w:rsidR="00FF47DE" w:rsidRDefault="001F25E0" w:rsidP="00265A64">
            <w:pPr>
              <w:spacing w:before="40"/>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 xml:space="preserve">Poverty rate, after taxes and transfers </w:t>
            </w:r>
            <w:r w:rsidRPr="001F25E0">
              <w:rPr>
                <w:sz w:val="18"/>
                <w:szCs w:val="18"/>
              </w:rPr>
              <w:t>(poverty line 50%)</w:t>
            </w:r>
          </w:p>
          <w:p w:rsidR="001F25E0" w:rsidRDefault="001F25E0" w:rsidP="00265A64">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FF47DE" w:rsidRPr="001F25E0" w:rsidRDefault="001F25E0" w:rsidP="00265A64">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1F25E0">
              <w:rPr>
                <w:sz w:val="18"/>
                <w:szCs w:val="18"/>
              </w:rPr>
              <w:t xml:space="preserve">Source: </w:t>
            </w:r>
            <w:r>
              <w:rPr>
                <w:sz w:val="18"/>
                <w:szCs w:val="18"/>
              </w:rPr>
              <w:t>OECD Income Distribution and Poverty</w:t>
            </w:r>
          </w:p>
          <w:p w:rsidR="00FF47DE" w:rsidRPr="00FF47DE" w:rsidRDefault="00FF47DE" w:rsidP="00265A64">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FF47DE">
              <w:rPr>
                <w:sz w:val="18"/>
                <w:szCs w:val="18"/>
              </w:rPr>
              <w:t>The ratio of the number of people who fall below the poverty line and the total population; the poverty line is here taken as half the median household income.</w:t>
            </w:r>
          </w:p>
        </w:tc>
        <w:tc>
          <w:tcPr>
            <w:tcW w:w="1984" w:type="dxa"/>
          </w:tcPr>
          <w:p w:rsidR="00FF47DE" w:rsidRDefault="00FF47DE" w:rsidP="00265A64">
            <w:pPr>
              <w:spacing w:before="40"/>
              <w:cnfStyle w:val="000000100000" w:firstRow="0" w:lastRow="0" w:firstColumn="0" w:lastColumn="0" w:oddVBand="0" w:evenVBand="0" w:oddHBand="1" w:evenHBand="0" w:firstRowFirstColumn="0" w:firstRowLastColumn="0" w:lastRowFirstColumn="0" w:lastRowLastColumn="0"/>
              <w:rPr>
                <w:sz w:val="18"/>
                <w:szCs w:val="18"/>
              </w:rPr>
            </w:pPr>
          </w:p>
        </w:tc>
        <w:tc>
          <w:tcPr>
            <w:tcW w:w="1395" w:type="dxa"/>
          </w:tcPr>
          <w:p w:rsidR="00FF47DE" w:rsidRDefault="001F25E0" w:rsidP="00265A64">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2000 - 2013</w:t>
            </w:r>
          </w:p>
        </w:tc>
      </w:tr>
      <w:tr w:rsidR="001D0969" w:rsidRPr="002E6A4D" w:rsidTr="006B7EC0">
        <w:tc>
          <w:tcPr>
            <w:cnfStyle w:val="001000000000" w:firstRow="0" w:lastRow="0" w:firstColumn="1" w:lastColumn="0" w:oddVBand="0" w:evenVBand="0" w:oddHBand="0" w:evenHBand="0" w:firstRowFirstColumn="0" w:firstRowLastColumn="0" w:lastRowFirstColumn="0" w:lastRowLastColumn="0"/>
            <w:tcW w:w="1110" w:type="dxa"/>
            <w:vAlign w:val="center"/>
          </w:tcPr>
          <w:p w:rsidR="001D0969" w:rsidRPr="00265A64" w:rsidRDefault="001D0969" w:rsidP="001D0969">
            <w:pPr>
              <w:spacing w:before="40"/>
              <w:rPr>
                <w:sz w:val="18"/>
                <w:szCs w:val="18"/>
              </w:rPr>
            </w:pPr>
            <w:r w:rsidRPr="001D0969">
              <w:rPr>
                <w:sz w:val="18"/>
                <w:szCs w:val="18"/>
              </w:rPr>
              <w:t>totalpop</w:t>
            </w:r>
          </w:p>
        </w:tc>
        <w:tc>
          <w:tcPr>
            <w:tcW w:w="4527" w:type="dxa"/>
            <w:vAlign w:val="center"/>
          </w:tcPr>
          <w:p w:rsidR="001D0969" w:rsidRDefault="001D0969" w:rsidP="001D0969">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1D0969">
              <w:rPr>
                <w:b/>
                <w:sz w:val="18"/>
                <w:szCs w:val="18"/>
              </w:rPr>
              <w:t>Total population</w:t>
            </w:r>
          </w:p>
          <w:p w:rsidR="001D0969" w:rsidRDefault="001D0969" w:rsidP="001D0969">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1D0969" w:rsidRPr="001D0969" w:rsidRDefault="001D0969" w:rsidP="001D0969">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Source: OECD – demography and population</w:t>
            </w:r>
            <w:r>
              <w:rPr>
                <w:rStyle w:val="FootnoteReference"/>
                <w:sz w:val="18"/>
                <w:szCs w:val="18"/>
              </w:rPr>
              <w:footnoteReference w:id="41"/>
            </w:r>
            <w:r>
              <w:rPr>
                <w:sz w:val="18"/>
                <w:szCs w:val="18"/>
              </w:rPr>
              <w:t>.</w:t>
            </w:r>
          </w:p>
        </w:tc>
        <w:tc>
          <w:tcPr>
            <w:tcW w:w="1984" w:type="dxa"/>
          </w:tcPr>
          <w:p w:rsidR="001D0969" w:rsidRDefault="001D0969" w:rsidP="001D0969">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units</w:t>
            </w:r>
          </w:p>
        </w:tc>
        <w:tc>
          <w:tcPr>
            <w:tcW w:w="1395" w:type="dxa"/>
          </w:tcPr>
          <w:p w:rsidR="001D0969" w:rsidRDefault="001D0969" w:rsidP="001D0969">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1960-2015</w:t>
            </w:r>
          </w:p>
        </w:tc>
      </w:tr>
      <w:tr w:rsidR="001D0969" w:rsidRPr="002E6A4D" w:rsidTr="006B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vAlign w:val="center"/>
          </w:tcPr>
          <w:p w:rsidR="001D0969" w:rsidRPr="001D0969" w:rsidRDefault="001D0969" w:rsidP="001D0969">
            <w:pPr>
              <w:spacing w:before="40"/>
              <w:rPr>
                <w:sz w:val="18"/>
                <w:szCs w:val="18"/>
              </w:rPr>
            </w:pPr>
            <w:r w:rsidRPr="001D0969">
              <w:rPr>
                <w:sz w:val="18"/>
                <w:szCs w:val="18"/>
              </w:rPr>
              <w:t>demind</w:t>
            </w:r>
          </w:p>
        </w:tc>
        <w:tc>
          <w:tcPr>
            <w:tcW w:w="4527" w:type="dxa"/>
            <w:vAlign w:val="center"/>
          </w:tcPr>
          <w:p w:rsidR="001D0969" w:rsidRDefault="001D0969" w:rsidP="001D0969">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1D0969">
              <w:rPr>
                <w:b/>
                <w:sz w:val="18"/>
                <w:szCs w:val="18"/>
              </w:rPr>
              <w:t>Economist Intelligence Unit Democracy Index</w:t>
            </w:r>
          </w:p>
          <w:p w:rsidR="001D0969" w:rsidRDefault="001D0969" w:rsidP="001D0969">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1D0969" w:rsidRPr="001D0969" w:rsidRDefault="001D0969" w:rsidP="001D0969">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Source: Economist Intelligence Unit. “</w:t>
            </w:r>
            <w:r w:rsidRPr="001D0969">
              <w:rPr>
                <w:sz w:val="18"/>
                <w:szCs w:val="18"/>
              </w:rPr>
              <w:t>The Democracy Index is based on five categories: electoral process and pluralism; civil liberties; the functioning of government; political participation; and political culture. Based on their scores on a range of indicators within these categories, each country is then itself categorised as one of four types of regime: “full democracies”; “flawed democracies”; “hybrid regimes</w:t>
            </w:r>
            <w:r>
              <w:rPr>
                <w:sz w:val="18"/>
                <w:szCs w:val="18"/>
              </w:rPr>
              <w:t>”; and “authoritarian regimes”</w:t>
            </w:r>
            <w:r>
              <w:rPr>
                <w:rStyle w:val="FootnoteReference"/>
                <w:sz w:val="18"/>
                <w:szCs w:val="18"/>
              </w:rPr>
              <w:footnoteReference w:id="42"/>
            </w:r>
            <w:r>
              <w:rPr>
                <w:sz w:val="18"/>
                <w:szCs w:val="18"/>
              </w:rPr>
              <w:t>.</w:t>
            </w:r>
          </w:p>
        </w:tc>
        <w:tc>
          <w:tcPr>
            <w:tcW w:w="1984" w:type="dxa"/>
          </w:tcPr>
          <w:p w:rsidR="001D0969" w:rsidRDefault="001A2E84" w:rsidP="001D0969">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 – 10 (democratic)</w:t>
            </w:r>
          </w:p>
        </w:tc>
        <w:tc>
          <w:tcPr>
            <w:tcW w:w="1395" w:type="dxa"/>
          </w:tcPr>
          <w:p w:rsidR="001D0969" w:rsidRDefault="001A2E84" w:rsidP="001D0969">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2006 - 2015</w:t>
            </w:r>
          </w:p>
        </w:tc>
      </w:tr>
      <w:tr w:rsidR="00675975" w:rsidRPr="002E6A4D" w:rsidTr="006B7EC0">
        <w:tc>
          <w:tcPr>
            <w:cnfStyle w:val="001000000000" w:firstRow="0" w:lastRow="0" w:firstColumn="1" w:lastColumn="0" w:oddVBand="0" w:evenVBand="0" w:oddHBand="0" w:evenHBand="0" w:firstRowFirstColumn="0" w:firstRowLastColumn="0" w:lastRowFirstColumn="0" w:lastRowLastColumn="0"/>
            <w:tcW w:w="1110" w:type="dxa"/>
            <w:vAlign w:val="center"/>
          </w:tcPr>
          <w:p w:rsidR="00675975" w:rsidRPr="001D0969" w:rsidRDefault="00675975" w:rsidP="001D0969">
            <w:pPr>
              <w:spacing w:before="40"/>
              <w:rPr>
                <w:sz w:val="18"/>
                <w:szCs w:val="18"/>
              </w:rPr>
            </w:pPr>
            <w:r w:rsidRPr="00675975">
              <w:rPr>
                <w:sz w:val="18"/>
                <w:szCs w:val="18"/>
              </w:rPr>
              <w:t>consrule</w:t>
            </w:r>
          </w:p>
        </w:tc>
        <w:tc>
          <w:tcPr>
            <w:tcW w:w="4527" w:type="dxa"/>
            <w:vAlign w:val="center"/>
          </w:tcPr>
          <w:p w:rsidR="00675975" w:rsidRDefault="00675975" w:rsidP="001D0969">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675975">
              <w:rPr>
                <w:b/>
                <w:sz w:val="18"/>
                <w:szCs w:val="18"/>
              </w:rPr>
              <w:t>Consultation on rule-making</w:t>
            </w:r>
          </w:p>
          <w:p w:rsidR="00675975" w:rsidRDefault="00675975" w:rsidP="001D0969">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675975" w:rsidRPr="00675975" w:rsidRDefault="00675975" w:rsidP="00675975">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Source: OECD</w:t>
            </w:r>
            <w:r w:rsidR="00C81C13">
              <w:rPr>
                <w:sz w:val="18"/>
                <w:szCs w:val="18"/>
              </w:rPr>
              <w:t xml:space="preserve"> Social Protection and Well-Being</w:t>
            </w:r>
            <w:r w:rsidR="001A2E84">
              <w:rPr>
                <w:sz w:val="18"/>
                <w:szCs w:val="18"/>
              </w:rPr>
              <w:t xml:space="preserve"> (indicator include in the OECD Better Life Index)</w:t>
            </w:r>
            <w:r>
              <w:rPr>
                <w:sz w:val="18"/>
                <w:szCs w:val="18"/>
              </w:rPr>
              <w:t>. “</w:t>
            </w:r>
            <w:r w:rsidR="00E215AA" w:rsidRPr="00E215AA">
              <w:rPr>
                <w:sz w:val="18"/>
                <w:szCs w:val="18"/>
              </w:rPr>
              <w:t>The indicator is a weighted average of yes/no answers to various questions on the existence of law consultation by citizens, of formal procedures enabling general public to impact regulation and governmental actions. The indicator describes the extent to which formal consultation processes are built in at key stages of the design of regulatory proposals, and what mechanisms exist for the outcome of that consultation to influence the preparation of draft primary laws and subordinate regulations. This indicator has been computed based on responses to the OECD’s survey of regulatory management systems, where respondents were government officials in OECD countries. The indicator is based on questions about the existence of formal procedures enabling general public, business and civil society organisations to impact regulation and governmental actions, and on whether citizens’ views on such consulta</w:t>
            </w:r>
            <w:r w:rsidR="00E215AA">
              <w:rPr>
                <w:sz w:val="18"/>
                <w:szCs w:val="18"/>
              </w:rPr>
              <w:t>tion procedures are made public”</w:t>
            </w:r>
            <w:r w:rsidR="00E215AA">
              <w:rPr>
                <w:rStyle w:val="FootnoteReference"/>
                <w:sz w:val="18"/>
                <w:szCs w:val="18"/>
              </w:rPr>
              <w:footnoteReference w:id="43"/>
            </w:r>
            <w:r w:rsidR="00E215AA">
              <w:rPr>
                <w:sz w:val="18"/>
                <w:szCs w:val="18"/>
              </w:rPr>
              <w:t>.</w:t>
            </w:r>
          </w:p>
          <w:p w:rsidR="00675975" w:rsidRPr="00675975" w:rsidRDefault="00675975" w:rsidP="001D0969">
            <w:pPr>
              <w:spacing w:before="40"/>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rsidR="00675975" w:rsidRDefault="00675975" w:rsidP="001D0969">
            <w:pPr>
              <w:spacing w:before="40"/>
              <w:cnfStyle w:val="000000000000" w:firstRow="0" w:lastRow="0" w:firstColumn="0" w:lastColumn="0" w:oddVBand="0" w:evenVBand="0" w:oddHBand="0" w:evenHBand="0" w:firstRowFirstColumn="0" w:firstRowLastColumn="0" w:lastRowFirstColumn="0" w:lastRowLastColumn="0"/>
              <w:rPr>
                <w:sz w:val="18"/>
                <w:szCs w:val="18"/>
              </w:rPr>
            </w:pPr>
          </w:p>
        </w:tc>
        <w:tc>
          <w:tcPr>
            <w:tcW w:w="1395" w:type="dxa"/>
          </w:tcPr>
          <w:p w:rsidR="00675975" w:rsidRDefault="001A2E84" w:rsidP="001D0969">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2011 - 2015</w:t>
            </w:r>
          </w:p>
        </w:tc>
      </w:tr>
      <w:tr w:rsidR="00E215AA" w:rsidRPr="002E6A4D" w:rsidTr="006B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vAlign w:val="center"/>
          </w:tcPr>
          <w:p w:rsidR="00E215AA" w:rsidRPr="00675975" w:rsidRDefault="00E215AA" w:rsidP="001D0969">
            <w:pPr>
              <w:spacing w:before="40"/>
              <w:rPr>
                <w:sz w:val="18"/>
                <w:szCs w:val="18"/>
              </w:rPr>
            </w:pPr>
            <w:r w:rsidRPr="00E215AA">
              <w:rPr>
                <w:sz w:val="18"/>
                <w:szCs w:val="18"/>
              </w:rPr>
              <w:t>stakeng</w:t>
            </w:r>
          </w:p>
        </w:tc>
        <w:tc>
          <w:tcPr>
            <w:tcW w:w="4527" w:type="dxa"/>
            <w:vAlign w:val="center"/>
          </w:tcPr>
          <w:p w:rsidR="00E215AA" w:rsidRDefault="00E215AA" w:rsidP="001D0969">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E215AA">
              <w:rPr>
                <w:b/>
                <w:sz w:val="18"/>
                <w:szCs w:val="18"/>
              </w:rPr>
              <w:t>Stakeholder engagement for developing regulations</w:t>
            </w:r>
          </w:p>
          <w:p w:rsidR="00E215AA" w:rsidRDefault="00E215AA" w:rsidP="001D0969">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E215AA" w:rsidRPr="00E215AA" w:rsidRDefault="00E215AA" w:rsidP="001D0969">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Source:</w:t>
            </w:r>
            <w:r w:rsidR="001A2E84">
              <w:rPr>
                <w:sz w:val="18"/>
                <w:szCs w:val="18"/>
              </w:rPr>
              <w:t xml:space="preserve"> OECD </w:t>
            </w:r>
            <w:r w:rsidR="00C81C13">
              <w:rPr>
                <w:sz w:val="18"/>
                <w:szCs w:val="18"/>
              </w:rPr>
              <w:t xml:space="preserve">Social Protection and Well-Being </w:t>
            </w:r>
            <w:r w:rsidR="001A2E84">
              <w:rPr>
                <w:sz w:val="18"/>
                <w:szCs w:val="18"/>
              </w:rPr>
              <w:t xml:space="preserve">(indicator include in the OECD Better Life Index). </w:t>
            </w:r>
            <w:r w:rsidR="000D2F8D">
              <w:rPr>
                <w:sz w:val="18"/>
                <w:szCs w:val="18"/>
              </w:rPr>
              <w:t>“</w:t>
            </w:r>
            <w:r w:rsidR="000D2F8D" w:rsidRPr="000D2F8D">
              <w:rPr>
                <w:sz w:val="18"/>
                <w:szCs w:val="18"/>
              </w:rPr>
              <w:t>This indicator describes the extent to which formal stakeholder engagement is built in the development of primary laws and subordinate regulations. The indicator is calculated as the simple average of two composite indicators (covering respectively primary laws and subordinate regulations) that measure four aspects of stakeholder engagement , namely i) systematic adoption (of formal stakeholder engagement requirements); ii) methodology of consultation and stakeholder engagements; iii), transparency of public consultation processes and open government practices; and iv) oversight and quality control that refers to existence of oversight bodies and publicly available information on the results of stakeholder engagement. The maximum score for each of the four dimensions/categories is one and the maximum aggregate score for the composite indicator is then four. The stakeholder engagement indicator has been computed based on responses to the 2014 OECD’s regulatory indicators survey, where respondents were government officials in OECD countries. </w:t>
            </w:r>
            <w:r w:rsidR="000D2F8D" w:rsidRPr="000D2F8D">
              <w:rPr>
                <w:sz w:val="18"/>
                <w:szCs w:val="18"/>
              </w:rPr>
              <w:br/>
              <w:t>The scores for primary laws refer exclusively to processes for developing primary laws initiated by the executive. There is no score for primary laws for the United States where all primary laws are initiated by Congress. In the majority of countries, most primary laws are initiated by the executive, except for Mexico and Korea, where a higher share of primary laws are initiated by parliament/congre</w:t>
            </w:r>
            <w:r w:rsidR="000D2F8D">
              <w:rPr>
                <w:sz w:val="18"/>
                <w:szCs w:val="18"/>
              </w:rPr>
              <w:t>ss (respectively 90.6% and 84%)”.</w:t>
            </w:r>
          </w:p>
        </w:tc>
        <w:tc>
          <w:tcPr>
            <w:tcW w:w="1984" w:type="dxa"/>
          </w:tcPr>
          <w:p w:rsidR="00E215AA" w:rsidRDefault="000D2F8D" w:rsidP="001D0969">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0 - 4</w:t>
            </w:r>
          </w:p>
        </w:tc>
        <w:tc>
          <w:tcPr>
            <w:tcW w:w="1395" w:type="dxa"/>
          </w:tcPr>
          <w:p w:rsidR="00E215AA" w:rsidRDefault="001A2E84" w:rsidP="001D0969">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2016</w:t>
            </w:r>
          </w:p>
        </w:tc>
      </w:tr>
      <w:tr w:rsidR="001840D6" w:rsidRPr="002E6A4D" w:rsidTr="006B7EC0">
        <w:tc>
          <w:tcPr>
            <w:cnfStyle w:val="001000000000" w:firstRow="0" w:lastRow="0" w:firstColumn="1" w:lastColumn="0" w:oddVBand="0" w:evenVBand="0" w:oddHBand="0" w:evenHBand="0" w:firstRowFirstColumn="0" w:firstRowLastColumn="0" w:lastRowFirstColumn="0" w:lastRowLastColumn="0"/>
            <w:tcW w:w="1110" w:type="dxa"/>
            <w:vAlign w:val="center"/>
          </w:tcPr>
          <w:p w:rsidR="001840D6" w:rsidRDefault="001840D6" w:rsidP="001D0969">
            <w:pPr>
              <w:spacing w:before="40"/>
              <w:rPr>
                <w:sz w:val="18"/>
                <w:szCs w:val="18"/>
              </w:rPr>
            </w:pPr>
            <w:r w:rsidRPr="001840D6">
              <w:rPr>
                <w:sz w:val="18"/>
                <w:szCs w:val="18"/>
              </w:rPr>
              <w:t>voiceac</w:t>
            </w:r>
          </w:p>
        </w:tc>
        <w:tc>
          <w:tcPr>
            <w:tcW w:w="4527" w:type="dxa"/>
            <w:vAlign w:val="center"/>
          </w:tcPr>
          <w:p w:rsidR="001840D6" w:rsidRDefault="001840D6" w:rsidP="001D0969">
            <w:pPr>
              <w:spacing w:before="40"/>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Voice and accountability</w:t>
            </w:r>
          </w:p>
          <w:p w:rsidR="00C660CD" w:rsidRDefault="00C660CD" w:rsidP="001D0969">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C660CD" w:rsidRDefault="00C660CD" w:rsidP="001D0969">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C660CD">
              <w:rPr>
                <w:sz w:val="18"/>
                <w:szCs w:val="18"/>
              </w:rPr>
              <w:t>Source:</w:t>
            </w:r>
            <w:r w:rsidR="003025A1">
              <w:rPr>
                <w:sz w:val="18"/>
                <w:szCs w:val="18"/>
              </w:rPr>
              <w:t xml:space="preserve"> Worldwide Governance Indicators.</w:t>
            </w:r>
            <w:r w:rsidR="006C0E8C">
              <w:rPr>
                <w:sz w:val="18"/>
                <w:szCs w:val="18"/>
              </w:rPr>
              <w:t xml:space="preserve"> “</w:t>
            </w:r>
            <w:r w:rsidR="006C0E8C" w:rsidRPr="006C0E8C">
              <w:rPr>
                <w:sz w:val="18"/>
                <w:szCs w:val="18"/>
              </w:rPr>
              <w:t>Reflects perceptions of the extent to which a country's citizens are able to participate in selecting their government, as well as freedom of expression, freedom o</w:t>
            </w:r>
            <w:r w:rsidR="006C0E8C">
              <w:rPr>
                <w:sz w:val="18"/>
                <w:szCs w:val="18"/>
              </w:rPr>
              <w:t xml:space="preserve">f association, and a free media. </w:t>
            </w:r>
            <w:r w:rsidR="006C0E8C" w:rsidRPr="006C0E8C">
              <w:rPr>
                <w:sz w:val="18"/>
                <w:szCs w:val="18"/>
              </w:rPr>
              <w:t>These aggregate indicators combine the views of a large number of enterprise, citizen and expert survey respondents in industrial and developing countries.  They are based on over 30 individual data sources produced by a variety of survey institutes, think tanks, non-governmental organizations, international organizations, and private sector firms</w:t>
            </w:r>
            <w:r w:rsidR="006C0E8C">
              <w:rPr>
                <w:sz w:val="18"/>
                <w:szCs w:val="18"/>
              </w:rPr>
              <w:t>”</w:t>
            </w:r>
            <w:r w:rsidR="006C0E8C">
              <w:rPr>
                <w:rStyle w:val="FootnoteReference"/>
                <w:sz w:val="18"/>
                <w:szCs w:val="18"/>
              </w:rPr>
              <w:footnoteReference w:id="44"/>
            </w:r>
          </w:p>
          <w:p w:rsidR="006C0E8C" w:rsidRPr="00C660CD" w:rsidRDefault="006C0E8C" w:rsidP="001D0969">
            <w:pPr>
              <w:spacing w:before="40"/>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rsidR="001840D6" w:rsidRDefault="000710BB" w:rsidP="001D0969">
            <w:pPr>
              <w:spacing w:before="40"/>
              <w:cnfStyle w:val="000000000000" w:firstRow="0" w:lastRow="0" w:firstColumn="0" w:lastColumn="0" w:oddVBand="0" w:evenVBand="0" w:oddHBand="0" w:evenHBand="0" w:firstRowFirstColumn="0" w:firstRowLastColumn="0" w:lastRowFirstColumn="0" w:lastRowLastColumn="0"/>
              <w:rPr>
                <w:sz w:val="18"/>
                <w:szCs w:val="18"/>
              </w:rPr>
            </w:pPr>
            <w:r w:rsidRPr="000710BB">
              <w:rPr>
                <w:sz w:val="18"/>
                <w:szCs w:val="18"/>
              </w:rPr>
              <w:t>-2.5 (weak) to 2.5 (strong)</w:t>
            </w:r>
          </w:p>
        </w:tc>
        <w:tc>
          <w:tcPr>
            <w:tcW w:w="1395" w:type="dxa"/>
          </w:tcPr>
          <w:p w:rsidR="001840D6" w:rsidRDefault="000710BB" w:rsidP="001D0969">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1996 - 2015</w:t>
            </w:r>
          </w:p>
        </w:tc>
      </w:tr>
      <w:tr w:rsidR="001840D6" w:rsidRPr="002E6A4D" w:rsidTr="006B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vAlign w:val="center"/>
          </w:tcPr>
          <w:p w:rsidR="001840D6" w:rsidRPr="001840D6" w:rsidRDefault="001840D6" w:rsidP="001D0969">
            <w:pPr>
              <w:spacing w:before="40"/>
              <w:rPr>
                <w:sz w:val="18"/>
                <w:szCs w:val="18"/>
              </w:rPr>
            </w:pPr>
            <w:r w:rsidRPr="001840D6">
              <w:rPr>
                <w:sz w:val="18"/>
                <w:szCs w:val="18"/>
              </w:rPr>
              <w:t>contcorr</w:t>
            </w:r>
          </w:p>
        </w:tc>
        <w:tc>
          <w:tcPr>
            <w:tcW w:w="4527" w:type="dxa"/>
            <w:vAlign w:val="center"/>
          </w:tcPr>
          <w:p w:rsidR="001840D6" w:rsidRDefault="001840D6" w:rsidP="001D0969">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1840D6">
              <w:rPr>
                <w:b/>
                <w:sz w:val="18"/>
                <w:szCs w:val="18"/>
              </w:rPr>
              <w:t>Control of corruption</w:t>
            </w:r>
          </w:p>
          <w:p w:rsidR="00C660CD" w:rsidRDefault="00C660CD" w:rsidP="001D0969">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C660CD" w:rsidRPr="00C660CD" w:rsidRDefault="00C660CD" w:rsidP="001D0969">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Source:</w:t>
            </w:r>
            <w:r w:rsidR="003025A1">
              <w:rPr>
                <w:sz w:val="18"/>
                <w:szCs w:val="18"/>
              </w:rPr>
              <w:t xml:space="preserve"> Worldwide Governance Indicators.</w:t>
            </w:r>
            <w:r w:rsidR="00A102FB">
              <w:rPr>
                <w:sz w:val="18"/>
                <w:szCs w:val="18"/>
              </w:rPr>
              <w:t xml:space="preserve"> “</w:t>
            </w:r>
            <w:r w:rsidR="00A102FB" w:rsidRPr="00A102FB">
              <w:rPr>
                <w:sz w:val="18"/>
                <w:szCs w:val="18"/>
              </w:rPr>
              <w:t>Reflects perceptions of the extent to which public power is exercised for private gain, including both petty and grand forms of corruption, as well as "capture" of the state by elites and priva</w:t>
            </w:r>
            <w:r w:rsidR="00A102FB">
              <w:rPr>
                <w:sz w:val="18"/>
                <w:szCs w:val="18"/>
              </w:rPr>
              <w:t>te interests”</w:t>
            </w:r>
            <w:r w:rsidR="00A102FB">
              <w:rPr>
                <w:rStyle w:val="FootnoteReference"/>
                <w:sz w:val="18"/>
                <w:szCs w:val="18"/>
              </w:rPr>
              <w:t xml:space="preserve"> </w:t>
            </w:r>
            <w:r w:rsidR="00A102FB">
              <w:rPr>
                <w:rStyle w:val="FootnoteReference"/>
                <w:sz w:val="18"/>
                <w:szCs w:val="18"/>
              </w:rPr>
              <w:footnoteReference w:id="45"/>
            </w:r>
            <w:r w:rsidR="00A102FB">
              <w:t>.</w:t>
            </w:r>
          </w:p>
        </w:tc>
        <w:tc>
          <w:tcPr>
            <w:tcW w:w="1984" w:type="dxa"/>
          </w:tcPr>
          <w:p w:rsidR="001840D6" w:rsidRDefault="000710BB" w:rsidP="001D0969">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0710BB">
              <w:rPr>
                <w:sz w:val="18"/>
                <w:szCs w:val="18"/>
              </w:rPr>
              <w:t>-2.5 (weak) to 2.5 (strong)</w:t>
            </w:r>
          </w:p>
        </w:tc>
        <w:tc>
          <w:tcPr>
            <w:tcW w:w="1395" w:type="dxa"/>
          </w:tcPr>
          <w:p w:rsidR="001840D6" w:rsidRDefault="000710BB" w:rsidP="001D0969">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1996 - 2015</w:t>
            </w:r>
          </w:p>
        </w:tc>
      </w:tr>
      <w:tr w:rsidR="00BB77BE" w:rsidRPr="002E6A4D" w:rsidTr="006B7EC0">
        <w:tc>
          <w:tcPr>
            <w:cnfStyle w:val="001000000000" w:firstRow="0" w:lastRow="0" w:firstColumn="1" w:lastColumn="0" w:oddVBand="0" w:evenVBand="0" w:oddHBand="0" w:evenHBand="0" w:firstRowFirstColumn="0" w:firstRowLastColumn="0" w:lastRowFirstColumn="0" w:lastRowLastColumn="0"/>
            <w:tcW w:w="1110" w:type="dxa"/>
            <w:vAlign w:val="center"/>
          </w:tcPr>
          <w:p w:rsidR="00BB77BE" w:rsidRPr="001840D6" w:rsidRDefault="00BB77BE" w:rsidP="001D0969">
            <w:pPr>
              <w:spacing w:before="40"/>
              <w:rPr>
                <w:sz w:val="18"/>
                <w:szCs w:val="18"/>
              </w:rPr>
            </w:pPr>
            <w:r w:rsidRPr="00BB77BE">
              <w:rPr>
                <w:sz w:val="18"/>
                <w:szCs w:val="18"/>
              </w:rPr>
              <w:t>envirpol</w:t>
            </w:r>
          </w:p>
        </w:tc>
        <w:tc>
          <w:tcPr>
            <w:tcW w:w="4527" w:type="dxa"/>
            <w:vAlign w:val="center"/>
          </w:tcPr>
          <w:p w:rsidR="00BB77BE" w:rsidRDefault="00BB77BE" w:rsidP="001D0969">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BB77BE">
              <w:rPr>
                <w:b/>
                <w:sz w:val="18"/>
                <w:szCs w:val="18"/>
              </w:rPr>
              <w:t>Environmental policy stringency</w:t>
            </w:r>
            <w:r>
              <w:rPr>
                <w:b/>
                <w:sz w:val="18"/>
                <w:szCs w:val="18"/>
              </w:rPr>
              <w:t xml:space="preserve"> index</w:t>
            </w:r>
          </w:p>
          <w:p w:rsidR="00BB77BE" w:rsidRDefault="00BB77BE" w:rsidP="001D0969">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BB77BE" w:rsidRPr="00BB77BE" w:rsidRDefault="00BB77BE" w:rsidP="001D0969">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Source: OECD. “</w:t>
            </w:r>
            <w:r w:rsidRPr="00BB77BE">
              <w:rPr>
                <w:sz w:val="18"/>
                <w:szCs w:val="18"/>
              </w:rPr>
              <w:t>The OECD Environmental Policy Stringency Index (EPS) is a country-specific and internationally-comparable measure of the stringency of environmental policy. Stringency is defined as the degree to which environmental policies put an explicit or implicit price on polluting or environmentally harmful behaviour. The index ranges from 0 (not stringent) to 6 (highest degree of stringency). The index covers 28 OECD and 6 BRIICS countries for the period 1990-2012. The index is based on the degree of stringency of 14 environmental policy instruments, primarily related to c</w:t>
            </w:r>
            <w:r>
              <w:rPr>
                <w:sz w:val="18"/>
                <w:szCs w:val="18"/>
              </w:rPr>
              <w:t>limate and air pollution”.</w:t>
            </w:r>
          </w:p>
        </w:tc>
        <w:tc>
          <w:tcPr>
            <w:tcW w:w="1984" w:type="dxa"/>
          </w:tcPr>
          <w:p w:rsidR="00BB77BE" w:rsidRPr="000710BB" w:rsidRDefault="00BB77BE" w:rsidP="001D0969">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units</w:t>
            </w:r>
          </w:p>
        </w:tc>
        <w:tc>
          <w:tcPr>
            <w:tcW w:w="1395" w:type="dxa"/>
          </w:tcPr>
          <w:p w:rsidR="00BB77BE" w:rsidRDefault="00BB77BE" w:rsidP="001D0969">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1990-2012</w:t>
            </w:r>
          </w:p>
        </w:tc>
      </w:tr>
      <w:tr w:rsidR="009B7208" w:rsidRPr="002E6A4D" w:rsidTr="006B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vAlign w:val="center"/>
          </w:tcPr>
          <w:p w:rsidR="009B7208" w:rsidRPr="001840D6" w:rsidRDefault="009B7208" w:rsidP="001D0969">
            <w:pPr>
              <w:spacing w:before="40"/>
              <w:rPr>
                <w:sz w:val="18"/>
                <w:szCs w:val="18"/>
              </w:rPr>
            </w:pPr>
            <w:r w:rsidRPr="009B7208">
              <w:rPr>
                <w:sz w:val="18"/>
                <w:szCs w:val="18"/>
              </w:rPr>
              <w:t>annwages</w:t>
            </w:r>
          </w:p>
        </w:tc>
        <w:tc>
          <w:tcPr>
            <w:tcW w:w="4527" w:type="dxa"/>
            <w:vAlign w:val="center"/>
          </w:tcPr>
          <w:p w:rsidR="009B7208" w:rsidRDefault="009B7208" w:rsidP="001D0969">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9B7208">
              <w:rPr>
                <w:b/>
                <w:sz w:val="18"/>
                <w:szCs w:val="18"/>
              </w:rPr>
              <w:t>Average annual wages (2015 constant prices, at 2015 USD PPP)</w:t>
            </w:r>
          </w:p>
          <w:p w:rsidR="00F8196B" w:rsidRDefault="00F8196B" w:rsidP="001D0969">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F8196B" w:rsidRPr="00F8196B" w:rsidRDefault="00F8196B" w:rsidP="001D0969">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Source: OECD Statistics (Labour and Earnings data). “</w:t>
            </w:r>
            <w:r w:rsidRPr="00F8196B">
              <w:rPr>
                <w:sz w:val="18"/>
                <w:szCs w:val="18"/>
              </w:rPr>
              <w:t>Average annual wages per full-time equivalent dependent employee are obtained by dividing the national-accounts-based total wage bill by the average number of employees in the total economy, which is then multiplied by the ratio of average usual weekly hours per full-time employee to average usually</w:t>
            </w:r>
            <w:r>
              <w:rPr>
                <w:sz w:val="18"/>
                <w:szCs w:val="18"/>
              </w:rPr>
              <w:t xml:space="preserve"> weekly hours for all employees”</w:t>
            </w:r>
            <w:r>
              <w:rPr>
                <w:rStyle w:val="FootnoteReference"/>
                <w:sz w:val="18"/>
                <w:szCs w:val="18"/>
              </w:rPr>
              <w:footnoteReference w:id="46"/>
            </w:r>
          </w:p>
        </w:tc>
        <w:tc>
          <w:tcPr>
            <w:tcW w:w="1984" w:type="dxa"/>
          </w:tcPr>
          <w:p w:rsidR="009B7208" w:rsidRPr="000710BB" w:rsidRDefault="009B7208" w:rsidP="001D0969">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units</w:t>
            </w:r>
          </w:p>
        </w:tc>
        <w:tc>
          <w:tcPr>
            <w:tcW w:w="1395" w:type="dxa"/>
          </w:tcPr>
          <w:p w:rsidR="009B7208" w:rsidRDefault="009B7208" w:rsidP="001D0969">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1990-2015</w:t>
            </w:r>
          </w:p>
        </w:tc>
      </w:tr>
      <w:tr w:rsidR="00DC6DBE" w:rsidRPr="002E6A4D" w:rsidTr="006B7EC0">
        <w:tc>
          <w:tcPr>
            <w:cnfStyle w:val="001000000000" w:firstRow="0" w:lastRow="0" w:firstColumn="1" w:lastColumn="0" w:oddVBand="0" w:evenVBand="0" w:oddHBand="0" w:evenHBand="0" w:firstRowFirstColumn="0" w:firstRowLastColumn="0" w:lastRowFirstColumn="0" w:lastRowLastColumn="0"/>
            <w:tcW w:w="1110" w:type="dxa"/>
            <w:vAlign w:val="center"/>
          </w:tcPr>
          <w:p w:rsidR="00DC6DBE" w:rsidRPr="009B7208" w:rsidRDefault="00DC6DBE" w:rsidP="001D0969">
            <w:pPr>
              <w:spacing w:before="40"/>
              <w:rPr>
                <w:sz w:val="18"/>
                <w:szCs w:val="18"/>
              </w:rPr>
            </w:pPr>
            <w:r w:rsidRPr="00DC6DBE">
              <w:rPr>
                <w:sz w:val="18"/>
                <w:szCs w:val="18"/>
              </w:rPr>
              <w:t>exphealt</w:t>
            </w:r>
          </w:p>
        </w:tc>
        <w:tc>
          <w:tcPr>
            <w:tcW w:w="4527" w:type="dxa"/>
            <w:vAlign w:val="center"/>
          </w:tcPr>
          <w:p w:rsidR="00DC6DBE" w:rsidRDefault="00DC6DBE" w:rsidP="001D0969">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DC6DBE">
              <w:rPr>
                <w:b/>
                <w:sz w:val="18"/>
                <w:szCs w:val="18"/>
              </w:rPr>
              <w:t>Current expenditure on health by govt schemes (share of GDP)</w:t>
            </w:r>
          </w:p>
          <w:p w:rsidR="00DC6DBE" w:rsidRDefault="00DC6DBE" w:rsidP="001D0969">
            <w:pPr>
              <w:spacing w:before="40"/>
              <w:cnfStyle w:val="000000000000" w:firstRow="0" w:lastRow="0" w:firstColumn="0" w:lastColumn="0" w:oddVBand="0" w:evenVBand="0" w:oddHBand="0" w:evenHBand="0" w:firstRowFirstColumn="0" w:firstRowLastColumn="0" w:lastRowFirstColumn="0" w:lastRowLastColumn="0"/>
              <w:rPr>
                <w:sz w:val="18"/>
                <w:szCs w:val="18"/>
              </w:rPr>
            </w:pPr>
          </w:p>
          <w:p w:rsidR="00DC6DBE" w:rsidRPr="00DC6DBE" w:rsidRDefault="00DC6DBE" w:rsidP="001D0969">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Source: OECD Health expenditure and financing data. Current expenditure on health, by government schemes and compulsory health care financing schemes.</w:t>
            </w:r>
          </w:p>
        </w:tc>
        <w:tc>
          <w:tcPr>
            <w:tcW w:w="1984" w:type="dxa"/>
          </w:tcPr>
          <w:p w:rsidR="00DC6DBE" w:rsidRDefault="00E14B11" w:rsidP="001D0969">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1395" w:type="dxa"/>
          </w:tcPr>
          <w:p w:rsidR="00DC6DBE" w:rsidRDefault="00E14B11" w:rsidP="001D0969">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1980-2015</w:t>
            </w:r>
          </w:p>
        </w:tc>
      </w:tr>
      <w:tr w:rsidR="00E14B11" w:rsidRPr="002E6A4D" w:rsidTr="006B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vAlign w:val="center"/>
          </w:tcPr>
          <w:p w:rsidR="00E14B11" w:rsidRPr="00DC6DBE" w:rsidRDefault="00E14B11" w:rsidP="001D0969">
            <w:pPr>
              <w:spacing w:before="40"/>
              <w:rPr>
                <w:sz w:val="18"/>
                <w:szCs w:val="18"/>
              </w:rPr>
            </w:pPr>
            <w:r w:rsidRPr="00E14B11">
              <w:rPr>
                <w:sz w:val="18"/>
                <w:szCs w:val="18"/>
              </w:rPr>
              <w:t>lifeexp</w:t>
            </w:r>
          </w:p>
        </w:tc>
        <w:tc>
          <w:tcPr>
            <w:tcW w:w="4527" w:type="dxa"/>
            <w:vAlign w:val="center"/>
          </w:tcPr>
          <w:p w:rsidR="00E14B11" w:rsidRDefault="00E14B11" w:rsidP="001D0969">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E14B11">
              <w:rPr>
                <w:b/>
                <w:sz w:val="18"/>
                <w:szCs w:val="18"/>
              </w:rPr>
              <w:t>Life expectancy (females at birth)</w:t>
            </w:r>
          </w:p>
          <w:p w:rsidR="005E1E10" w:rsidRDefault="005E1E10" w:rsidP="001D0969">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5E1E10" w:rsidRPr="005E1E10" w:rsidRDefault="005E1E10" w:rsidP="005E1E10">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Source: OECD Health status data. A</w:t>
            </w:r>
            <w:r w:rsidRPr="005E1E10">
              <w:rPr>
                <w:sz w:val="18"/>
                <w:szCs w:val="18"/>
              </w:rPr>
              <w:t>verage number of years</w:t>
            </w:r>
            <w:r>
              <w:rPr>
                <w:sz w:val="18"/>
                <w:szCs w:val="18"/>
              </w:rPr>
              <w:t xml:space="preserve"> </w:t>
            </w:r>
            <w:r w:rsidRPr="005E1E10">
              <w:rPr>
                <w:sz w:val="18"/>
                <w:szCs w:val="18"/>
              </w:rPr>
              <w:t>that a person at that age can be expected to live, assuming that age-specific mortality levels</w:t>
            </w:r>
            <w:r>
              <w:rPr>
                <w:sz w:val="18"/>
                <w:szCs w:val="18"/>
              </w:rPr>
              <w:t xml:space="preserve"> </w:t>
            </w:r>
            <w:r w:rsidRPr="005E1E10">
              <w:rPr>
                <w:sz w:val="18"/>
                <w:szCs w:val="18"/>
              </w:rPr>
              <w:t>remain constant.</w:t>
            </w:r>
          </w:p>
        </w:tc>
        <w:tc>
          <w:tcPr>
            <w:tcW w:w="1984" w:type="dxa"/>
          </w:tcPr>
          <w:p w:rsidR="00E14B11" w:rsidRDefault="005E1E10" w:rsidP="001D0969">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years</w:t>
            </w:r>
          </w:p>
        </w:tc>
        <w:tc>
          <w:tcPr>
            <w:tcW w:w="1395" w:type="dxa"/>
          </w:tcPr>
          <w:p w:rsidR="00E14B11" w:rsidRDefault="005E1E10" w:rsidP="001D0969">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1960</w:t>
            </w:r>
            <w:r w:rsidR="009C447F">
              <w:rPr>
                <w:sz w:val="18"/>
                <w:szCs w:val="18"/>
              </w:rPr>
              <w:t xml:space="preserve"> – </w:t>
            </w:r>
            <w:r>
              <w:rPr>
                <w:sz w:val="18"/>
                <w:szCs w:val="18"/>
              </w:rPr>
              <w:t>2015</w:t>
            </w:r>
          </w:p>
        </w:tc>
      </w:tr>
      <w:tr w:rsidR="00607386" w:rsidRPr="002E6A4D" w:rsidTr="006B7EC0">
        <w:tc>
          <w:tcPr>
            <w:cnfStyle w:val="001000000000" w:firstRow="0" w:lastRow="0" w:firstColumn="1" w:lastColumn="0" w:oddVBand="0" w:evenVBand="0" w:oddHBand="0" w:evenHBand="0" w:firstRowFirstColumn="0" w:firstRowLastColumn="0" w:lastRowFirstColumn="0" w:lastRowLastColumn="0"/>
            <w:tcW w:w="1110" w:type="dxa"/>
            <w:vAlign w:val="center"/>
          </w:tcPr>
          <w:p w:rsidR="00607386" w:rsidRPr="00E14B11" w:rsidRDefault="00607386" w:rsidP="00607386">
            <w:pPr>
              <w:spacing w:before="40"/>
              <w:rPr>
                <w:sz w:val="18"/>
                <w:szCs w:val="18"/>
              </w:rPr>
            </w:pPr>
            <w:r>
              <w:rPr>
                <w:sz w:val="18"/>
                <w:szCs w:val="18"/>
              </w:rPr>
              <w:t>lifeexpm</w:t>
            </w:r>
          </w:p>
        </w:tc>
        <w:tc>
          <w:tcPr>
            <w:tcW w:w="4527" w:type="dxa"/>
            <w:vAlign w:val="center"/>
          </w:tcPr>
          <w:p w:rsidR="00607386" w:rsidRDefault="00607386" w:rsidP="00607386">
            <w:pPr>
              <w:spacing w:before="40"/>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Life expectancy (</w:t>
            </w:r>
            <w:r w:rsidRPr="00E14B11">
              <w:rPr>
                <w:b/>
                <w:sz w:val="18"/>
                <w:szCs w:val="18"/>
              </w:rPr>
              <w:t>males at birth)</w:t>
            </w:r>
          </w:p>
          <w:p w:rsidR="00607386" w:rsidRDefault="00607386" w:rsidP="00607386">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607386" w:rsidRPr="00E14B11" w:rsidRDefault="00607386" w:rsidP="00607386">
            <w:pPr>
              <w:spacing w:before="40"/>
              <w:cnfStyle w:val="000000000000" w:firstRow="0" w:lastRow="0" w:firstColumn="0" w:lastColumn="0" w:oddVBand="0" w:evenVBand="0" w:oddHBand="0" w:evenHBand="0" w:firstRowFirstColumn="0" w:firstRowLastColumn="0" w:lastRowFirstColumn="0" w:lastRowLastColumn="0"/>
              <w:rPr>
                <w:b/>
                <w:sz w:val="18"/>
                <w:szCs w:val="18"/>
              </w:rPr>
            </w:pPr>
            <w:r>
              <w:rPr>
                <w:sz w:val="18"/>
                <w:szCs w:val="18"/>
              </w:rPr>
              <w:t>Source: OECD Health status data. A</w:t>
            </w:r>
            <w:r w:rsidRPr="005E1E10">
              <w:rPr>
                <w:sz w:val="18"/>
                <w:szCs w:val="18"/>
              </w:rPr>
              <w:t>verage number of years</w:t>
            </w:r>
            <w:r>
              <w:rPr>
                <w:sz w:val="18"/>
                <w:szCs w:val="18"/>
              </w:rPr>
              <w:t xml:space="preserve"> </w:t>
            </w:r>
            <w:r w:rsidRPr="005E1E10">
              <w:rPr>
                <w:sz w:val="18"/>
                <w:szCs w:val="18"/>
              </w:rPr>
              <w:t>that a person at that age can be expected to live, assuming that age-specific mortality levels</w:t>
            </w:r>
            <w:r>
              <w:rPr>
                <w:sz w:val="18"/>
                <w:szCs w:val="18"/>
              </w:rPr>
              <w:t xml:space="preserve"> </w:t>
            </w:r>
            <w:r w:rsidRPr="005E1E10">
              <w:rPr>
                <w:sz w:val="18"/>
                <w:szCs w:val="18"/>
              </w:rPr>
              <w:t>remain constant.</w:t>
            </w:r>
          </w:p>
        </w:tc>
        <w:tc>
          <w:tcPr>
            <w:tcW w:w="1984" w:type="dxa"/>
          </w:tcPr>
          <w:p w:rsidR="00607386" w:rsidRDefault="00607386" w:rsidP="00607386">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years</w:t>
            </w:r>
          </w:p>
        </w:tc>
        <w:tc>
          <w:tcPr>
            <w:tcW w:w="1395" w:type="dxa"/>
          </w:tcPr>
          <w:p w:rsidR="00607386" w:rsidRDefault="00607386" w:rsidP="00607386">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1960 – 2015</w:t>
            </w:r>
          </w:p>
        </w:tc>
      </w:tr>
      <w:tr w:rsidR="00607386" w:rsidRPr="002E6A4D" w:rsidTr="006B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vAlign w:val="center"/>
          </w:tcPr>
          <w:p w:rsidR="00607386" w:rsidRPr="00E14B11" w:rsidRDefault="00607386" w:rsidP="00607386">
            <w:pPr>
              <w:spacing w:before="40"/>
              <w:rPr>
                <w:sz w:val="18"/>
                <w:szCs w:val="18"/>
              </w:rPr>
            </w:pPr>
            <w:r w:rsidRPr="009C447F">
              <w:rPr>
                <w:sz w:val="18"/>
                <w:szCs w:val="18"/>
              </w:rPr>
              <w:t>physicia</w:t>
            </w:r>
          </w:p>
        </w:tc>
        <w:tc>
          <w:tcPr>
            <w:tcW w:w="4527" w:type="dxa"/>
            <w:vAlign w:val="center"/>
          </w:tcPr>
          <w:p w:rsidR="00607386" w:rsidRDefault="00607386" w:rsidP="00607386">
            <w:pPr>
              <w:spacing w:before="40"/>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 xml:space="preserve">Practicing physicians – density per 1000 individuals </w:t>
            </w:r>
          </w:p>
          <w:p w:rsidR="00607386" w:rsidRDefault="00607386" w:rsidP="00607386">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607386" w:rsidRPr="009C447F" w:rsidRDefault="00607386" w:rsidP="00607386">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Source: OECD Healthcare resources data.</w:t>
            </w:r>
          </w:p>
        </w:tc>
        <w:tc>
          <w:tcPr>
            <w:tcW w:w="1984" w:type="dxa"/>
          </w:tcPr>
          <w:p w:rsidR="00607386" w:rsidRDefault="00607386" w:rsidP="00607386">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head counts</w:t>
            </w:r>
          </w:p>
        </w:tc>
        <w:tc>
          <w:tcPr>
            <w:tcW w:w="1395" w:type="dxa"/>
          </w:tcPr>
          <w:p w:rsidR="00607386" w:rsidRDefault="00607386" w:rsidP="00607386">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1960 - 2015</w:t>
            </w:r>
          </w:p>
        </w:tc>
      </w:tr>
      <w:tr w:rsidR="00607386" w:rsidRPr="002E6A4D" w:rsidTr="006B7EC0">
        <w:tc>
          <w:tcPr>
            <w:cnfStyle w:val="001000000000" w:firstRow="0" w:lastRow="0" w:firstColumn="1" w:lastColumn="0" w:oddVBand="0" w:evenVBand="0" w:oddHBand="0" w:evenHBand="0" w:firstRowFirstColumn="0" w:firstRowLastColumn="0" w:lastRowFirstColumn="0" w:lastRowLastColumn="0"/>
            <w:tcW w:w="1110" w:type="dxa"/>
            <w:vAlign w:val="center"/>
          </w:tcPr>
          <w:p w:rsidR="00607386" w:rsidRPr="009C447F" w:rsidRDefault="00607386" w:rsidP="00607386">
            <w:pPr>
              <w:spacing w:before="40"/>
              <w:rPr>
                <w:sz w:val="18"/>
                <w:szCs w:val="18"/>
              </w:rPr>
            </w:pPr>
            <w:r w:rsidRPr="00C24AD1">
              <w:rPr>
                <w:sz w:val="18"/>
                <w:szCs w:val="18"/>
              </w:rPr>
              <w:t>unempr</w:t>
            </w:r>
          </w:p>
        </w:tc>
        <w:tc>
          <w:tcPr>
            <w:tcW w:w="4527" w:type="dxa"/>
            <w:vAlign w:val="center"/>
          </w:tcPr>
          <w:p w:rsidR="00607386" w:rsidRDefault="00607386" w:rsidP="00607386">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C24AD1">
              <w:rPr>
                <w:b/>
                <w:sz w:val="18"/>
                <w:szCs w:val="18"/>
              </w:rPr>
              <w:t>Harmonised unemployment rate</w:t>
            </w:r>
          </w:p>
          <w:p w:rsidR="00607386" w:rsidRDefault="00607386" w:rsidP="00607386">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607386" w:rsidRPr="00C24AD1" w:rsidRDefault="00607386" w:rsidP="00607386">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Source: OECD Labour market statistics. “</w:t>
            </w:r>
            <w:r w:rsidRPr="00C24AD1">
              <w:rPr>
                <w:sz w:val="18"/>
                <w:szCs w:val="18"/>
              </w:rPr>
              <w:t>Harmonised unemployment rates define the unemployed as people of working age who are without work, are available for work, and have taken specific steps to find work. The uniform application of this definition results in estimates of unemployment rates that are more internationally comparable than estimates based on national definitions of unemployment. This indicator is measured in numbers of unemployed people as a percentage of the labour force and it is seasonally adjusted. The labour force is defined as the total number of unemployed people pl</w:t>
            </w:r>
            <w:r>
              <w:rPr>
                <w:sz w:val="18"/>
                <w:szCs w:val="18"/>
              </w:rPr>
              <w:t>us those in civilian employment”.</w:t>
            </w:r>
          </w:p>
        </w:tc>
        <w:tc>
          <w:tcPr>
            <w:tcW w:w="1984" w:type="dxa"/>
          </w:tcPr>
          <w:p w:rsidR="00607386" w:rsidRDefault="00607386" w:rsidP="00607386">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1395" w:type="dxa"/>
          </w:tcPr>
          <w:p w:rsidR="00607386" w:rsidRDefault="00607386" w:rsidP="00607386">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1980-2015</w:t>
            </w:r>
          </w:p>
        </w:tc>
      </w:tr>
      <w:tr w:rsidR="00607386" w:rsidRPr="002E6A4D" w:rsidTr="006B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vAlign w:val="center"/>
          </w:tcPr>
          <w:p w:rsidR="00607386" w:rsidRPr="00E04E08" w:rsidRDefault="00607386" w:rsidP="00607386">
            <w:pPr>
              <w:spacing w:before="40"/>
              <w:rPr>
                <w:sz w:val="18"/>
                <w:szCs w:val="18"/>
              </w:rPr>
            </w:pPr>
            <w:r w:rsidRPr="008332F5">
              <w:rPr>
                <w:sz w:val="18"/>
                <w:szCs w:val="18"/>
              </w:rPr>
              <w:t>labreg</w:t>
            </w:r>
          </w:p>
        </w:tc>
        <w:tc>
          <w:tcPr>
            <w:tcW w:w="4527" w:type="dxa"/>
            <w:vAlign w:val="center"/>
          </w:tcPr>
          <w:p w:rsidR="00607386" w:rsidRDefault="00607386" w:rsidP="00607386">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8332F5">
              <w:rPr>
                <w:b/>
                <w:sz w:val="18"/>
                <w:szCs w:val="18"/>
              </w:rPr>
              <w:t>CBR Labour Regulation Index</w:t>
            </w:r>
          </w:p>
          <w:p w:rsidR="00607386" w:rsidRDefault="00607386" w:rsidP="00607386">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607386" w:rsidRPr="008332F5" w:rsidRDefault="00607386" w:rsidP="00607386">
            <w:pPr>
              <w:spacing w:before="40"/>
              <w:cnfStyle w:val="000000100000" w:firstRow="0" w:lastRow="0" w:firstColumn="0" w:lastColumn="0" w:oddVBand="0" w:evenVBand="0" w:oddHBand="1" w:evenHBand="0" w:firstRowFirstColumn="0" w:firstRowLastColumn="0" w:lastRowFirstColumn="0" w:lastRowLastColumn="0"/>
              <w:rPr>
                <w:sz w:val="18"/>
                <w:szCs w:val="18"/>
              </w:rPr>
            </w:pPr>
            <w:r w:rsidRPr="008332F5">
              <w:rPr>
                <w:sz w:val="18"/>
                <w:szCs w:val="18"/>
              </w:rPr>
              <w:t>Source: Centre for Business Research, University of Cambridge</w:t>
            </w:r>
            <w:r>
              <w:rPr>
                <w:sz w:val="18"/>
                <w:szCs w:val="18"/>
              </w:rPr>
              <w:t>. “</w:t>
            </w:r>
            <w:r w:rsidRPr="008332F5">
              <w:rPr>
                <w:sz w:val="18"/>
                <w:szCs w:val="18"/>
              </w:rPr>
              <w:t>The CBR Labour Regulation Index Dataset (‘CBR-LRI’) provides data on labour laws in 117 countries for the period from (in most case</w:t>
            </w:r>
            <w:r>
              <w:rPr>
                <w:sz w:val="18"/>
                <w:szCs w:val="18"/>
              </w:rPr>
              <w:t>s) the 1970s to the present day […]</w:t>
            </w:r>
            <w:r w:rsidRPr="008332F5">
              <w:rPr>
                <w:sz w:val="18"/>
                <w:szCs w:val="18"/>
              </w:rPr>
              <w:t>Five areas of labour law are coded, producing five sub-indices. These are: the law governing the definition of the employment relationship and different forms of employment; (including the regulation of the parties’ choice of legal form, and the rules relating to part-time, fixed</w:t>
            </w:r>
            <w:r w:rsidR="000D000C">
              <w:rPr>
                <w:sz w:val="18"/>
                <w:szCs w:val="18"/>
              </w:rPr>
              <w:t>-</w:t>
            </w:r>
            <w:r w:rsidRPr="008332F5">
              <w:rPr>
                <w:sz w:val="18"/>
                <w:szCs w:val="18"/>
              </w:rPr>
              <w:t>term and temporary agency work); the law on working time; the law relating to dismissal; the law governing employee representation; and the law relating to collective action. The 40 variables in the index</w:t>
            </w:r>
            <w:r>
              <w:rPr>
                <w:sz w:val="18"/>
                <w:szCs w:val="18"/>
              </w:rPr>
              <w:t xml:space="preserve"> between them cover these areas”</w:t>
            </w:r>
            <w:r>
              <w:rPr>
                <w:rStyle w:val="FootnoteReference"/>
                <w:sz w:val="18"/>
                <w:szCs w:val="18"/>
              </w:rPr>
              <w:footnoteReference w:id="47"/>
            </w:r>
            <w:r>
              <w:rPr>
                <w:sz w:val="18"/>
                <w:szCs w:val="18"/>
              </w:rPr>
              <w:t>.</w:t>
            </w:r>
          </w:p>
        </w:tc>
        <w:tc>
          <w:tcPr>
            <w:tcW w:w="1984" w:type="dxa"/>
          </w:tcPr>
          <w:p w:rsidR="00607386" w:rsidRDefault="00607386" w:rsidP="00607386">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index (0 - 1)</w:t>
            </w:r>
          </w:p>
        </w:tc>
        <w:tc>
          <w:tcPr>
            <w:tcW w:w="1395" w:type="dxa"/>
          </w:tcPr>
          <w:p w:rsidR="00607386" w:rsidRDefault="00607386" w:rsidP="00607386">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1970 - 2013</w:t>
            </w:r>
          </w:p>
        </w:tc>
      </w:tr>
      <w:tr w:rsidR="00924BCA" w:rsidRPr="002E6A4D" w:rsidTr="006B7EC0">
        <w:tc>
          <w:tcPr>
            <w:cnfStyle w:val="001000000000" w:firstRow="0" w:lastRow="0" w:firstColumn="1" w:lastColumn="0" w:oddVBand="0" w:evenVBand="0" w:oddHBand="0" w:evenHBand="0" w:firstRowFirstColumn="0" w:firstRowLastColumn="0" w:lastRowFirstColumn="0" w:lastRowLastColumn="0"/>
            <w:tcW w:w="1110" w:type="dxa"/>
            <w:vAlign w:val="center"/>
          </w:tcPr>
          <w:p w:rsidR="00924BCA" w:rsidRPr="008332F5" w:rsidRDefault="00924BCA" w:rsidP="00607386">
            <w:pPr>
              <w:spacing w:before="40"/>
              <w:rPr>
                <w:sz w:val="18"/>
                <w:szCs w:val="18"/>
              </w:rPr>
            </w:pPr>
            <w:r w:rsidRPr="00924BCA">
              <w:rPr>
                <w:sz w:val="18"/>
                <w:szCs w:val="18"/>
              </w:rPr>
              <w:t>conprice</w:t>
            </w:r>
          </w:p>
        </w:tc>
        <w:tc>
          <w:tcPr>
            <w:tcW w:w="4527" w:type="dxa"/>
            <w:vAlign w:val="center"/>
          </w:tcPr>
          <w:p w:rsidR="00924BCA" w:rsidRDefault="00670687" w:rsidP="00607386">
            <w:pPr>
              <w:spacing w:before="40"/>
              <w:cnfStyle w:val="000000000000" w:firstRow="0" w:lastRow="0" w:firstColumn="0" w:lastColumn="0" w:oddVBand="0" w:evenVBand="0" w:oddHBand="0" w:evenHBand="0" w:firstRowFirstColumn="0" w:firstRowLastColumn="0" w:lastRowFirstColumn="0" w:lastRowLastColumn="0"/>
              <w:rPr>
                <w:b/>
                <w:sz w:val="18"/>
                <w:szCs w:val="18"/>
              </w:rPr>
            </w:pPr>
            <w:r>
              <w:rPr>
                <w:b/>
                <w:sz w:val="18"/>
                <w:szCs w:val="18"/>
              </w:rPr>
              <w:t>C</w:t>
            </w:r>
            <w:r w:rsidR="00924BCA" w:rsidRPr="00924BCA">
              <w:rPr>
                <w:b/>
                <w:sz w:val="18"/>
                <w:szCs w:val="18"/>
              </w:rPr>
              <w:t xml:space="preserve">onsumer prices </w:t>
            </w:r>
            <w:r>
              <w:rPr>
                <w:b/>
                <w:sz w:val="18"/>
                <w:szCs w:val="18"/>
              </w:rPr>
              <w:t xml:space="preserve">– all items </w:t>
            </w:r>
            <w:r w:rsidR="00924BCA" w:rsidRPr="00924BCA">
              <w:rPr>
                <w:b/>
                <w:sz w:val="18"/>
                <w:szCs w:val="18"/>
              </w:rPr>
              <w:t xml:space="preserve">(percentage change </w:t>
            </w:r>
            <w:r>
              <w:rPr>
                <w:b/>
                <w:sz w:val="18"/>
                <w:szCs w:val="18"/>
              </w:rPr>
              <w:t>from previous period</w:t>
            </w:r>
            <w:r w:rsidR="00924BCA" w:rsidRPr="00924BCA">
              <w:rPr>
                <w:b/>
                <w:sz w:val="18"/>
                <w:szCs w:val="18"/>
              </w:rPr>
              <w:t>)</w:t>
            </w:r>
          </w:p>
          <w:p w:rsidR="00924BCA" w:rsidRDefault="00924BCA" w:rsidP="00607386">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924BCA" w:rsidRDefault="00924BCA" w:rsidP="00607386">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Source: OECD Main Economic Indicators; Consumer Prices data. “</w:t>
            </w:r>
            <w:bookmarkStart w:id="1" w:name="ConceptsClassifications"/>
            <w:r w:rsidRPr="00924BCA">
              <w:rPr>
                <w:sz w:val="18"/>
                <w:szCs w:val="18"/>
              </w:rPr>
              <w:t>Consumer Price Indices (CPIs) measure the average changes in the prices of consumer goods and services purchased by households</w:t>
            </w:r>
            <w:bookmarkEnd w:id="1"/>
            <w:r>
              <w:rPr>
                <w:sz w:val="18"/>
                <w:szCs w:val="18"/>
              </w:rPr>
              <w:t>”</w:t>
            </w:r>
            <w:r>
              <w:rPr>
                <w:rStyle w:val="FootnoteReference"/>
                <w:sz w:val="18"/>
                <w:szCs w:val="18"/>
              </w:rPr>
              <w:footnoteReference w:id="48"/>
            </w:r>
            <w:r w:rsidR="00A736C3">
              <w:rPr>
                <w:sz w:val="18"/>
                <w:szCs w:val="18"/>
              </w:rPr>
              <w:t>.</w:t>
            </w:r>
          </w:p>
          <w:p w:rsidR="00A736C3" w:rsidRPr="00924BCA" w:rsidRDefault="00A736C3" w:rsidP="00607386">
            <w:pPr>
              <w:spacing w:before="40"/>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rsidR="00924BCA" w:rsidRDefault="00924BCA" w:rsidP="00607386">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c>
          <w:tcPr>
            <w:tcW w:w="1395" w:type="dxa"/>
          </w:tcPr>
          <w:p w:rsidR="00924BCA" w:rsidRDefault="00670687" w:rsidP="00607386">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1960</w:t>
            </w:r>
            <w:r w:rsidR="00924BCA">
              <w:rPr>
                <w:sz w:val="18"/>
                <w:szCs w:val="18"/>
              </w:rPr>
              <w:t>-2015</w:t>
            </w:r>
          </w:p>
        </w:tc>
      </w:tr>
      <w:tr w:rsidR="00330515" w:rsidRPr="002E6A4D" w:rsidTr="006B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vAlign w:val="center"/>
          </w:tcPr>
          <w:p w:rsidR="00330515" w:rsidRPr="00924BCA" w:rsidRDefault="00330515" w:rsidP="00607386">
            <w:pPr>
              <w:spacing w:before="40"/>
              <w:rPr>
                <w:sz w:val="18"/>
                <w:szCs w:val="18"/>
              </w:rPr>
            </w:pPr>
            <w:r>
              <w:rPr>
                <w:sz w:val="18"/>
                <w:szCs w:val="18"/>
              </w:rPr>
              <w:t>bonds</w:t>
            </w:r>
          </w:p>
        </w:tc>
        <w:tc>
          <w:tcPr>
            <w:tcW w:w="4527" w:type="dxa"/>
            <w:vAlign w:val="center"/>
          </w:tcPr>
          <w:p w:rsidR="00330515" w:rsidRDefault="00330515" w:rsidP="00607386">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330515">
              <w:rPr>
                <w:b/>
                <w:sz w:val="18"/>
                <w:szCs w:val="18"/>
              </w:rPr>
              <w:t>Government bonds, long-term interest rates, per cent per annum</w:t>
            </w:r>
          </w:p>
          <w:p w:rsidR="00330515" w:rsidRDefault="00330515" w:rsidP="00607386">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330515" w:rsidRPr="00330515" w:rsidRDefault="00330515" w:rsidP="00330515">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Source: OECD Financial Statistics dataset. “</w:t>
            </w:r>
            <w:r w:rsidRPr="00330515">
              <w:rPr>
                <w:sz w:val="18"/>
                <w:szCs w:val="18"/>
              </w:rPr>
              <w:t>Long term (in most cases 10 year) government bonds are the instrument whose yield is used as the representative ‘interest rate’ for this area. Generally the yield is calculated at the pre-tax level and before deductions for brokerage costs and commissions and is derived from the relationship between the present market value of the bond and that at maturity, taking into account also interest pa</w:t>
            </w:r>
            <w:r>
              <w:rPr>
                <w:sz w:val="18"/>
                <w:szCs w:val="18"/>
              </w:rPr>
              <w:t>yments paid through to maturity”</w:t>
            </w:r>
            <w:r>
              <w:rPr>
                <w:rStyle w:val="FootnoteReference"/>
                <w:sz w:val="18"/>
                <w:szCs w:val="18"/>
              </w:rPr>
              <w:footnoteReference w:id="49"/>
            </w:r>
            <w:r w:rsidR="00A736C3">
              <w:rPr>
                <w:sz w:val="18"/>
                <w:szCs w:val="18"/>
              </w:rPr>
              <w:t>.</w:t>
            </w:r>
          </w:p>
          <w:p w:rsidR="00330515" w:rsidRPr="00330515" w:rsidRDefault="00330515" w:rsidP="00607386">
            <w:pPr>
              <w:spacing w:before="40"/>
              <w:cnfStyle w:val="000000100000" w:firstRow="0" w:lastRow="0" w:firstColumn="0" w:lastColumn="0" w:oddVBand="0" w:evenVBand="0" w:oddHBand="1" w:evenHBand="0" w:firstRowFirstColumn="0" w:firstRowLastColumn="0" w:lastRowFirstColumn="0" w:lastRowLastColumn="0"/>
              <w:rPr>
                <w:sz w:val="18"/>
                <w:szCs w:val="18"/>
              </w:rPr>
            </w:pPr>
          </w:p>
        </w:tc>
        <w:tc>
          <w:tcPr>
            <w:tcW w:w="1984" w:type="dxa"/>
          </w:tcPr>
          <w:p w:rsidR="00330515" w:rsidRDefault="00330515" w:rsidP="00607386">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1395" w:type="dxa"/>
          </w:tcPr>
          <w:p w:rsidR="00330515" w:rsidRDefault="00330515" w:rsidP="00607386">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1960-2015</w:t>
            </w:r>
          </w:p>
        </w:tc>
      </w:tr>
      <w:tr w:rsidR="001D551B" w:rsidRPr="002E6A4D" w:rsidTr="006B7EC0">
        <w:tc>
          <w:tcPr>
            <w:cnfStyle w:val="001000000000" w:firstRow="0" w:lastRow="0" w:firstColumn="1" w:lastColumn="0" w:oddVBand="0" w:evenVBand="0" w:oddHBand="0" w:evenHBand="0" w:firstRowFirstColumn="0" w:firstRowLastColumn="0" w:lastRowFirstColumn="0" w:lastRowLastColumn="0"/>
            <w:tcW w:w="1110" w:type="dxa"/>
            <w:vAlign w:val="center"/>
          </w:tcPr>
          <w:p w:rsidR="001D551B" w:rsidRDefault="001D551B" w:rsidP="00607386">
            <w:pPr>
              <w:spacing w:before="40"/>
              <w:rPr>
                <w:sz w:val="18"/>
                <w:szCs w:val="18"/>
              </w:rPr>
            </w:pPr>
            <w:r w:rsidRPr="001D551B">
              <w:rPr>
                <w:sz w:val="18"/>
                <w:szCs w:val="18"/>
              </w:rPr>
              <w:t>emplstat</w:t>
            </w:r>
          </w:p>
        </w:tc>
        <w:tc>
          <w:tcPr>
            <w:tcW w:w="4527" w:type="dxa"/>
            <w:vAlign w:val="center"/>
          </w:tcPr>
          <w:p w:rsidR="001D551B" w:rsidRDefault="001D551B" w:rsidP="00607386">
            <w:pPr>
              <w:spacing w:before="40"/>
              <w:cnfStyle w:val="000000000000" w:firstRow="0" w:lastRow="0" w:firstColumn="0" w:lastColumn="0" w:oddVBand="0" w:evenVBand="0" w:oddHBand="0" w:evenHBand="0" w:firstRowFirstColumn="0" w:firstRowLastColumn="0" w:lastRowFirstColumn="0" w:lastRowLastColumn="0"/>
              <w:rPr>
                <w:b/>
                <w:sz w:val="18"/>
                <w:szCs w:val="18"/>
              </w:rPr>
            </w:pPr>
            <w:r w:rsidRPr="001D551B">
              <w:rPr>
                <w:b/>
                <w:sz w:val="18"/>
                <w:szCs w:val="18"/>
              </w:rPr>
              <w:t>N. of employees in State-owned enterprises</w:t>
            </w:r>
          </w:p>
          <w:p w:rsidR="001D551B" w:rsidRDefault="001D551B" w:rsidP="00607386">
            <w:pPr>
              <w:spacing w:before="40"/>
              <w:cnfStyle w:val="000000000000" w:firstRow="0" w:lastRow="0" w:firstColumn="0" w:lastColumn="0" w:oddVBand="0" w:evenVBand="0" w:oddHBand="0" w:evenHBand="0" w:firstRowFirstColumn="0" w:firstRowLastColumn="0" w:lastRowFirstColumn="0" w:lastRowLastColumn="0"/>
              <w:rPr>
                <w:b/>
                <w:sz w:val="18"/>
                <w:szCs w:val="18"/>
              </w:rPr>
            </w:pPr>
          </w:p>
          <w:p w:rsidR="00E14F65" w:rsidRPr="00E14F65" w:rsidRDefault="001D551B" w:rsidP="00E14F65">
            <w:pPr>
              <w:spacing w:before="40"/>
              <w:cnfStyle w:val="000000000000" w:firstRow="0" w:lastRow="0" w:firstColumn="0" w:lastColumn="0" w:oddVBand="0" w:evenVBand="0" w:oddHBand="0" w:evenHBand="0" w:firstRowFirstColumn="0" w:firstRowLastColumn="0" w:lastRowFirstColumn="0" w:lastRowLastColumn="0"/>
              <w:rPr>
                <w:bCs/>
                <w:sz w:val="18"/>
                <w:szCs w:val="18"/>
              </w:rPr>
            </w:pPr>
            <w:r w:rsidRPr="00E14F65">
              <w:rPr>
                <w:sz w:val="18"/>
                <w:szCs w:val="18"/>
              </w:rPr>
              <w:t>Source:</w:t>
            </w:r>
            <w:r w:rsidR="00E14F65" w:rsidRPr="00E14F65">
              <w:rPr>
                <w:sz w:val="18"/>
                <w:szCs w:val="18"/>
              </w:rPr>
              <w:t xml:space="preserve"> </w:t>
            </w:r>
            <w:r w:rsidR="00E14F65" w:rsidRPr="00E14F65">
              <w:rPr>
                <w:bCs/>
                <w:sz w:val="18"/>
                <w:szCs w:val="18"/>
              </w:rPr>
              <w:t>OECD dataset on the size and composition of national state-owned enterprise sectors</w:t>
            </w:r>
            <w:r w:rsidR="00E14F65">
              <w:rPr>
                <w:bCs/>
                <w:sz w:val="18"/>
                <w:szCs w:val="18"/>
              </w:rPr>
              <w:t>. “</w:t>
            </w:r>
            <w:r w:rsidR="00E14F65" w:rsidRPr="00E14F65">
              <w:rPr>
                <w:bCs/>
                <w:sz w:val="18"/>
                <w:szCs w:val="18"/>
              </w:rPr>
              <w:t>The latest dataset from end-2012 details the size of national SOE sectors in 34 countries (by company value and employment) and provides a breakdown of enterprises by sector and type of incorporation</w:t>
            </w:r>
            <w:r w:rsidR="00E14F65">
              <w:rPr>
                <w:bCs/>
                <w:sz w:val="18"/>
                <w:szCs w:val="18"/>
              </w:rPr>
              <w:t>”</w:t>
            </w:r>
            <w:r w:rsidR="00E14F65">
              <w:rPr>
                <w:rStyle w:val="FootnoteReference"/>
                <w:bCs/>
                <w:sz w:val="18"/>
                <w:szCs w:val="18"/>
              </w:rPr>
              <w:footnoteReference w:id="50"/>
            </w:r>
          </w:p>
          <w:p w:rsidR="001D551B" w:rsidRDefault="001D551B" w:rsidP="00607386">
            <w:pPr>
              <w:spacing w:before="40"/>
              <w:cnfStyle w:val="000000000000" w:firstRow="0" w:lastRow="0" w:firstColumn="0" w:lastColumn="0" w:oddVBand="0" w:evenVBand="0" w:oddHBand="0" w:evenHBand="0" w:firstRowFirstColumn="0" w:firstRowLastColumn="0" w:lastRowFirstColumn="0" w:lastRowLastColumn="0"/>
              <w:rPr>
                <w:sz w:val="18"/>
                <w:szCs w:val="18"/>
              </w:rPr>
            </w:pPr>
          </w:p>
          <w:p w:rsidR="001D551B" w:rsidRPr="001D551B" w:rsidRDefault="001D551B" w:rsidP="00607386">
            <w:pPr>
              <w:spacing w:before="40"/>
              <w:cnfStyle w:val="000000000000" w:firstRow="0" w:lastRow="0" w:firstColumn="0" w:lastColumn="0" w:oddVBand="0" w:evenVBand="0" w:oddHBand="0" w:evenHBand="0" w:firstRowFirstColumn="0" w:firstRowLastColumn="0" w:lastRowFirstColumn="0" w:lastRowLastColumn="0"/>
              <w:rPr>
                <w:sz w:val="18"/>
                <w:szCs w:val="18"/>
              </w:rPr>
            </w:pPr>
          </w:p>
        </w:tc>
        <w:tc>
          <w:tcPr>
            <w:tcW w:w="1984" w:type="dxa"/>
          </w:tcPr>
          <w:p w:rsidR="001D551B" w:rsidRDefault="00E14F65" w:rsidP="00607386">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units</w:t>
            </w:r>
          </w:p>
        </w:tc>
        <w:tc>
          <w:tcPr>
            <w:tcW w:w="1395" w:type="dxa"/>
          </w:tcPr>
          <w:p w:rsidR="001D551B" w:rsidRDefault="00E14F65" w:rsidP="00607386">
            <w:pPr>
              <w:spacing w:before="4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2012</w:t>
            </w:r>
          </w:p>
        </w:tc>
      </w:tr>
      <w:tr w:rsidR="001D551B" w:rsidRPr="002E6A4D" w:rsidTr="006B7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0" w:type="dxa"/>
            <w:vAlign w:val="center"/>
          </w:tcPr>
          <w:p w:rsidR="001D551B" w:rsidRPr="001D551B" w:rsidRDefault="001D551B" w:rsidP="00607386">
            <w:pPr>
              <w:spacing w:before="40"/>
              <w:rPr>
                <w:sz w:val="18"/>
                <w:szCs w:val="18"/>
              </w:rPr>
            </w:pPr>
            <w:r w:rsidRPr="001D551B">
              <w:rPr>
                <w:sz w:val="18"/>
                <w:szCs w:val="18"/>
              </w:rPr>
              <w:t>mvstate</w:t>
            </w:r>
          </w:p>
        </w:tc>
        <w:tc>
          <w:tcPr>
            <w:tcW w:w="4527" w:type="dxa"/>
            <w:vAlign w:val="center"/>
          </w:tcPr>
          <w:p w:rsidR="001D551B" w:rsidRDefault="001D551B" w:rsidP="00607386">
            <w:pPr>
              <w:spacing w:before="40"/>
              <w:cnfStyle w:val="000000100000" w:firstRow="0" w:lastRow="0" w:firstColumn="0" w:lastColumn="0" w:oddVBand="0" w:evenVBand="0" w:oddHBand="1" w:evenHBand="0" w:firstRowFirstColumn="0" w:firstRowLastColumn="0" w:lastRowFirstColumn="0" w:lastRowLastColumn="0"/>
              <w:rPr>
                <w:b/>
                <w:sz w:val="18"/>
                <w:szCs w:val="18"/>
              </w:rPr>
            </w:pPr>
            <w:r w:rsidRPr="001D551B">
              <w:rPr>
                <w:b/>
                <w:sz w:val="18"/>
                <w:szCs w:val="18"/>
              </w:rPr>
              <w:t>Market value of State-owned enterprises (</w:t>
            </w:r>
            <w:r w:rsidR="005013AD">
              <w:rPr>
                <w:b/>
                <w:sz w:val="18"/>
                <w:szCs w:val="18"/>
              </w:rPr>
              <w:t xml:space="preserve">total, </w:t>
            </w:r>
            <w:r w:rsidRPr="001D551B">
              <w:rPr>
                <w:b/>
                <w:sz w:val="18"/>
                <w:szCs w:val="18"/>
              </w:rPr>
              <w:t>USD mn)</w:t>
            </w:r>
          </w:p>
          <w:p w:rsidR="001D551B" w:rsidRDefault="001D551B" w:rsidP="00607386">
            <w:pPr>
              <w:spacing w:before="40"/>
              <w:cnfStyle w:val="000000100000" w:firstRow="0" w:lastRow="0" w:firstColumn="0" w:lastColumn="0" w:oddVBand="0" w:evenVBand="0" w:oddHBand="1" w:evenHBand="0" w:firstRowFirstColumn="0" w:firstRowLastColumn="0" w:lastRowFirstColumn="0" w:lastRowLastColumn="0"/>
              <w:rPr>
                <w:b/>
                <w:sz w:val="18"/>
                <w:szCs w:val="18"/>
              </w:rPr>
            </w:pPr>
          </w:p>
          <w:p w:rsidR="001D551B" w:rsidRPr="001D551B" w:rsidRDefault="001D551B" w:rsidP="00607386">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Source: </w:t>
            </w:r>
            <w:r w:rsidR="00E14F65" w:rsidRPr="00E14F65">
              <w:rPr>
                <w:sz w:val="18"/>
                <w:szCs w:val="18"/>
              </w:rPr>
              <w:t>OECD dataset on the size and composition of national state-owned enterprise sectors</w:t>
            </w:r>
            <w:r w:rsidR="00E14F65">
              <w:rPr>
                <w:sz w:val="18"/>
                <w:szCs w:val="18"/>
              </w:rPr>
              <w:t>.</w:t>
            </w:r>
          </w:p>
        </w:tc>
        <w:tc>
          <w:tcPr>
            <w:tcW w:w="1984" w:type="dxa"/>
          </w:tcPr>
          <w:p w:rsidR="001D551B" w:rsidRDefault="005013AD" w:rsidP="00607386">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units</w:t>
            </w:r>
          </w:p>
        </w:tc>
        <w:tc>
          <w:tcPr>
            <w:tcW w:w="1395" w:type="dxa"/>
          </w:tcPr>
          <w:p w:rsidR="001D551B" w:rsidRDefault="005013AD" w:rsidP="00607386">
            <w:pPr>
              <w:spacing w:before="4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2012</w:t>
            </w:r>
          </w:p>
        </w:tc>
      </w:tr>
    </w:tbl>
    <w:p w:rsidR="00FB523A" w:rsidRDefault="00FB523A"/>
    <w:sectPr w:rsidR="00FB523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DF1" w:rsidRDefault="007C1DF1" w:rsidP="00532E64">
      <w:pPr>
        <w:spacing w:after="0" w:line="240" w:lineRule="auto"/>
      </w:pPr>
      <w:r>
        <w:separator/>
      </w:r>
    </w:p>
  </w:endnote>
  <w:endnote w:type="continuationSeparator" w:id="0">
    <w:p w:rsidR="007C1DF1" w:rsidRDefault="007C1DF1" w:rsidP="0053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DF1" w:rsidRDefault="007C1DF1" w:rsidP="00532E64">
      <w:pPr>
        <w:spacing w:after="0" w:line="240" w:lineRule="auto"/>
      </w:pPr>
      <w:r>
        <w:separator/>
      </w:r>
    </w:p>
  </w:footnote>
  <w:footnote w:type="continuationSeparator" w:id="0">
    <w:p w:rsidR="007C1DF1" w:rsidRDefault="007C1DF1" w:rsidP="00532E64">
      <w:pPr>
        <w:spacing w:after="0" w:line="240" w:lineRule="auto"/>
      </w:pPr>
      <w:r>
        <w:continuationSeparator/>
      </w:r>
    </w:p>
  </w:footnote>
  <w:footnote w:id="1">
    <w:p w:rsidR="00BF0A3A" w:rsidRPr="009017EE" w:rsidRDefault="00BF0A3A" w:rsidP="009E1C03">
      <w:pPr>
        <w:pStyle w:val="FootnoteText"/>
        <w:jc w:val="both"/>
        <w:rPr>
          <w:sz w:val="16"/>
          <w:szCs w:val="16"/>
        </w:rPr>
      </w:pPr>
      <w:r w:rsidRPr="009017EE">
        <w:rPr>
          <w:rStyle w:val="FootnoteReference"/>
          <w:sz w:val="16"/>
          <w:szCs w:val="16"/>
        </w:rPr>
        <w:footnoteRef/>
      </w:r>
      <w:r w:rsidRPr="009017EE">
        <w:rPr>
          <w:sz w:val="16"/>
          <w:szCs w:val="16"/>
        </w:rPr>
        <w:t xml:space="preserve"> </w:t>
      </w:r>
      <w:r>
        <w:rPr>
          <w:sz w:val="16"/>
          <w:szCs w:val="16"/>
        </w:rPr>
        <w:t>AU (Australia); AT (Austria); BE (Belgium); CA (Canada); CL (Chile); CZ (Czech Republic), DK (Denmark); EE (Estonia); FI (Finland); FR (France); DE (Germany); GR (Greece); HU (Hungary); IS (Iceland); IE (Ireland); IL (Israel); IT (Italy); JP (Japan); KR (Republic of Korea); LU (Luxemburg); MX (Mexico); NL (Netherlands); NZ (New Zealand); NO (Norway); PL (Poland); PT (Portugal); SK (Slovak Republic); SI (Slovenia); ES (Spain); SE (Sweden); CH (Switzerland); TR (Turkey); UK (United Kingdom); US (United States).</w:t>
      </w:r>
    </w:p>
  </w:footnote>
  <w:footnote w:id="2">
    <w:p w:rsidR="00BF0A3A" w:rsidRPr="007C1705" w:rsidRDefault="00BF0A3A" w:rsidP="003B4D30">
      <w:pPr>
        <w:pStyle w:val="FootnoteText"/>
        <w:jc w:val="both"/>
        <w:rPr>
          <w:sz w:val="16"/>
          <w:szCs w:val="16"/>
        </w:rPr>
      </w:pPr>
      <w:r w:rsidRPr="007C1705">
        <w:rPr>
          <w:rStyle w:val="FootnoteReference"/>
          <w:sz w:val="16"/>
          <w:szCs w:val="16"/>
        </w:rPr>
        <w:footnoteRef/>
      </w:r>
      <w:r w:rsidRPr="007C1705">
        <w:rPr>
          <w:sz w:val="16"/>
          <w:szCs w:val="16"/>
        </w:rPr>
        <w:t xml:space="preserve"> </w:t>
      </w:r>
      <w:hyperlink r:id="rId1" w:history="1">
        <w:r w:rsidRPr="00DB025C">
          <w:rPr>
            <w:rStyle w:val="Hyperlink"/>
            <w:sz w:val="16"/>
            <w:szCs w:val="16"/>
          </w:rPr>
          <w:t>https://data.oecd.org/unemp/long-term-unemployment-rate.htm</w:t>
        </w:r>
      </w:hyperlink>
      <w:r>
        <w:rPr>
          <w:sz w:val="16"/>
          <w:szCs w:val="16"/>
        </w:rPr>
        <w:t xml:space="preserve"> </w:t>
      </w:r>
    </w:p>
  </w:footnote>
  <w:footnote w:id="3">
    <w:p w:rsidR="00BF0A3A" w:rsidRPr="007C1705" w:rsidRDefault="00BF0A3A">
      <w:pPr>
        <w:pStyle w:val="FootnoteText"/>
        <w:rPr>
          <w:sz w:val="16"/>
          <w:szCs w:val="16"/>
        </w:rPr>
      </w:pPr>
      <w:r w:rsidRPr="007C1705">
        <w:rPr>
          <w:rStyle w:val="FootnoteReference"/>
          <w:sz w:val="16"/>
          <w:szCs w:val="16"/>
        </w:rPr>
        <w:footnoteRef/>
      </w:r>
      <w:r w:rsidRPr="007C1705">
        <w:rPr>
          <w:sz w:val="16"/>
          <w:szCs w:val="16"/>
        </w:rPr>
        <w:t xml:space="preserve"> </w:t>
      </w:r>
      <w:hyperlink r:id="rId2" w:history="1">
        <w:r w:rsidRPr="00DB025C">
          <w:rPr>
            <w:rStyle w:val="Hyperlink"/>
            <w:sz w:val="16"/>
            <w:szCs w:val="16"/>
          </w:rPr>
          <w:t>http://www.ilo.org/ilostat/faces/help_home/data_by_subject/subject-details/indicator-details-by-subject?indicator=TRU_TTRU_SEX_AGE_NB&amp;subject=TRU&amp;datasetCode=YI&amp;collectionCode=YI&amp;_adf.ctrl-state=1as0njm80z_21&amp;_afrLoop=29197503181447#</w:t>
        </w:r>
      </w:hyperlink>
      <w:r w:rsidRPr="007C1705">
        <w:rPr>
          <w:sz w:val="16"/>
          <w:szCs w:val="16"/>
        </w:rPr>
        <w:t>!</w:t>
      </w:r>
      <w:r>
        <w:rPr>
          <w:sz w:val="16"/>
          <w:szCs w:val="16"/>
        </w:rPr>
        <w:t xml:space="preserve"> </w:t>
      </w:r>
    </w:p>
  </w:footnote>
  <w:footnote w:id="4">
    <w:p w:rsidR="00BF0A3A" w:rsidRPr="00F563D0" w:rsidRDefault="00BF0A3A" w:rsidP="003B4D30">
      <w:pPr>
        <w:pStyle w:val="FootnoteText"/>
        <w:rPr>
          <w:sz w:val="16"/>
          <w:szCs w:val="16"/>
        </w:rPr>
      </w:pPr>
      <w:r w:rsidRPr="00F563D0">
        <w:rPr>
          <w:rStyle w:val="FootnoteReference"/>
          <w:sz w:val="16"/>
          <w:szCs w:val="16"/>
        </w:rPr>
        <w:footnoteRef/>
      </w:r>
      <w:r w:rsidRPr="00F563D0">
        <w:rPr>
          <w:sz w:val="16"/>
          <w:szCs w:val="16"/>
        </w:rPr>
        <w:t xml:space="preserve"> </w:t>
      </w:r>
      <w:hyperlink r:id="rId3" w:history="1">
        <w:r w:rsidRPr="00F563D0">
          <w:rPr>
            <w:rStyle w:val="Hyperlink"/>
            <w:sz w:val="16"/>
            <w:szCs w:val="16"/>
          </w:rPr>
          <w:t>https://data.oecd.org/earnwage/gender-wage-gap.htm</w:t>
        </w:r>
      </w:hyperlink>
      <w:r w:rsidRPr="00F563D0">
        <w:rPr>
          <w:sz w:val="16"/>
          <w:szCs w:val="16"/>
        </w:rPr>
        <w:t xml:space="preserve"> </w:t>
      </w:r>
    </w:p>
  </w:footnote>
  <w:footnote w:id="5">
    <w:p w:rsidR="00BF0A3A" w:rsidRPr="00163794" w:rsidRDefault="00BF0A3A">
      <w:pPr>
        <w:pStyle w:val="FootnoteText"/>
        <w:rPr>
          <w:sz w:val="16"/>
          <w:szCs w:val="16"/>
        </w:rPr>
      </w:pPr>
      <w:r w:rsidRPr="00163794">
        <w:rPr>
          <w:rStyle w:val="FootnoteReference"/>
          <w:sz w:val="16"/>
          <w:szCs w:val="16"/>
        </w:rPr>
        <w:footnoteRef/>
      </w:r>
      <w:r w:rsidRPr="00163794">
        <w:rPr>
          <w:sz w:val="16"/>
          <w:szCs w:val="16"/>
        </w:rPr>
        <w:t xml:space="preserve"> </w:t>
      </w:r>
      <w:hyperlink r:id="rId4" w:history="1">
        <w:r w:rsidRPr="00163794">
          <w:rPr>
            <w:rStyle w:val="Hyperlink"/>
            <w:sz w:val="16"/>
            <w:szCs w:val="16"/>
          </w:rPr>
          <w:t>https://www.eurofound.europa.eu/surveys/about-eurofound-surveys/data-availability</w:t>
        </w:r>
      </w:hyperlink>
      <w:r w:rsidRPr="00163794">
        <w:rPr>
          <w:sz w:val="16"/>
          <w:szCs w:val="16"/>
        </w:rPr>
        <w:t xml:space="preserve"> </w:t>
      </w:r>
    </w:p>
  </w:footnote>
  <w:footnote w:id="6">
    <w:p w:rsidR="00BF0A3A" w:rsidRPr="000C5BD2" w:rsidRDefault="00BF0A3A">
      <w:pPr>
        <w:pStyle w:val="FootnoteText"/>
        <w:rPr>
          <w:sz w:val="16"/>
          <w:szCs w:val="16"/>
        </w:rPr>
      </w:pPr>
      <w:r w:rsidRPr="000C5BD2">
        <w:rPr>
          <w:rStyle w:val="FootnoteReference"/>
          <w:sz w:val="16"/>
          <w:szCs w:val="16"/>
        </w:rPr>
        <w:footnoteRef/>
      </w:r>
      <w:r w:rsidRPr="000C5BD2">
        <w:rPr>
          <w:sz w:val="16"/>
          <w:szCs w:val="16"/>
        </w:rPr>
        <w:t xml:space="preserve"> </w:t>
      </w:r>
      <w:hyperlink r:id="rId5" w:history="1">
        <w:r w:rsidRPr="00292FFE">
          <w:rPr>
            <w:rStyle w:val="Hyperlink"/>
            <w:sz w:val="16"/>
            <w:szCs w:val="16"/>
          </w:rPr>
          <w:t>http://www.oecd.org/employment/onlineoecdemploymentdatabase.htm</w:t>
        </w:r>
      </w:hyperlink>
      <w:r>
        <w:rPr>
          <w:sz w:val="16"/>
          <w:szCs w:val="16"/>
        </w:rPr>
        <w:t xml:space="preserve"> </w:t>
      </w:r>
    </w:p>
  </w:footnote>
  <w:footnote w:id="7">
    <w:p w:rsidR="00BF0A3A" w:rsidRPr="00163794" w:rsidRDefault="00BF0A3A" w:rsidP="000C5BD2">
      <w:pPr>
        <w:pStyle w:val="FootnoteText"/>
        <w:rPr>
          <w:sz w:val="16"/>
          <w:szCs w:val="16"/>
        </w:rPr>
      </w:pPr>
      <w:r w:rsidRPr="00163794">
        <w:rPr>
          <w:rStyle w:val="FootnoteReference"/>
          <w:sz w:val="16"/>
          <w:szCs w:val="16"/>
        </w:rPr>
        <w:footnoteRef/>
      </w:r>
      <w:r w:rsidRPr="00163794">
        <w:rPr>
          <w:sz w:val="16"/>
          <w:szCs w:val="16"/>
        </w:rPr>
        <w:t xml:space="preserve"> </w:t>
      </w:r>
      <w:hyperlink r:id="rId6" w:history="1">
        <w:r w:rsidRPr="00163794">
          <w:rPr>
            <w:rStyle w:val="Hyperlink"/>
            <w:sz w:val="16"/>
            <w:szCs w:val="16"/>
          </w:rPr>
          <w:t>http://www.oecd.org/employment/onlineoecdemploymentdatabase.htm</w:t>
        </w:r>
      </w:hyperlink>
      <w:r w:rsidRPr="00163794">
        <w:rPr>
          <w:sz w:val="16"/>
          <w:szCs w:val="16"/>
        </w:rPr>
        <w:t xml:space="preserve"> </w:t>
      </w:r>
    </w:p>
  </w:footnote>
  <w:footnote w:id="8">
    <w:p w:rsidR="00BF0A3A" w:rsidRPr="00B276B3" w:rsidRDefault="00BF0A3A">
      <w:pPr>
        <w:pStyle w:val="FootnoteText"/>
        <w:rPr>
          <w:sz w:val="16"/>
          <w:szCs w:val="16"/>
        </w:rPr>
      </w:pPr>
      <w:r w:rsidRPr="00B276B3">
        <w:rPr>
          <w:rStyle w:val="FootnoteReference"/>
          <w:sz w:val="16"/>
          <w:szCs w:val="16"/>
        </w:rPr>
        <w:footnoteRef/>
      </w:r>
      <w:r w:rsidRPr="00B276B3">
        <w:rPr>
          <w:sz w:val="16"/>
          <w:szCs w:val="16"/>
        </w:rPr>
        <w:t xml:space="preserve"> </w:t>
      </w:r>
      <w:hyperlink r:id="rId7" w:history="1">
        <w:r w:rsidRPr="00B276B3">
          <w:rPr>
            <w:rStyle w:val="Hyperlink"/>
            <w:sz w:val="16"/>
            <w:szCs w:val="16"/>
          </w:rPr>
          <w:t>http://stats.oecd.org/Index.aspx?DatasetCode=AV_AN_WAGE#</w:t>
        </w:r>
      </w:hyperlink>
      <w:r w:rsidRPr="00B276B3">
        <w:rPr>
          <w:sz w:val="16"/>
          <w:szCs w:val="16"/>
        </w:rPr>
        <w:t xml:space="preserve">  </w:t>
      </w:r>
    </w:p>
  </w:footnote>
  <w:footnote w:id="9">
    <w:p w:rsidR="00BF0A3A" w:rsidRPr="00A01DDC" w:rsidRDefault="00BF0A3A">
      <w:pPr>
        <w:pStyle w:val="FootnoteText"/>
        <w:rPr>
          <w:sz w:val="16"/>
          <w:szCs w:val="16"/>
        </w:rPr>
      </w:pPr>
      <w:r w:rsidRPr="00A01DDC">
        <w:rPr>
          <w:rStyle w:val="FootnoteReference"/>
          <w:sz w:val="16"/>
          <w:szCs w:val="16"/>
        </w:rPr>
        <w:footnoteRef/>
      </w:r>
      <w:r w:rsidRPr="00A01DDC">
        <w:rPr>
          <w:sz w:val="16"/>
          <w:szCs w:val="16"/>
        </w:rPr>
        <w:t xml:space="preserve"> </w:t>
      </w:r>
      <w:hyperlink r:id="rId8" w:history="1">
        <w:r w:rsidRPr="00DF6610">
          <w:rPr>
            <w:rStyle w:val="Hyperlink"/>
            <w:sz w:val="16"/>
            <w:szCs w:val="16"/>
          </w:rPr>
          <w:t>https://www.repository.cam.ac.uk/handle/1810/256566</w:t>
        </w:r>
      </w:hyperlink>
      <w:r>
        <w:rPr>
          <w:sz w:val="16"/>
          <w:szCs w:val="16"/>
        </w:rPr>
        <w:t xml:space="preserve"> </w:t>
      </w:r>
    </w:p>
  </w:footnote>
  <w:footnote w:id="10">
    <w:p w:rsidR="00BF0A3A" w:rsidRDefault="00BF0A3A">
      <w:pPr>
        <w:pStyle w:val="FootnoteText"/>
      </w:pPr>
      <w:r w:rsidRPr="00A01DDC">
        <w:rPr>
          <w:rStyle w:val="FootnoteReference"/>
          <w:sz w:val="16"/>
          <w:szCs w:val="16"/>
        </w:rPr>
        <w:footnoteRef/>
      </w:r>
      <w:r w:rsidRPr="00A01DDC">
        <w:rPr>
          <w:sz w:val="16"/>
          <w:szCs w:val="16"/>
        </w:rPr>
        <w:t xml:space="preserve"> </w:t>
      </w:r>
      <w:hyperlink r:id="rId9" w:history="1">
        <w:r w:rsidRPr="00DF6610">
          <w:rPr>
            <w:rStyle w:val="Hyperlink"/>
            <w:sz w:val="16"/>
            <w:szCs w:val="16"/>
          </w:rPr>
          <w:t>https://www.repository.cam.ac.uk/handle/1810/256566</w:t>
        </w:r>
      </w:hyperlink>
      <w:r>
        <w:rPr>
          <w:sz w:val="16"/>
          <w:szCs w:val="16"/>
        </w:rPr>
        <w:t xml:space="preserve"> </w:t>
      </w:r>
    </w:p>
  </w:footnote>
  <w:footnote w:id="11">
    <w:p w:rsidR="00BF0A3A" w:rsidRPr="00361ECA" w:rsidRDefault="00BF0A3A" w:rsidP="003B4D30">
      <w:pPr>
        <w:pStyle w:val="FootnoteText"/>
        <w:rPr>
          <w:sz w:val="16"/>
          <w:szCs w:val="16"/>
        </w:rPr>
      </w:pPr>
      <w:r w:rsidRPr="00361ECA">
        <w:rPr>
          <w:rStyle w:val="FootnoteReference"/>
          <w:sz w:val="16"/>
          <w:szCs w:val="16"/>
        </w:rPr>
        <w:footnoteRef/>
      </w:r>
      <w:r w:rsidRPr="00361ECA">
        <w:rPr>
          <w:sz w:val="16"/>
          <w:szCs w:val="16"/>
        </w:rPr>
        <w:t xml:space="preserve"> </w:t>
      </w:r>
      <w:hyperlink r:id="rId10" w:history="1">
        <w:r w:rsidRPr="00A63E4F">
          <w:rPr>
            <w:rStyle w:val="Hyperlink"/>
            <w:sz w:val="16"/>
            <w:szCs w:val="16"/>
          </w:rPr>
          <w:t>https://www.oecd-ilibrary.org/employment/data/trade-unions/trade-union-density_data-00371-en</w:t>
        </w:r>
      </w:hyperlink>
      <w:r>
        <w:rPr>
          <w:sz w:val="16"/>
          <w:szCs w:val="16"/>
        </w:rPr>
        <w:t xml:space="preserve"> </w:t>
      </w:r>
    </w:p>
  </w:footnote>
  <w:footnote w:id="12">
    <w:p w:rsidR="00BF0A3A" w:rsidRPr="00361ECA" w:rsidRDefault="00BF0A3A">
      <w:pPr>
        <w:pStyle w:val="FootnoteText"/>
        <w:rPr>
          <w:sz w:val="16"/>
          <w:szCs w:val="16"/>
        </w:rPr>
      </w:pPr>
      <w:r w:rsidRPr="00361ECA">
        <w:rPr>
          <w:rStyle w:val="FootnoteReference"/>
          <w:sz w:val="16"/>
          <w:szCs w:val="16"/>
        </w:rPr>
        <w:footnoteRef/>
      </w:r>
      <w:r w:rsidRPr="00361ECA">
        <w:rPr>
          <w:sz w:val="16"/>
          <w:szCs w:val="16"/>
        </w:rPr>
        <w:t xml:space="preserve"> </w:t>
      </w:r>
      <w:hyperlink r:id="rId11" w:history="1">
        <w:r w:rsidRPr="00361ECA">
          <w:rPr>
            <w:rStyle w:val="Hyperlink"/>
            <w:sz w:val="16"/>
            <w:szCs w:val="16"/>
          </w:rPr>
          <w:t>http://www.ilo.org/ilostat/faces/help_home/data_by_country/country-details/indicator-details?indicator=ILR_CBCT_NOC_RT&amp;subject=SOD&amp;datasetCode=AH&amp;collectionCode=IR&amp;country=GBR&amp;_adf.ctrl-state=1as0njm80z_80&amp;_afrLoop=30347624796030#</w:t>
        </w:r>
      </w:hyperlink>
      <w:r w:rsidRPr="00361ECA">
        <w:rPr>
          <w:sz w:val="16"/>
          <w:szCs w:val="16"/>
        </w:rPr>
        <w:t xml:space="preserve">! </w:t>
      </w:r>
    </w:p>
  </w:footnote>
  <w:footnote w:id="13">
    <w:p w:rsidR="00BF0A3A" w:rsidRPr="002D03E0" w:rsidRDefault="00BF0A3A">
      <w:pPr>
        <w:pStyle w:val="FootnoteText"/>
        <w:rPr>
          <w:sz w:val="16"/>
          <w:szCs w:val="16"/>
        </w:rPr>
      </w:pPr>
      <w:r w:rsidRPr="002D03E0">
        <w:rPr>
          <w:rStyle w:val="FootnoteReference"/>
          <w:sz w:val="16"/>
          <w:szCs w:val="16"/>
        </w:rPr>
        <w:footnoteRef/>
      </w:r>
      <w:r w:rsidRPr="002D03E0">
        <w:rPr>
          <w:sz w:val="16"/>
          <w:szCs w:val="16"/>
        </w:rPr>
        <w:t xml:space="preserve"> </w:t>
      </w:r>
      <w:hyperlink r:id="rId12" w:history="1">
        <w:r w:rsidRPr="003D71E6">
          <w:rPr>
            <w:rStyle w:val="Hyperlink"/>
            <w:sz w:val="16"/>
            <w:szCs w:val="16"/>
          </w:rPr>
          <w:t>http://uva-aias.net/en/ictwss</w:t>
        </w:r>
      </w:hyperlink>
    </w:p>
  </w:footnote>
  <w:footnote w:id="14">
    <w:p w:rsidR="00BF0A3A" w:rsidRPr="003D71E6" w:rsidRDefault="00BF0A3A">
      <w:pPr>
        <w:pStyle w:val="FootnoteText"/>
        <w:rPr>
          <w:sz w:val="16"/>
          <w:szCs w:val="16"/>
        </w:rPr>
      </w:pPr>
      <w:r w:rsidRPr="003D71E6">
        <w:rPr>
          <w:rStyle w:val="FootnoteReference"/>
          <w:sz w:val="16"/>
          <w:szCs w:val="16"/>
        </w:rPr>
        <w:footnoteRef/>
      </w:r>
      <w:r w:rsidRPr="003D71E6">
        <w:rPr>
          <w:sz w:val="16"/>
          <w:szCs w:val="16"/>
        </w:rPr>
        <w:t xml:space="preserve"> </w:t>
      </w:r>
      <w:hyperlink r:id="rId13" w:history="1">
        <w:r w:rsidRPr="003D71E6">
          <w:rPr>
            <w:rStyle w:val="Hyperlink"/>
            <w:sz w:val="16"/>
            <w:szCs w:val="16"/>
          </w:rPr>
          <w:t>http://uva-aias.net/en/ictwss</w:t>
        </w:r>
      </w:hyperlink>
    </w:p>
  </w:footnote>
  <w:footnote w:id="15">
    <w:p w:rsidR="00BF0A3A" w:rsidRPr="00BB198E" w:rsidRDefault="00BF0A3A">
      <w:pPr>
        <w:pStyle w:val="FootnoteText"/>
        <w:rPr>
          <w:sz w:val="16"/>
          <w:szCs w:val="16"/>
        </w:rPr>
      </w:pPr>
      <w:r w:rsidRPr="00BB198E">
        <w:rPr>
          <w:rStyle w:val="FootnoteReference"/>
          <w:sz w:val="16"/>
          <w:szCs w:val="16"/>
        </w:rPr>
        <w:footnoteRef/>
      </w:r>
      <w:r w:rsidRPr="00BB198E">
        <w:rPr>
          <w:sz w:val="16"/>
          <w:szCs w:val="16"/>
        </w:rPr>
        <w:t xml:space="preserve"> </w:t>
      </w:r>
      <w:hyperlink r:id="rId14" w:history="1">
        <w:r w:rsidRPr="00BB198E">
          <w:rPr>
            <w:rStyle w:val="Hyperlink"/>
            <w:sz w:val="16"/>
            <w:szCs w:val="16"/>
          </w:rPr>
          <w:t>http://www.eacb.coop/en/cooperative-banks/key-figures.html</w:t>
        </w:r>
      </w:hyperlink>
      <w:r w:rsidRPr="00BB198E">
        <w:rPr>
          <w:sz w:val="16"/>
          <w:szCs w:val="16"/>
        </w:rPr>
        <w:t xml:space="preserve"> </w:t>
      </w:r>
    </w:p>
  </w:footnote>
  <w:footnote w:id="16">
    <w:p w:rsidR="00BF0A3A" w:rsidRPr="003D71E6" w:rsidRDefault="00BF0A3A">
      <w:pPr>
        <w:pStyle w:val="FootnoteText"/>
        <w:rPr>
          <w:sz w:val="16"/>
          <w:szCs w:val="16"/>
        </w:rPr>
      </w:pPr>
      <w:r w:rsidRPr="003D71E6">
        <w:rPr>
          <w:rStyle w:val="FootnoteReference"/>
          <w:sz w:val="16"/>
          <w:szCs w:val="16"/>
        </w:rPr>
        <w:footnoteRef/>
      </w:r>
      <w:r w:rsidRPr="003D71E6">
        <w:rPr>
          <w:sz w:val="16"/>
          <w:szCs w:val="16"/>
        </w:rPr>
        <w:t xml:space="preserve"> </w:t>
      </w:r>
      <w:hyperlink r:id="rId15" w:history="1">
        <w:r w:rsidRPr="003D71E6">
          <w:rPr>
            <w:rStyle w:val="Hyperlink"/>
            <w:sz w:val="16"/>
            <w:szCs w:val="16"/>
          </w:rPr>
          <w:t>http://data.imf.org/regular.aspx?key=61063966</w:t>
        </w:r>
      </w:hyperlink>
    </w:p>
  </w:footnote>
  <w:footnote w:id="17">
    <w:p w:rsidR="00BF0A3A" w:rsidRPr="008B466C" w:rsidRDefault="00BF0A3A">
      <w:pPr>
        <w:pStyle w:val="FootnoteText"/>
        <w:rPr>
          <w:sz w:val="16"/>
          <w:szCs w:val="16"/>
        </w:rPr>
      </w:pPr>
      <w:r w:rsidRPr="008B466C">
        <w:rPr>
          <w:rStyle w:val="FootnoteReference"/>
          <w:sz w:val="16"/>
          <w:szCs w:val="16"/>
        </w:rPr>
        <w:footnoteRef/>
      </w:r>
      <w:r w:rsidRPr="008B466C">
        <w:rPr>
          <w:sz w:val="16"/>
          <w:szCs w:val="16"/>
        </w:rPr>
        <w:t xml:space="preserve"> </w:t>
      </w:r>
      <w:hyperlink r:id="rId16" w:history="1">
        <w:r w:rsidRPr="00483B00">
          <w:rPr>
            <w:rStyle w:val="Hyperlink"/>
            <w:sz w:val="16"/>
            <w:szCs w:val="16"/>
          </w:rPr>
          <w:t>https://data.oecd.org/fdi/fdi-stocks.htm</w:t>
        </w:r>
      </w:hyperlink>
      <w:r>
        <w:rPr>
          <w:sz w:val="16"/>
          <w:szCs w:val="16"/>
        </w:rPr>
        <w:t xml:space="preserve"> </w:t>
      </w:r>
    </w:p>
  </w:footnote>
  <w:footnote w:id="18">
    <w:p w:rsidR="00BF0A3A" w:rsidRPr="008B466C" w:rsidRDefault="00BF0A3A" w:rsidP="001027FB">
      <w:pPr>
        <w:pStyle w:val="FootnoteText"/>
        <w:rPr>
          <w:sz w:val="16"/>
          <w:szCs w:val="16"/>
        </w:rPr>
      </w:pPr>
      <w:r w:rsidRPr="008B466C">
        <w:rPr>
          <w:rStyle w:val="FootnoteReference"/>
          <w:sz w:val="16"/>
          <w:szCs w:val="16"/>
        </w:rPr>
        <w:footnoteRef/>
      </w:r>
      <w:r w:rsidRPr="008B466C">
        <w:rPr>
          <w:sz w:val="16"/>
          <w:szCs w:val="16"/>
        </w:rPr>
        <w:t xml:space="preserve"> </w:t>
      </w:r>
      <w:hyperlink r:id="rId17" w:history="1">
        <w:r w:rsidRPr="00483B00">
          <w:rPr>
            <w:rStyle w:val="Hyperlink"/>
            <w:sz w:val="16"/>
            <w:szCs w:val="16"/>
          </w:rPr>
          <w:t>https://data.oecd.org/fdi/fdi-stocks.htm</w:t>
        </w:r>
      </w:hyperlink>
      <w:r>
        <w:rPr>
          <w:sz w:val="16"/>
          <w:szCs w:val="16"/>
        </w:rPr>
        <w:t xml:space="preserve"> </w:t>
      </w:r>
    </w:p>
  </w:footnote>
  <w:footnote w:id="19">
    <w:p w:rsidR="00BF0A3A" w:rsidRPr="00EC3263" w:rsidRDefault="00BF0A3A">
      <w:pPr>
        <w:pStyle w:val="FootnoteText"/>
        <w:rPr>
          <w:sz w:val="16"/>
          <w:szCs w:val="16"/>
        </w:rPr>
      </w:pPr>
      <w:r w:rsidRPr="00EC3263">
        <w:rPr>
          <w:rStyle w:val="FootnoteReference"/>
          <w:sz w:val="16"/>
          <w:szCs w:val="16"/>
        </w:rPr>
        <w:footnoteRef/>
      </w:r>
      <w:r w:rsidRPr="00EC3263">
        <w:rPr>
          <w:sz w:val="16"/>
          <w:szCs w:val="16"/>
        </w:rPr>
        <w:t xml:space="preserve"> </w:t>
      </w:r>
      <w:hyperlink r:id="rId18" w:history="1">
        <w:r w:rsidRPr="00483B00">
          <w:rPr>
            <w:rStyle w:val="Hyperlink"/>
            <w:sz w:val="16"/>
            <w:szCs w:val="16"/>
          </w:rPr>
          <w:t>https://data.europa.eu/euodp/en/data/dataset/fUWMFC9IKWUo0I75f0BWQ</w:t>
        </w:r>
      </w:hyperlink>
      <w:r>
        <w:rPr>
          <w:sz w:val="16"/>
          <w:szCs w:val="16"/>
        </w:rPr>
        <w:t xml:space="preserve"> </w:t>
      </w:r>
    </w:p>
  </w:footnote>
  <w:footnote w:id="20">
    <w:p w:rsidR="00BF0A3A" w:rsidRPr="00EC3263" w:rsidRDefault="00BF0A3A">
      <w:pPr>
        <w:pStyle w:val="FootnoteText"/>
        <w:rPr>
          <w:sz w:val="16"/>
          <w:szCs w:val="16"/>
        </w:rPr>
      </w:pPr>
      <w:r w:rsidRPr="00EC3263">
        <w:rPr>
          <w:rStyle w:val="FootnoteReference"/>
          <w:sz w:val="16"/>
          <w:szCs w:val="16"/>
        </w:rPr>
        <w:footnoteRef/>
      </w:r>
      <w:r w:rsidRPr="00EC3263">
        <w:rPr>
          <w:sz w:val="16"/>
          <w:szCs w:val="16"/>
        </w:rPr>
        <w:t xml:space="preserve"> </w:t>
      </w:r>
      <w:hyperlink r:id="rId19" w:history="1">
        <w:r w:rsidRPr="00EC3263">
          <w:rPr>
            <w:rStyle w:val="Hyperlink"/>
            <w:sz w:val="16"/>
            <w:szCs w:val="16"/>
          </w:rPr>
          <w:t>https://data.oecd.org/gga/general-government-spending.htm</w:t>
        </w:r>
      </w:hyperlink>
      <w:r w:rsidRPr="00EC3263">
        <w:rPr>
          <w:sz w:val="16"/>
          <w:szCs w:val="16"/>
        </w:rPr>
        <w:t xml:space="preserve"> </w:t>
      </w:r>
    </w:p>
  </w:footnote>
  <w:footnote w:id="21">
    <w:p w:rsidR="00BF0A3A" w:rsidRPr="00701B48" w:rsidRDefault="00BF0A3A">
      <w:pPr>
        <w:pStyle w:val="FootnoteText"/>
        <w:rPr>
          <w:sz w:val="16"/>
          <w:szCs w:val="16"/>
        </w:rPr>
      </w:pPr>
      <w:r w:rsidRPr="00701B48">
        <w:rPr>
          <w:rStyle w:val="FootnoteReference"/>
          <w:sz w:val="16"/>
          <w:szCs w:val="16"/>
        </w:rPr>
        <w:footnoteRef/>
      </w:r>
      <w:r w:rsidRPr="00701B48">
        <w:rPr>
          <w:sz w:val="16"/>
          <w:szCs w:val="16"/>
        </w:rPr>
        <w:t xml:space="preserve"> </w:t>
      </w:r>
      <w:hyperlink r:id="rId20" w:history="1">
        <w:r w:rsidRPr="00701B48">
          <w:rPr>
            <w:rStyle w:val="Hyperlink"/>
            <w:sz w:val="16"/>
            <w:szCs w:val="16"/>
          </w:rPr>
          <w:t>http://wits.worldbank.org/Default.aspx?lang=en</w:t>
        </w:r>
      </w:hyperlink>
      <w:r w:rsidRPr="00701B48">
        <w:rPr>
          <w:sz w:val="16"/>
          <w:szCs w:val="16"/>
        </w:rPr>
        <w:t xml:space="preserve"> </w:t>
      </w:r>
    </w:p>
  </w:footnote>
  <w:footnote w:id="22">
    <w:p w:rsidR="00BF0A3A" w:rsidRPr="00271656" w:rsidRDefault="00BF0A3A" w:rsidP="00271656">
      <w:pPr>
        <w:pStyle w:val="FootnoteText"/>
        <w:rPr>
          <w:sz w:val="16"/>
          <w:szCs w:val="16"/>
        </w:rPr>
      </w:pPr>
      <w:r w:rsidRPr="00271656">
        <w:rPr>
          <w:rStyle w:val="FootnoteReference"/>
          <w:sz w:val="16"/>
          <w:szCs w:val="16"/>
        </w:rPr>
        <w:footnoteRef/>
      </w:r>
      <w:r w:rsidRPr="00271656">
        <w:rPr>
          <w:sz w:val="16"/>
          <w:szCs w:val="16"/>
        </w:rPr>
        <w:t xml:space="preserve"> A count</w:t>
      </w:r>
      <w:r>
        <w:rPr>
          <w:sz w:val="16"/>
          <w:szCs w:val="16"/>
        </w:rPr>
        <w:t>r</w:t>
      </w:r>
      <w:r w:rsidRPr="00271656">
        <w:rPr>
          <w:sz w:val="16"/>
          <w:szCs w:val="16"/>
        </w:rPr>
        <w:t>y with a preponderance of trade value concentrated in a very few markets will have an index value close to 1.</w:t>
      </w:r>
    </w:p>
  </w:footnote>
  <w:footnote w:id="23">
    <w:p w:rsidR="00BF0A3A" w:rsidRPr="003D71E6" w:rsidRDefault="00BF0A3A">
      <w:pPr>
        <w:pStyle w:val="FootnoteText"/>
        <w:rPr>
          <w:sz w:val="16"/>
          <w:szCs w:val="16"/>
        </w:rPr>
      </w:pPr>
      <w:r w:rsidRPr="003D71E6">
        <w:rPr>
          <w:rStyle w:val="FootnoteReference"/>
          <w:sz w:val="16"/>
          <w:szCs w:val="16"/>
        </w:rPr>
        <w:footnoteRef/>
      </w:r>
      <w:r w:rsidRPr="003D71E6">
        <w:rPr>
          <w:sz w:val="16"/>
          <w:szCs w:val="16"/>
        </w:rPr>
        <w:t xml:space="preserve"> </w:t>
      </w:r>
      <w:hyperlink r:id="rId21" w:history="1">
        <w:r w:rsidRPr="003D71E6">
          <w:rPr>
            <w:rStyle w:val="Hyperlink"/>
            <w:sz w:val="16"/>
            <w:szCs w:val="16"/>
          </w:rPr>
          <w:t>https://www.oecd.org/tax/tax-policy/revenue-statistics-levels-of-government.htm</w:t>
        </w:r>
      </w:hyperlink>
    </w:p>
  </w:footnote>
  <w:footnote w:id="24">
    <w:p w:rsidR="00BF0A3A" w:rsidRPr="0086331A" w:rsidRDefault="00BF0A3A" w:rsidP="00E5038C">
      <w:pPr>
        <w:pStyle w:val="FootnoteText"/>
        <w:jc w:val="both"/>
        <w:rPr>
          <w:sz w:val="16"/>
          <w:szCs w:val="16"/>
        </w:rPr>
      </w:pPr>
      <w:r w:rsidRPr="0086331A">
        <w:rPr>
          <w:rStyle w:val="FootnoteReference"/>
          <w:sz w:val="16"/>
          <w:szCs w:val="16"/>
        </w:rPr>
        <w:footnoteRef/>
      </w:r>
      <w:r w:rsidRPr="0086331A">
        <w:rPr>
          <w:sz w:val="16"/>
          <w:szCs w:val="16"/>
        </w:rPr>
        <w:t xml:space="preserve"> Cukierman, A., S. Webb and B. Neyapti (1992), "Measuring the independence of central banks and its effects on policy outcomes", The World Bank Economic Review 6, pp. 353-398.</w:t>
      </w:r>
    </w:p>
  </w:footnote>
  <w:footnote w:id="25">
    <w:p w:rsidR="00BF0A3A" w:rsidRPr="00E5038C" w:rsidRDefault="00BF0A3A" w:rsidP="00E5038C">
      <w:pPr>
        <w:pStyle w:val="FootnoteText"/>
        <w:jc w:val="both"/>
        <w:rPr>
          <w:sz w:val="16"/>
          <w:szCs w:val="16"/>
        </w:rPr>
      </w:pPr>
      <w:r w:rsidRPr="00E5038C">
        <w:rPr>
          <w:rStyle w:val="FootnoteReference"/>
          <w:sz w:val="16"/>
          <w:szCs w:val="16"/>
        </w:rPr>
        <w:footnoteRef/>
      </w:r>
      <w:r w:rsidRPr="00E5038C">
        <w:rPr>
          <w:sz w:val="16"/>
          <w:szCs w:val="16"/>
        </w:rPr>
        <w:t xml:space="preserve"> Christopher Crowe and Ellen E. Meade (2007), "Evolution of Central Bank Governance Around the World," Journal of Econom</w:t>
      </w:r>
      <w:r>
        <w:rPr>
          <w:sz w:val="16"/>
          <w:szCs w:val="16"/>
        </w:rPr>
        <w:t xml:space="preserve">ic Perspectives 21:4, pp. 69-90; </w:t>
      </w:r>
      <w:r w:rsidRPr="00E5038C">
        <w:rPr>
          <w:sz w:val="16"/>
          <w:szCs w:val="16"/>
        </w:rPr>
        <w:t>Fry, M., D. Julius, L. Mahadeva, S. Roger, and G. Sternen (2000), "Key issues in the choice of monetary policy framework", in L. Mahadeva and G. Sterne (eds.), Monetary Policy Frameworks in a Global Context. London: Routledge, pp. 1-216.</w:t>
      </w:r>
    </w:p>
    <w:p w:rsidR="00BF0A3A" w:rsidRPr="00E5038C" w:rsidRDefault="00BF0A3A">
      <w:pPr>
        <w:pStyle w:val="FootnoteText"/>
        <w:rPr>
          <w:sz w:val="16"/>
          <w:szCs w:val="16"/>
        </w:rPr>
      </w:pPr>
    </w:p>
  </w:footnote>
  <w:footnote w:id="26">
    <w:p w:rsidR="00BF0A3A" w:rsidRPr="006B7EC0" w:rsidRDefault="00BF0A3A">
      <w:pPr>
        <w:pStyle w:val="FootnoteText"/>
        <w:rPr>
          <w:sz w:val="16"/>
          <w:szCs w:val="16"/>
        </w:rPr>
      </w:pPr>
      <w:r w:rsidRPr="006B7EC0">
        <w:rPr>
          <w:rStyle w:val="FootnoteReference"/>
          <w:sz w:val="16"/>
          <w:szCs w:val="16"/>
        </w:rPr>
        <w:footnoteRef/>
      </w:r>
      <w:r w:rsidRPr="006B7EC0">
        <w:rPr>
          <w:sz w:val="16"/>
          <w:szCs w:val="16"/>
        </w:rPr>
        <w:t xml:space="preserve"> Fearon, James (2003), “Ethnic and cultural diversity by country”. </w:t>
      </w:r>
      <w:r w:rsidRPr="006B7EC0">
        <w:rPr>
          <w:i/>
          <w:sz w:val="16"/>
          <w:szCs w:val="16"/>
        </w:rPr>
        <w:t>Journal of Economic Growth</w:t>
      </w:r>
      <w:r w:rsidRPr="006B7EC0">
        <w:rPr>
          <w:sz w:val="16"/>
          <w:szCs w:val="16"/>
        </w:rPr>
        <w:t xml:space="preserve"> 8(2): 195-222. </w:t>
      </w:r>
    </w:p>
  </w:footnote>
  <w:footnote w:id="27">
    <w:p w:rsidR="00BF0A3A" w:rsidRPr="006B7EC0" w:rsidRDefault="00BF0A3A" w:rsidP="006B7EC0">
      <w:pPr>
        <w:pStyle w:val="FootnoteText"/>
        <w:rPr>
          <w:sz w:val="16"/>
          <w:szCs w:val="16"/>
        </w:rPr>
      </w:pPr>
      <w:r w:rsidRPr="006B7EC0">
        <w:rPr>
          <w:rStyle w:val="FootnoteReference"/>
          <w:sz w:val="16"/>
          <w:szCs w:val="16"/>
        </w:rPr>
        <w:footnoteRef/>
      </w:r>
      <w:r w:rsidRPr="006B7EC0">
        <w:rPr>
          <w:sz w:val="16"/>
          <w:szCs w:val="16"/>
        </w:rPr>
        <w:t xml:space="preserve"> Fearon, James (2003), “Ethnic and cultural diversity by country”. </w:t>
      </w:r>
      <w:r w:rsidRPr="006B7EC0">
        <w:rPr>
          <w:i/>
          <w:sz w:val="16"/>
          <w:szCs w:val="16"/>
        </w:rPr>
        <w:t>Journal of Economic Growth</w:t>
      </w:r>
      <w:r w:rsidRPr="006B7EC0">
        <w:rPr>
          <w:sz w:val="16"/>
          <w:szCs w:val="16"/>
        </w:rPr>
        <w:t xml:space="preserve"> 8(2): 195-222. </w:t>
      </w:r>
    </w:p>
  </w:footnote>
  <w:footnote w:id="28">
    <w:p w:rsidR="00BF0A3A" w:rsidRPr="00FA38C6" w:rsidRDefault="00BF0A3A">
      <w:pPr>
        <w:pStyle w:val="FootnoteText"/>
        <w:rPr>
          <w:sz w:val="16"/>
          <w:szCs w:val="16"/>
        </w:rPr>
      </w:pPr>
      <w:r w:rsidRPr="00FA38C6">
        <w:rPr>
          <w:rStyle w:val="FootnoteReference"/>
          <w:sz w:val="16"/>
          <w:szCs w:val="16"/>
        </w:rPr>
        <w:footnoteRef/>
      </w:r>
      <w:r w:rsidRPr="00FA38C6">
        <w:rPr>
          <w:sz w:val="16"/>
          <w:szCs w:val="16"/>
        </w:rPr>
        <w:t xml:space="preserve"> </w:t>
      </w:r>
      <w:hyperlink r:id="rId22" w:history="1">
        <w:r w:rsidRPr="00FA38C6">
          <w:rPr>
            <w:rStyle w:val="Hyperlink"/>
            <w:sz w:val="16"/>
            <w:szCs w:val="16"/>
          </w:rPr>
          <w:t>http://data.worldbank.org/indicator/SE.XPD.TOTL.GD.ZS</w:t>
        </w:r>
      </w:hyperlink>
      <w:r w:rsidRPr="00FA38C6">
        <w:rPr>
          <w:sz w:val="16"/>
          <w:szCs w:val="16"/>
        </w:rPr>
        <w:t xml:space="preserve"> </w:t>
      </w:r>
    </w:p>
  </w:footnote>
  <w:footnote w:id="29">
    <w:p w:rsidR="00BF0A3A" w:rsidRPr="00F8712D" w:rsidRDefault="00BF0A3A">
      <w:pPr>
        <w:pStyle w:val="FootnoteText"/>
        <w:rPr>
          <w:sz w:val="16"/>
          <w:szCs w:val="16"/>
        </w:rPr>
      </w:pPr>
      <w:r w:rsidRPr="00F8712D">
        <w:rPr>
          <w:rStyle w:val="FootnoteReference"/>
          <w:sz w:val="16"/>
          <w:szCs w:val="16"/>
        </w:rPr>
        <w:footnoteRef/>
      </w:r>
      <w:r w:rsidRPr="00F8712D">
        <w:rPr>
          <w:sz w:val="16"/>
          <w:szCs w:val="16"/>
        </w:rPr>
        <w:t xml:space="preserve"> </w:t>
      </w:r>
      <w:hyperlink r:id="rId23" w:history="1">
        <w:r w:rsidRPr="00F8712D">
          <w:rPr>
            <w:rStyle w:val="Hyperlink"/>
            <w:sz w:val="16"/>
            <w:szCs w:val="16"/>
          </w:rPr>
          <w:t>https://data.oecd.org/energy/renewable-energy.htm</w:t>
        </w:r>
      </w:hyperlink>
      <w:r w:rsidRPr="00F8712D">
        <w:rPr>
          <w:sz w:val="16"/>
          <w:szCs w:val="16"/>
        </w:rPr>
        <w:t xml:space="preserve"> </w:t>
      </w:r>
    </w:p>
  </w:footnote>
  <w:footnote w:id="30">
    <w:p w:rsidR="00BF0A3A" w:rsidRPr="003D71E6" w:rsidRDefault="00BF0A3A">
      <w:pPr>
        <w:pStyle w:val="FootnoteText"/>
        <w:rPr>
          <w:sz w:val="16"/>
          <w:szCs w:val="16"/>
        </w:rPr>
      </w:pPr>
      <w:r w:rsidRPr="003D71E6">
        <w:rPr>
          <w:rStyle w:val="FootnoteReference"/>
          <w:sz w:val="16"/>
          <w:szCs w:val="16"/>
        </w:rPr>
        <w:footnoteRef/>
      </w:r>
      <w:r w:rsidRPr="003D71E6">
        <w:rPr>
          <w:sz w:val="16"/>
          <w:szCs w:val="16"/>
        </w:rPr>
        <w:t xml:space="preserve"> </w:t>
      </w:r>
      <w:hyperlink r:id="rId24" w:history="1">
        <w:r w:rsidRPr="003D71E6">
          <w:rPr>
            <w:rStyle w:val="Hyperlink"/>
            <w:sz w:val="16"/>
            <w:szCs w:val="16"/>
          </w:rPr>
          <w:t>https://data.worldbank.org/indicator/SG.GEN.PARL.ZS?locations=PK</w:t>
        </w:r>
      </w:hyperlink>
    </w:p>
  </w:footnote>
  <w:footnote w:id="31">
    <w:p w:rsidR="00BF0A3A" w:rsidRPr="0032435F" w:rsidRDefault="00BF0A3A">
      <w:pPr>
        <w:pStyle w:val="FootnoteText"/>
        <w:rPr>
          <w:sz w:val="16"/>
          <w:szCs w:val="16"/>
        </w:rPr>
      </w:pPr>
      <w:r w:rsidRPr="0032435F">
        <w:rPr>
          <w:rStyle w:val="FootnoteReference"/>
          <w:sz w:val="16"/>
          <w:szCs w:val="16"/>
        </w:rPr>
        <w:footnoteRef/>
      </w:r>
      <w:r w:rsidRPr="0032435F">
        <w:rPr>
          <w:sz w:val="16"/>
          <w:szCs w:val="16"/>
        </w:rPr>
        <w:t xml:space="preserve"> </w:t>
      </w:r>
      <w:hyperlink r:id="rId25" w:history="1">
        <w:r w:rsidRPr="0032435F">
          <w:rPr>
            <w:rStyle w:val="Hyperlink"/>
            <w:sz w:val="16"/>
            <w:szCs w:val="16"/>
          </w:rPr>
          <w:t>http://hdr.undp.org/en/content/human-development-index-hdi</w:t>
        </w:r>
      </w:hyperlink>
      <w:r w:rsidRPr="0032435F">
        <w:rPr>
          <w:sz w:val="16"/>
          <w:szCs w:val="16"/>
        </w:rPr>
        <w:t xml:space="preserve"> </w:t>
      </w:r>
    </w:p>
  </w:footnote>
  <w:footnote w:id="32">
    <w:p w:rsidR="00BF0A3A" w:rsidRPr="008164B1" w:rsidRDefault="00BF0A3A">
      <w:pPr>
        <w:pStyle w:val="FootnoteText"/>
        <w:rPr>
          <w:sz w:val="16"/>
          <w:szCs w:val="16"/>
        </w:rPr>
      </w:pPr>
      <w:r w:rsidRPr="008164B1">
        <w:rPr>
          <w:rStyle w:val="FootnoteReference"/>
          <w:sz w:val="16"/>
          <w:szCs w:val="16"/>
        </w:rPr>
        <w:footnoteRef/>
      </w:r>
      <w:r w:rsidRPr="008164B1">
        <w:rPr>
          <w:sz w:val="16"/>
          <w:szCs w:val="16"/>
        </w:rPr>
        <w:t xml:space="preserve"> </w:t>
      </w:r>
      <w:hyperlink r:id="rId26" w:history="1">
        <w:r w:rsidRPr="008164B1">
          <w:rPr>
            <w:rStyle w:val="Hyperlink"/>
            <w:sz w:val="16"/>
            <w:szCs w:val="16"/>
          </w:rPr>
          <w:t>http://data.worldbank.org/indicator/SI.POV.GINI</w:t>
        </w:r>
      </w:hyperlink>
      <w:r w:rsidRPr="008164B1">
        <w:rPr>
          <w:sz w:val="16"/>
          <w:szCs w:val="16"/>
        </w:rPr>
        <w:t xml:space="preserve"> </w:t>
      </w:r>
    </w:p>
  </w:footnote>
  <w:footnote w:id="33">
    <w:p w:rsidR="00BF0A3A" w:rsidRPr="00A70FD9" w:rsidRDefault="00BF0A3A">
      <w:pPr>
        <w:pStyle w:val="FootnoteText"/>
        <w:rPr>
          <w:sz w:val="16"/>
          <w:szCs w:val="16"/>
        </w:rPr>
      </w:pPr>
      <w:r w:rsidRPr="00A70FD9">
        <w:rPr>
          <w:rStyle w:val="FootnoteReference"/>
          <w:sz w:val="16"/>
          <w:szCs w:val="16"/>
        </w:rPr>
        <w:footnoteRef/>
      </w:r>
      <w:r w:rsidRPr="00A70FD9">
        <w:rPr>
          <w:sz w:val="16"/>
          <w:szCs w:val="16"/>
        </w:rPr>
        <w:t xml:space="preserve"> </w:t>
      </w:r>
      <w:hyperlink r:id="rId27" w:history="1">
        <w:r w:rsidRPr="00A70FD9">
          <w:rPr>
            <w:rStyle w:val="Hyperlink"/>
            <w:sz w:val="16"/>
            <w:szCs w:val="16"/>
          </w:rPr>
          <w:t>http://www.systemicpeace.org/polityproject.html</w:t>
        </w:r>
      </w:hyperlink>
      <w:r w:rsidRPr="00A70FD9">
        <w:rPr>
          <w:sz w:val="16"/>
          <w:szCs w:val="16"/>
        </w:rPr>
        <w:t xml:space="preserve"> </w:t>
      </w:r>
    </w:p>
  </w:footnote>
  <w:footnote w:id="34">
    <w:p w:rsidR="00BF0A3A" w:rsidRPr="003D71E6" w:rsidRDefault="00BF0A3A">
      <w:pPr>
        <w:pStyle w:val="FootnoteText"/>
        <w:rPr>
          <w:sz w:val="16"/>
          <w:szCs w:val="16"/>
        </w:rPr>
      </w:pPr>
      <w:r w:rsidRPr="003D71E6">
        <w:rPr>
          <w:rStyle w:val="FootnoteReference"/>
          <w:sz w:val="16"/>
          <w:szCs w:val="16"/>
        </w:rPr>
        <w:footnoteRef/>
      </w:r>
      <w:r w:rsidRPr="003D71E6">
        <w:rPr>
          <w:sz w:val="16"/>
          <w:szCs w:val="16"/>
        </w:rPr>
        <w:t xml:space="preserve"> </w:t>
      </w:r>
      <w:hyperlink r:id="rId28" w:history="1">
        <w:r w:rsidRPr="003D71E6">
          <w:rPr>
            <w:rStyle w:val="Hyperlink"/>
            <w:sz w:val="16"/>
            <w:szCs w:val="16"/>
          </w:rPr>
          <w:t>https://www.oecd-ilibrary.org/economics/banking-sector-leverage/indicator/english_027a0800-en</w:t>
        </w:r>
      </w:hyperlink>
      <w:r w:rsidRPr="003D71E6">
        <w:rPr>
          <w:sz w:val="16"/>
          <w:szCs w:val="16"/>
        </w:rPr>
        <w:t xml:space="preserve"> </w:t>
      </w:r>
    </w:p>
  </w:footnote>
  <w:footnote w:id="35">
    <w:p w:rsidR="00BF0A3A" w:rsidRPr="00A03F74" w:rsidRDefault="00BF0A3A">
      <w:pPr>
        <w:pStyle w:val="FootnoteText"/>
        <w:rPr>
          <w:sz w:val="16"/>
          <w:szCs w:val="16"/>
        </w:rPr>
      </w:pPr>
      <w:r w:rsidRPr="00A03F74">
        <w:rPr>
          <w:rStyle w:val="FootnoteReference"/>
          <w:sz w:val="16"/>
          <w:szCs w:val="16"/>
        </w:rPr>
        <w:footnoteRef/>
      </w:r>
      <w:r w:rsidRPr="00A03F74">
        <w:rPr>
          <w:sz w:val="16"/>
          <w:szCs w:val="16"/>
        </w:rPr>
        <w:t xml:space="preserve"> </w:t>
      </w:r>
      <w:hyperlink r:id="rId29" w:history="1">
        <w:r w:rsidRPr="00A03F74">
          <w:rPr>
            <w:rStyle w:val="Hyperlink"/>
            <w:sz w:val="16"/>
            <w:szCs w:val="16"/>
          </w:rPr>
          <w:t>http://www.heritage.org/index/about</w:t>
        </w:r>
      </w:hyperlink>
      <w:r w:rsidRPr="00A03F74">
        <w:rPr>
          <w:sz w:val="16"/>
          <w:szCs w:val="16"/>
        </w:rPr>
        <w:t xml:space="preserve"> </w:t>
      </w:r>
    </w:p>
  </w:footnote>
  <w:footnote w:id="36">
    <w:p w:rsidR="00BF0A3A" w:rsidRPr="001B6191" w:rsidRDefault="00BF0A3A">
      <w:pPr>
        <w:pStyle w:val="FootnoteText"/>
        <w:rPr>
          <w:sz w:val="16"/>
          <w:szCs w:val="16"/>
        </w:rPr>
      </w:pPr>
      <w:r w:rsidRPr="001B6191">
        <w:rPr>
          <w:rStyle w:val="FootnoteReference"/>
          <w:sz w:val="16"/>
          <w:szCs w:val="16"/>
        </w:rPr>
        <w:footnoteRef/>
      </w:r>
      <w:r w:rsidRPr="001B6191">
        <w:rPr>
          <w:sz w:val="16"/>
          <w:szCs w:val="16"/>
        </w:rPr>
        <w:t xml:space="preserve"> </w:t>
      </w:r>
      <w:hyperlink r:id="rId30" w:history="1">
        <w:r w:rsidRPr="003276FE">
          <w:rPr>
            <w:rStyle w:val="Hyperlink"/>
            <w:sz w:val="16"/>
            <w:szCs w:val="16"/>
          </w:rPr>
          <w:t>http://www.internationalbudget.org/opening-budgets/open-budget-initiative/open-budget-survey/</w:t>
        </w:r>
      </w:hyperlink>
      <w:r>
        <w:rPr>
          <w:sz w:val="16"/>
          <w:szCs w:val="16"/>
        </w:rPr>
        <w:t xml:space="preserve"> </w:t>
      </w:r>
    </w:p>
  </w:footnote>
  <w:footnote w:id="37">
    <w:p w:rsidR="00BF0A3A" w:rsidRPr="00A931AA" w:rsidRDefault="00BF0A3A">
      <w:pPr>
        <w:pStyle w:val="FootnoteText"/>
        <w:rPr>
          <w:sz w:val="16"/>
          <w:szCs w:val="16"/>
        </w:rPr>
      </w:pPr>
      <w:r w:rsidRPr="00A931AA">
        <w:rPr>
          <w:rStyle w:val="FootnoteReference"/>
          <w:sz w:val="16"/>
          <w:szCs w:val="16"/>
        </w:rPr>
        <w:footnoteRef/>
      </w:r>
      <w:r w:rsidRPr="00A931AA">
        <w:rPr>
          <w:sz w:val="16"/>
          <w:szCs w:val="16"/>
        </w:rPr>
        <w:t xml:space="preserve"> </w:t>
      </w:r>
      <w:hyperlink r:id="rId31" w:history="1">
        <w:r w:rsidRPr="00A931AA">
          <w:rPr>
            <w:rStyle w:val="Hyperlink"/>
            <w:sz w:val="16"/>
            <w:szCs w:val="16"/>
          </w:rPr>
          <w:t>http://www.europeansocialsurvey.org/data/themes.html?t=udemocracy</w:t>
        </w:r>
      </w:hyperlink>
      <w:r w:rsidRPr="00A931AA">
        <w:rPr>
          <w:sz w:val="16"/>
          <w:szCs w:val="16"/>
        </w:rPr>
        <w:t xml:space="preserve"> </w:t>
      </w:r>
    </w:p>
  </w:footnote>
  <w:footnote w:id="38">
    <w:p w:rsidR="00BF0A3A" w:rsidRPr="00A931AA" w:rsidRDefault="00BF0A3A" w:rsidP="00A931AA">
      <w:pPr>
        <w:pStyle w:val="FootnoteText"/>
        <w:rPr>
          <w:sz w:val="16"/>
          <w:szCs w:val="16"/>
        </w:rPr>
      </w:pPr>
      <w:r w:rsidRPr="00A931AA">
        <w:rPr>
          <w:rStyle w:val="FootnoteReference"/>
          <w:sz w:val="16"/>
          <w:szCs w:val="16"/>
        </w:rPr>
        <w:footnoteRef/>
      </w:r>
      <w:r w:rsidRPr="00A931AA">
        <w:rPr>
          <w:sz w:val="16"/>
          <w:szCs w:val="16"/>
        </w:rPr>
        <w:t xml:space="preserve"> </w:t>
      </w:r>
      <w:hyperlink r:id="rId32" w:history="1">
        <w:r w:rsidRPr="00A931AA">
          <w:rPr>
            <w:rStyle w:val="Hyperlink"/>
            <w:sz w:val="16"/>
            <w:szCs w:val="16"/>
          </w:rPr>
          <w:t>http://www.europeansocialsurvey.org/data/themes.html?t=udemocracy</w:t>
        </w:r>
      </w:hyperlink>
      <w:r w:rsidRPr="00A931AA">
        <w:rPr>
          <w:sz w:val="16"/>
          <w:szCs w:val="16"/>
        </w:rPr>
        <w:t xml:space="preserve"> </w:t>
      </w:r>
    </w:p>
  </w:footnote>
  <w:footnote w:id="39">
    <w:p w:rsidR="00BF0A3A" w:rsidRPr="00DF398B" w:rsidRDefault="00BF0A3A" w:rsidP="00DF398B">
      <w:pPr>
        <w:pStyle w:val="FootnoteText"/>
        <w:rPr>
          <w:sz w:val="16"/>
          <w:szCs w:val="16"/>
        </w:rPr>
      </w:pPr>
      <w:r w:rsidRPr="00DF398B">
        <w:rPr>
          <w:rStyle w:val="FootnoteReference"/>
          <w:sz w:val="16"/>
          <w:szCs w:val="16"/>
        </w:rPr>
        <w:footnoteRef/>
      </w:r>
      <w:r w:rsidRPr="00DF398B">
        <w:rPr>
          <w:sz w:val="16"/>
          <w:szCs w:val="16"/>
        </w:rPr>
        <w:t xml:space="preserve"> </w:t>
      </w:r>
      <w:hyperlink r:id="rId33" w:history="1">
        <w:r w:rsidRPr="00DF398B">
          <w:rPr>
            <w:rStyle w:val="Hyperlink"/>
            <w:sz w:val="16"/>
            <w:szCs w:val="16"/>
          </w:rPr>
          <w:t>http://stats.oecd.org/Index.aspx?DataSetCode=SNA_TABLE1</w:t>
        </w:r>
      </w:hyperlink>
      <w:r w:rsidRPr="00DF398B">
        <w:rPr>
          <w:sz w:val="16"/>
          <w:szCs w:val="16"/>
        </w:rPr>
        <w:t xml:space="preserve"> </w:t>
      </w:r>
    </w:p>
  </w:footnote>
  <w:footnote w:id="40">
    <w:p w:rsidR="00BF0A3A" w:rsidRPr="006B42D3" w:rsidRDefault="00BF0A3A">
      <w:pPr>
        <w:pStyle w:val="FootnoteText"/>
        <w:rPr>
          <w:sz w:val="16"/>
          <w:szCs w:val="16"/>
        </w:rPr>
      </w:pPr>
      <w:r w:rsidRPr="006B42D3">
        <w:rPr>
          <w:rStyle w:val="FootnoteReference"/>
          <w:sz w:val="16"/>
          <w:szCs w:val="16"/>
        </w:rPr>
        <w:footnoteRef/>
      </w:r>
      <w:r w:rsidRPr="006B42D3">
        <w:rPr>
          <w:sz w:val="16"/>
          <w:szCs w:val="16"/>
        </w:rPr>
        <w:t xml:space="preserve"> </w:t>
      </w:r>
      <w:hyperlink r:id="rId34" w:history="1">
        <w:r w:rsidRPr="003276FE">
          <w:rPr>
            <w:rStyle w:val="Hyperlink"/>
            <w:sz w:val="16"/>
            <w:szCs w:val="16"/>
          </w:rPr>
          <w:t>http://stats.oecd.org/Index.aspx?DatasetCode=SNA_TABLE710</w:t>
        </w:r>
      </w:hyperlink>
      <w:r>
        <w:rPr>
          <w:sz w:val="16"/>
          <w:szCs w:val="16"/>
        </w:rPr>
        <w:t xml:space="preserve"> </w:t>
      </w:r>
    </w:p>
  </w:footnote>
  <w:footnote w:id="41">
    <w:p w:rsidR="00BF0A3A" w:rsidRPr="001D0969" w:rsidRDefault="00BF0A3A">
      <w:pPr>
        <w:pStyle w:val="FootnoteText"/>
        <w:rPr>
          <w:sz w:val="16"/>
          <w:szCs w:val="16"/>
        </w:rPr>
      </w:pPr>
      <w:r w:rsidRPr="001D0969">
        <w:rPr>
          <w:rStyle w:val="FootnoteReference"/>
          <w:sz w:val="16"/>
          <w:szCs w:val="16"/>
        </w:rPr>
        <w:footnoteRef/>
      </w:r>
      <w:r w:rsidRPr="001D0969">
        <w:rPr>
          <w:sz w:val="16"/>
          <w:szCs w:val="16"/>
        </w:rPr>
        <w:t xml:space="preserve"> </w:t>
      </w:r>
      <w:hyperlink r:id="rId35" w:history="1">
        <w:r w:rsidRPr="001D0969">
          <w:rPr>
            <w:rStyle w:val="Hyperlink"/>
            <w:sz w:val="16"/>
            <w:szCs w:val="16"/>
          </w:rPr>
          <w:t>http://stats.oecd.org/Index.aspx?DatasetCode=POP_FIVE_HIST</w:t>
        </w:r>
      </w:hyperlink>
      <w:r w:rsidRPr="001D0969">
        <w:rPr>
          <w:sz w:val="16"/>
          <w:szCs w:val="16"/>
        </w:rPr>
        <w:t xml:space="preserve"> </w:t>
      </w:r>
    </w:p>
  </w:footnote>
  <w:footnote w:id="42">
    <w:p w:rsidR="00BF0A3A" w:rsidRPr="001D0969" w:rsidRDefault="00BF0A3A">
      <w:pPr>
        <w:pStyle w:val="FootnoteText"/>
        <w:rPr>
          <w:sz w:val="16"/>
          <w:szCs w:val="16"/>
        </w:rPr>
      </w:pPr>
      <w:r w:rsidRPr="001D0969">
        <w:rPr>
          <w:rStyle w:val="FootnoteReference"/>
          <w:sz w:val="16"/>
          <w:szCs w:val="16"/>
        </w:rPr>
        <w:footnoteRef/>
      </w:r>
      <w:r w:rsidRPr="001D0969">
        <w:rPr>
          <w:sz w:val="16"/>
          <w:szCs w:val="16"/>
        </w:rPr>
        <w:t xml:space="preserve"> </w:t>
      </w:r>
      <w:hyperlink r:id="rId36" w:history="1">
        <w:r w:rsidRPr="003276FE">
          <w:rPr>
            <w:rStyle w:val="Hyperlink"/>
            <w:sz w:val="16"/>
            <w:szCs w:val="16"/>
          </w:rPr>
          <w:t>http://www.eiu.com/Handlers/WhitepaperHandler.ashx?fi=EIU-Democracy-Index-2015.pdf&amp;mode=wp&amp;campaignid=DemocracyIndex2015</w:t>
        </w:r>
      </w:hyperlink>
      <w:r>
        <w:rPr>
          <w:sz w:val="16"/>
          <w:szCs w:val="16"/>
        </w:rPr>
        <w:t xml:space="preserve"> </w:t>
      </w:r>
    </w:p>
  </w:footnote>
  <w:footnote w:id="43">
    <w:p w:rsidR="00BF0A3A" w:rsidRPr="00E215AA" w:rsidRDefault="00BF0A3A">
      <w:pPr>
        <w:pStyle w:val="FootnoteText"/>
        <w:rPr>
          <w:sz w:val="16"/>
          <w:szCs w:val="16"/>
        </w:rPr>
      </w:pPr>
      <w:r w:rsidRPr="00E215AA">
        <w:rPr>
          <w:rStyle w:val="FootnoteReference"/>
          <w:sz w:val="16"/>
          <w:szCs w:val="16"/>
        </w:rPr>
        <w:footnoteRef/>
      </w:r>
      <w:r w:rsidRPr="00E215AA">
        <w:rPr>
          <w:sz w:val="16"/>
          <w:szCs w:val="16"/>
        </w:rPr>
        <w:t xml:space="preserve"> </w:t>
      </w:r>
      <w:hyperlink r:id="rId37" w:history="1">
        <w:r w:rsidRPr="008F36B3">
          <w:rPr>
            <w:rStyle w:val="Hyperlink"/>
            <w:sz w:val="16"/>
            <w:szCs w:val="16"/>
          </w:rPr>
          <w:t>http://stats.oecd.org/Index.aspx?DataSetCode=BLI2015</w:t>
        </w:r>
      </w:hyperlink>
      <w:r>
        <w:rPr>
          <w:sz w:val="16"/>
          <w:szCs w:val="16"/>
        </w:rPr>
        <w:t xml:space="preserve"> </w:t>
      </w:r>
    </w:p>
  </w:footnote>
  <w:footnote w:id="44">
    <w:p w:rsidR="00BF0A3A" w:rsidRPr="006C0E8C" w:rsidRDefault="00BF0A3A">
      <w:pPr>
        <w:pStyle w:val="FootnoteText"/>
        <w:rPr>
          <w:sz w:val="16"/>
          <w:szCs w:val="16"/>
        </w:rPr>
      </w:pPr>
      <w:r w:rsidRPr="006C0E8C">
        <w:rPr>
          <w:rStyle w:val="FootnoteReference"/>
          <w:sz w:val="16"/>
          <w:szCs w:val="16"/>
        </w:rPr>
        <w:footnoteRef/>
      </w:r>
      <w:r w:rsidRPr="006C0E8C">
        <w:rPr>
          <w:sz w:val="16"/>
          <w:szCs w:val="16"/>
        </w:rPr>
        <w:t xml:space="preserve"> </w:t>
      </w:r>
      <w:hyperlink r:id="rId38" w:anchor="doc" w:history="1">
        <w:r w:rsidRPr="00A520A9">
          <w:rPr>
            <w:rStyle w:val="Hyperlink"/>
            <w:sz w:val="16"/>
            <w:szCs w:val="16"/>
          </w:rPr>
          <w:t>http://info.worldbank.org/governance/wgi/#doc</w:t>
        </w:r>
      </w:hyperlink>
      <w:r>
        <w:rPr>
          <w:sz w:val="16"/>
          <w:szCs w:val="16"/>
        </w:rPr>
        <w:t xml:space="preserve">; </w:t>
      </w:r>
      <w:hyperlink r:id="rId39" w:history="1">
        <w:r w:rsidRPr="00A520A9">
          <w:rPr>
            <w:rStyle w:val="Hyperlink"/>
            <w:sz w:val="16"/>
            <w:szCs w:val="16"/>
          </w:rPr>
          <w:t>http://info.worldbank.org/governance/wgi/wgidataset.xlsx</w:t>
        </w:r>
      </w:hyperlink>
      <w:r>
        <w:rPr>
          <w:sz w:val="16"/>
          <w:szCs w:val="16"/>
        </w:rPr>
        <w:t xml:space="preserve">  </w:t>
      </w:r>
    </w:p>
  </w:footnote>
  <w:footnote w:id="45">
    <w:p w:rsidR="00BF0A3A" w:rsidRPr="006C0E8C" w:rsidRDefault="00BF0A3A" w:rsidP="00A102FB">
      <w:pPr>
        <w:pStyle w:val="FootnoteText"/>
        <w:rPr>
          <w:sz w:val="16"/>
          <w:szCs w:val="16"/>
        </w:rPr>
      </w:pPr>
      <w:r w:rsidRPr="006C0E8C">
        <w:rPr>
          <w:rStyle w:val="FootnoteReference"/>
          <w:sz w:val="16"/>
          <w:szCs w:val="16"/>
        </w:rPr>
        <w:footnoteRef/>
      </w:r>
      <w:r w:rsidRPr="006C0E8C">
        <w:rPr>
          <w:sz w:val="16"/>
          <w:szCs w:val="16"/>
        </w:rPr>
        <w:t xml:space="preserve"> </w:t>
      </w:r>
      <w:hyperlink r:id="rId40" w:anchor="doc" w:history="1">
        <w:r w:rsidRPr="00A520A9">
          <w:rPr>
            <w:rStyle w:val="Hyperlink"/>
            <w:sz w:val="16"/>
            <w:szCs w:val="16"/>
          </w:rPr>
          <w:t>http://info.worldbank.org/governance/wgi/#doc</w:t>
        </w:r>
      </w:hyperlink>
      <w:r>
        <w:rPr>
          <w:sz w:val="16"/>
          <w:szCs w:val="16"/>
        </w:rPr>
        <w:t xml:space="preserve">; </w:t>
      </w:r>
      <w:hyperlink r:id="rId41" w:history="1">
        <w:r w:rsidRPr="00A520A9">
          <w:rPr>
            <w:rStyle w:val="Hyperlink"/>
            <w:sz w:val="16"/>
            <w:szCs w:val="16"/>
          </w:rPr>
          <w:t>http://info.worldbank.org/governance/wgi/wgidataset.xlsx</w:t>
        </w:r>
      </w:hyperlink>
      <w:r>
        <w:rPr>
          <w:sz w:val="16"/>
          <w:szCs w:val="16"/>
        </w:rPr>
        <w:t xml:space="preserve">  </w:t>
      </w:r>
    </w:p>
  </w:footnote>
  <w:footnote w:id="46">
    <w:p w:rsidR="00BF0A3A" w:rsidRPr="00F8196B" w:rsidRDefault="00BF0A3A">
      <w:pPr>
        <w:pStyle w:val="FootnoteText"/>
        <w:rPr>
          <w:sz w:val="16"/>
          <w:szCs w:val="16"/>
        </w:rPr>
      </w:pPr>
      <w:r w:rsidRPr="00F8196B">
        <w:rPr>
          <w:rStyle w:val="FootnoteReference"/>
          <w:sz w:val="16"/>
          <w:szCs w:val="16"/>
        </w:rPr>
        <w:footnoteRef/>
      </w:r>
      <w:r w:rsidRPr="00F8196B">
        <w:rPr>
          <w:sz w:val="16"/>
          <w:szCs w:val="16"/>
        </w:rPr>
        <w:t xml:space="preserve"> </w:t>
      </w:r>
      <w:hyperlink r:id="rId42" w:history="1">
        <w:r w:rsidRPr="00F8196B">
          <w:rPr>
            <w:rStyle w:val="Hyperlink"/>
            <w:sz w:val="16"/>
            <w:szCs w:val="16"/>
          </w:rPr>
          <w:t>https://stats.oecd.org/Index.aspx?DataSetCode=AV_AN_WAGE</w:t>
        </w:r>
      </w:hyperlink>
      <w:r w:rsidRPr="00F8196B">
        <w:rPr>
          <w:sz w:val="16"/>
          <w:szCs w:val="16"/>
        </w:rPr>
        <w:t xml:space="preserve"> </w:t>
      </w:r>
    </w:p>
  </w:footnote>
  <w:footnote w:id="47">
    <w:p w:rsidR="00BF0A3A" w:rsidRPr="00FD7648" w:rsidRDefault="00BF0A3A">
      <w:pPr>
        <w:pStyle w:val="FootnoteText"/>
        <w:rPr>
          <w:sz w:val="16"/>
          <w:szCs w:val="16"/>
        </w:rPr>
      </w:pPr>
      <w:r w:rsidRPr="00FD7648">
        <w:rPr>
          <w:rStyle w:val="FootnoteReference"/>
          <w:sz w:val="16"/>
          <w:szCs w:val="16"/>
        </w:rPr>
        <w:footnoteRef/>
      </w:r>
      <w:r w:rsidRPr="00FD7648">
        <w:rPr>
          <w:sz w:val="16"/>
          <w:szCs w:val="16"/>
        </w:rPr>
        <w:t xml:space="preserve"> </w:t>
      </w:r>
      <w:hyperlink r:id="rId43" w:history="1">
        <w:r w:rsidRPr="00FD7648">
          <w:rPr>
            <w:rStyle w:val="Hyperlink"/>
            <w:sz w:val="16"/>
            <w:szCs w:val="16"/>
          </w:rPr>
          <w:t>https://www.repository.cam.ac.uk/bitstream/handle/1810/256566/cbr-lri-117-countries-codebook-and-methodology.pdf?sequence=1</w:t>
        </w:r>
      </w:hyperlink>
      <w:r w:rsidRPr="00FD7648">
        <w:rPr>
          <w:sz w:val="16"/>
          <w:szCs w:val="16"/>
        </w:rPr>
        <w:t xml:space="preserve"> </w:t>
      </w:r>
    </w:p>
  </w:footnote>
  <w:footnote w:id="48">
    <w:p w:rsidR="00BF0A3A" w:rsidRPr="00924BCA" w:rsidRDefault="00BF0A3A">
      <w:pPr>
        <w:pStyle w:val="FootnoteText"/>
        <w:rPr>
          <w:sz w:val="16"/>
          <w:szCs w:val="16"/>
        </w:rPr>
      </w:pPr>
      <w:r w:rsidRPr="00924BCA">
        <w:rPr>
          <w:rStyle w:val="FootnoteReference"/>
          <w:sz w:val="16"/>
          <w:szCs w:val="16"/>
        </w:rPr>
        <w:footnoteRef/>
      </w:r>
      <w:r w:rsidRPr="00924BCA">
        <w:rPr>
          <w:sz w:val="16"/>
          <w:szCs w:val="16"/>
        </w:rPr>
        <w:t xml:space="preserve"> </w:t>
      </w:r>
      <w:hyperlink r:id="rId44" w:history="1">
        <w:r w:rsidR="000D000C" w:rsidRPr="001A678A">
          <w:rPr>
            <w:rStyle w:val="Hyperlink"/>
            <w:sz w:val="16"/>
            <w:szCs w:val="16"/>
          </w:rPr>
          <w:t>https://stats.oecd.org/Index.aspx?DataSetCode=PRICES_CPI</w:t>
        </w:r>
      </w:hyperlink>
      <w:r w:rsidR="000D000C">
        <w:rPr>
          <w:sz w:val="16"/>
          <w:szCs w:val="16"/>
        </w:rPr>
        <w:t xml:space="preserve"> </w:t>
      </w:r>
    </w:p>
  </w:footnote>
  <w:footnote w:id="49">
    <w:p w:rsidR="00BF0A3A" w:rsidRPr="002A4D04" w:rsidRDefault="00BF0A3A">
      <w:pPr>
        <w:pStyle w:val="FootnoteText"/>
        <w:rPr>
          <w:sz w:val="16"/>
          <w:szCs w:val="16"/>
        </w:rPr>
      </w:pPr>
      <w:r w:rsidRPr="002A4D04">
        <w:rPr>
          <w:rStyle w:val="FootnoteReference"/>
          <w:sz w:val="16"/>
          <w:szCs w:val="16"/>
        </w:rPr>
        <w:footnoteRef/>
      </w:r>
      <w:r w:rsidRPr="002A4D04">
        <w:rPr>
          <w:sz w:val="16"/>
          <w:szCs w:val="16"/>
        </w:rPr>
        <w:t xml:space="preserve"> </w:t>
      </w:r>
      <w:hyperlink r:id="rId45" w:history="1">
        <w:r w:rsidR="002A4D04" w:rsidRPr="002A4D04">
          <w:rPr>
            <w:rStyle w:val="Hyperlink"/>
            <w:sz w:val="16"/>
            <w:szCs w:val="16"/>
          </w:rPr>
          <w:t>https://data.oecd.org/interest/long-term-interest-rates.htm</w:t>
        </w:r>
      </w:hyperlink>
      <w:r w:rsidR="002A4D04" w:rsidRPr="002A4D04">
        <w:rPr>
          <w:sz w:val="16"/>
          <w:szCs w:val="16"/>
        </w:rPr>
        <w:t xml:space="preserve"> </w:t>
      </w:r>
    </w:p>
  </w:footnote>
  <w:footnote w:id="50">
    <w:p w:rsidR="00BF0A3A" w:rsidRPr="00E14F65" w:rsidRDefault="00BF0A3A" w:rsidP="00E14F65">
      <w:pPr>
        <w:pStyle w:val="FootnoteText"/>
        <w:jc w:val="both"/>
        <w:rPr>
          <w:sz w:val="16"/>
          <w:szCs w:val="16"/>
        </w:rPr>
      </w:pPr>
      <w:r w:rsidRPr="00E14F65">
        <w:rPr>
          <w:rStyle w:val="FootnoteReference"/>
          <w:sz w:val="16"/>
          <w:szCs w:val="16"/>
        </w:rPr>
        <w:footnoteRef/>
      </w:r>
      <w:r w:rsidRPr="00E14F65">
        <w:rPr>
          <w:sz w:val="16"/>
          <w:szCs w:val="16"/>
        </w:rPr>
        <w:t xml:space="preserve"> </w:t>
      </w:r>
      <w:hyperlink r:id="rId46" w:history="1">
        <w:r w:rsidRPr="00BE145D">
          <w:rPr>
            <w:rStyle w:val="Hyperlink"/>
            <w:sz w:val="16"/>
            <w:szCs w:val="16"/>
          </w:rPr>
          <w:t>http://www.oecd.org/corporate/oecd-dataset-size-composition-soe-sectors.htm</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A3A" w:rsidRPr="0076607D" w:rsidRDefault="00BF0A3A">
    <w:pPr>
      <w:pStyle w:val="Header"/>
      <w:rPr>
        <w:b/>
        <w:sz w:val="18"/>
        <w:szCs w:val="18"/>
      </w:rPr>
    </w:pPr>
    <w:r w:rsidRPr="00532E64">
      <w:rPr>
        <w:b/>
        <w:sz w:val="18"/>
        <w:szCs w:val="18"/>
      </w:rPr>
      <w:t>Economic Democracy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907DE"/>
    <w:multiLevelType w:val="multilevel"/>
    <w:tmpl w:val="FEEC6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3C0C25"/>
    <w:multiLevelType w:val="multilevel"/>
    <w:tmpl w:val="320A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80E"/>
    <w:rsid w:val="00050BB3"/>
    <w:rsid w:val="000710BB"/>
    <w:rsid w:val="0009757E"/>
    <w:rsid w:val="000A1D30"/>
    <w:rsid w:val="000C0557"/>
    <w:rsid w:val="000C5BD2"/>
    <w:rsid w:val="000D000C"/>
    <w:rsid w:val="000D2F8D"/>
    <w:rsid w:val="000E099F"/>
    <w:rsid w:val="000E78F1"/>
    <w:rsid w:val="000F4590"/>
    <w:rsid w:val="001027FB"/>
    <w:rsid w:val="00153CA6"/>
    <w:rsid w:val="00163794"/>
    <w:rsid w:val="001840D6"/>
    <w:rsid w:val="001A2E84"/>
    <w:rsid w:val="001B6191"/>
    <w:rsid w:val="001D0969"/>
    <w:rsid w:val="001D551B"/>
    <w:rsid w:val="001F25E0"/>
    <w:rsid w:val="002050CF"/>
    <w:rsid w:val="00260212"/>
    <w:rsid w:val="00264C0B"/>
    <w:rsid w:val="00265A64"/>
    <w:rsid w:val="00271656"/>
    <w:rsid w:val="002730D7"/>
    <w:rsid w:val="00276FE0"/>
    <w:rsid w:val="00282C20"/>
    <w:rsid w:val="002A4D04"/>
    <w:rsid w:val="002D03E0"/>
    <w:rsid w:val="002D55ED"/>
    <w:rsid w:val="002E6A4D"/>
    <w:rsid w:val="002F1667"/>
    <w:rsid w:val="00300B5A"/>
    <w:rsid w:val="003025A1"/>
    <w:rsid w:val="00305824"/>
    <w:rsid w:val="0032435F"/>
    <w:rsid w:val="00326811"/>
    <w:rsid w:val="00330515"/>
    <w:rsid w:val="00343139"/>
    <w:rsid w:val="0035380E"/>
    <w:rsid w:val="00361ECA"/>
    <w:rsid w:val="003742E3"/>
    <w:rsid w:val="00393675"/>
    <w:rsid w:val="003A2E50"/>
    <w:rsid w:val="003B4D30"/>
    <w:rsid w:val="003D71E6"/>
    <w:rsid w:val="003F2099"/>
    <w:rsid w:val="00477E98"/>
    <w:rsid w:val="004E7D21"/>
    <w:rsid w:val="004F3062"/>
    <w:rsid w:val="005013AD"/>
    <w:rsid w:val="00505085"/>
    <w:rsid w:val="00532E64"/>
    <w:rsid w:val="005556A3"/>
    <w:rsid w:val="00566180"/>
    <w:rsid w:val="005A338B"/>
    <w:rsid w:val="005C5619"/>
    <w:rsid w:val="005E1E10"/>
    <w:rsid w:val="00600E8A"/>
    <w:rsid w:val="00607386"/>
    <w:rsid w:val="00627509"/>
    <w:rsid w:val="006371FF"/>
    <w:rsid w:val="00670687"/>
    <w:rsid w:val="00675975"/>
    <w:rsid w:val="006B42D3"/>
    <w:rsid w:val="006B7EC0"/>
    <w:rsid w:val="006C0E8C"/>
    <w:rsid w:val="006C2911"/>
    <w:rsid w:val="006D203A"/>
    <w:rsid w:val="006E1E67"/>
    <w:rsid w:val="006F13B1"/>
    <w:rsid w:val="00701B48"/>
    <w:rsid w:val="00723F6B"/>
    <w:rsid w:val="00727A23"/>
    <w:rsid w:val="00742C57"/>
    <w:rsid w:val="007432A3"/>
    <w:rsid w:val="007441D6"/>
    <w:rsid w:val="00744C0D"/>
    <w:rsid w:val="00754897"/>
    <w:rsid w:val="0076607D"/>
    <w:rsid w:val="00767268"/>
    <w:rsid w:val="00781484"/>
    <w:rsid w:val="007822D4"/>
    <w:rsid w:val="00784B2F"/>
    <w:rsid w:val="00794BE6"/>
    <w:rsid w:val="007B5C5A"/>
    <w:rsid w:val="007C1705"/>
    <w:rsid w:val="007C1DF1"/>
    <w:rsid w:val="007F4A90"/>
    <w:rsid w:val="008164B1"/>
    <w:rsid w:val="008224C0"/>
    <w:rsid w:val="008332F5"/>
    <w:rsid w:val="00850C1D"/>
    <w:rsid w:val="0085597F"/>
    <w:rsid w:val="0086331A"/>
    <w:rsid w:val="0088148D"/>
    <w:rsid w:val="00882E19"/>
    <w:rsid w:val="00896539"/>
    <w:rsid w:val="008B466C"/>
    <w:rsid w:val="009017EE"/>
    <w:rsid w:val="00924BCA"/>
    <w:rsid w:val="009277A1"/>
    <w:rsid w:val="00952499"/>
    <w:rsid w:val="00961E73"/>
    <w:rsid w:val="00964A39"/>
    <w:rsid w:val="00975281"/>
    <w:rsid w:val="0098064D"/>
    <w:rsid w:val="009868FE"/>
    <w:rsid w:val="0099631E"/>
    <w:rsid w:val="009B0474"/>
    <w:rsid w:val="009B11CF"/>
    <w:rsid w:val="009B7208"/>
    <w:rsid w:val="009C373F"/>
    <w:rsid w:val="009C447F"/>
    <w:rsid w:val="009E1C03"/>
    <w:rsid w:val="009F23D5"/>
    <w:rsid w:val="00A01DDC"/>
    <w:rsid w:val="00A03F74"/>
    <w:rsid w:val="00A102FB"/>
    <w:rsid w:val="00A11707"/>
    <w:rsid w:val="00A14695"/>
    <w:rsid w:val="00A16095"/>
    <w:rsid w:val="00A70FD9"/>
    <w:rsid w:val="00A7211D"/>
    <w:rsid w:val="00A736C3"/>
    <w:rsid w:val="00A931AA"/>
    <w:rsid w:val="00A97162"/>
    <w:rsid w:val="00AC48DA"/>
    <w:rsid w:val="00AE4915"/>
    <w:rsid w:val="00AF6A9A"/>
    <w:rsid w:val="00B00B02"/>
    <w:rsid w:val="00B0732B"/>
    <w:rsid w:val="00B2286F"/>
    <w:rsid w:val="00B276B3"/>
    <w:rsid w:val="00B70593"/>
    <w:rsid w:val="00B87A4D"/>
    <w:rsid w:val="00BB198E"/>
    <w:rsid w:val="00BB77BE"/>
    <w:rsid w:val="00BC1CB9"/>
    <w:rsid w:val="00BE6587"/>
    <w:rsid w:val="00BF03A8"/>
    <w:rsid w:val="00BF0A3A"/>
    <w:rsid w:val="00BF246E"/>
    <w:rsid w:val="00BF2B69"/>
    <w:rsid w:val="00C24AD1"/>
    <w:rsid w:val="00C52875"/>
    <w:rsid w:val="00C660CD"/>
    <w:rsid w:val="00C81C13"/>
    <w:rsid w:val="00CC17A3"/>
    <w:rsid w:val="00D370B7"/>
    <w:rsid w:val="00D37CE9"/>
    <w:rsid w:val="00D5401E"/>
    <w:rsid w:val="00DC6DBE"/>
    <w:rsid w:val="00DE06FD"/>
    <w:rsid w:val="00DE09D0"/>
    <w:rsid w:val="00DF398B"/>
    <w:rsid w:val="00E04E08"/>
    <w:rsid w:val="00E06744"/>
    <w:rsid w:val="00E14B11"/>
    <w:rsid w:val="00E14F65"/>
    <w:rsid w:val="00E215AA"/>
    <w:rsid w:val="00E31D8A"/>
    <w:rsid w:val="00E43C16"/>
    <w:rsid w:val="00E5038C"/>
    <w:rsid w:val="00E617F0"/>
    <w:rsid w:val="00E728C1"/>
    <w:rsid w:val="00E95726"/>
    <w:rsid w:val="00EC3263"/>
    <w:rsid w:val="00ED0D20"/>
    <w:rsid w:val="00EF2B1E"/>
    <w:rsid w:val="00F226FD"/>
    <w:rsid w:val="00F23B18"/>
    <w:rsid w:val="00F46B3F"/>
    <w:rsid w:val="00F63A4A"/>
    <w:rsid w:val="00F8196B"/>
    <w:rsid w:val="00F8712D"/>
    <w:rsid w:val="00FA38C6"/>
    <w:rsid w:val="00FB3134"/>
    <w:rsid w:val="00FB45BC"/>
    <w:rsid w:val="00FB523A"/>
    <w:rsid w:val="00FC4AB4"/>
    <w:rsid w:val="00FD7648"/>
    <w:rsid w:val="00FE382E"/>
    <w:rsid w:val="00FF0045"/>
    <w:rsid w:val="00FF0AA5"/>
    <w:rsid w:val="00FF4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C0FF42-65AB-4831-9DA3-C9E39605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4F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53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532E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E64"/>
  </w:style>
  <w:style w:type="paragraph" w:styleId="Footer">
    <w:name w:val="footer"/>
    <w:basedOn w:val="Normal"/>
    <w:link w:val="FooterChar"/>
    <w:uiPriority w:val="99"/>
    <w:unhideWhenUsed/>
    <w:rsid w:val="00532E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E64"/>
  </w:style>
  <w:style w:type="paragraph" w:styleId="FootnoteText">
    <w:name w:val="footnote text"/>
    <w:basedOn w:val="Normal"/>
    <w:link w:val="FootnoteTextChar"/>
    <w:uiPriority w:val="99"/>
    <w:semiHidden/>
    <w:unhideWhenUsed/>
    <w:rsid w:val="002E6A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6A4D"/>
    <w:rPr>
      <w:sz w:val="20"/>
      <w:szCs w:val="20"/>
    </w:rPr>
  </w:style>
  <w:style w:type="character" w:styleId="FootnoteReference">
    <w:name w:val="footnote reference"/>
    <w:basedOn w:val="DefaultParagraphFont"/>
    <w:uiPriority w:val="99"/>
    <w:semiHidden/>
    <w:unhideWhenUsed/>
    <w:rsid w:val="002E6A4D"/>
    <w:rPr>
      <w:vertAlign w:val="superscript"/>
    </w:rPr>
  </w:style>
  <w:style w:type="paragraph" w:styleId="BalloonText">
    <w:name w:val="Balloon Text"/>
    <w:basedOn w:val="Normal"/>
    <w:link w:val="BalloonTextChar"/>
    <w:uiPriority w:val="99"/>
    <w:semiHidden/>
    <w:unhideWhenUsed/>
    <w:rsid w:val="00E3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D8A"/>
    <w:rPr>
      <w:rFonts w:ascii="Segoe UI" w:hAnsi="Segoe UI" w:cs="Segoe UI"/>
      <w:sz w:val="18"/>
      <w:szCs w:val="18"/>
    </w:rPr>
  </w:style>
  <w:style w:type="character" w:styleId="Hyperlink">
    <w:name w:val="Hyperlink"/>
    <w:basedOn w:val="DefaultParagraphFont"/>
    <w:uiPriority w:val="99"/>
    <w:unhideWhenUsed/>
    <w:rsid w:val="007C1705"/>
    <w:rPr>
      <w:color w:val="0563C1" w:themeColor="hyperlink"/>
      <w:u w:val="single"/>
    </w:rPr>
  </w:style>
  <w:style w:type="character" w:styleId="FollowedHyperlink">
    <w:name w:val="FollowedHyperlink"/>
    <w:basedOn w:val="DefaultParagraphFont"/>
    <w:uiPriority w:val="99"/>
    <w:semiHidden/>
    <w:unhideWhenUsed/>
    <w:rsid w:val="007C1705"/>
    <w:rPr>
      <w:color w:val="954F72" w:themeColor="followedHyperlink"/>
      <w:u w:val="single"/>
    </w:rPr>
  </w:style>
  <w:style w:type="paragraph" w:styleId="NormalWeb">
    <w:name w:val="Normal (Web)"/>
    <w:basedOn w:val="Normal"/>
    <w:uiPriority w:val="99"/>
    <w:semiHidden/>
    <w:unhideWhenUsed/>
    <w:rsid w:val="009C373F"/>
    <w:rPr>
      <w:rFonts w:ascii="Times New Roman" w:hAnsi="Times New Roman" w:cs="Times New Roman"/>
      <w:sz w:val="24"/>
      <w:szCs w:val="24"/>
    </w:rPr>
  </w:style>
  <w:style w:type="character" w:customStyle="1" w:styleId="Heading1Char">
    <w:name w:val="Heading 1 Char"/>
    <w:basedOn w:val="DefaultParagraphFont"/>
    <w:link w:val="Heading1"/>
    <w:uiPriority w:val="9"/>
    <w:rsid w:val="00E14F6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52489">
      <w:bodyDiv w:val="1"/>
      <w:marLeft w:val="0"/>
      <w:marRight w:val="0"/>
      <w:marTop w:val="0"/>
      <w:marBottom w:val="0"/>
      <w:divBdr>
        <w:top w:val="none" w:sz="0" w:space="0" w:color="auto"/>
        <w:left w:val="none" w:sz="0" w:space="0" w:color="auto"/>
        <w:bottom w:val="none" w:sz="0" w:space="0" w:color="auto"/>
        <w:right w:val="none" w:sz="0" w:space="0" w:color="auto"/>
      </w:divBdr>
    </w:div>
    <w:div w:id="139002294">
      <w:bodyDiv w:val="1"/>
      <w:marLeft w:val="0"/>
      <w:marRight w:val="0"/>
      <w:marTop w:val="0"/>
      <w:marBottom w:val="0"/>
      <w:divBdr>
        <w:top w:val="none" w:sz="0" w:space="0" w:color="auto"/>
        <w:left w:val="none" w:sz="0" w:space="0" w:color="auto"/>
        <w:bottom w:val="none" w:sz="0" w:space="0" w:color="auto"/>
        <w:right w:val="none" w:sz="0" w:space="0" w:color="auto"/>
      </w:divBdr>
      <w:divsChild>
        <w:div w:id="1511480567">
          <w:marLeft w:val="0"/>
          <w:marRight w:val="0"/>
          <w:marTop w:val="0"/>
          <w:marBottom w:val="0"/>
          <w:divBdr>
            <w:top w:val="none" w:sz="0" w:space="0" w:color="auto"/>
            <w:left w:val="none" w:sz="0" w:space="0" w:color="auto"/>
            <w:bottom w:val="none" w:sz="0" w:space="0" w:color="auto"/>
            <w:right w:val="none" w:sz="0" w:space="0" w:color="auto"/>
          </w:divBdr>
          <w:divsChild>
            <w:div w:id="1217156828">
              <w:marLeft w:val="45"/>
              <w:marRight w:val="45"/>
              <w:marTop w:val="0"/>
              <w:marBottom w:val="0"/>
              <w:divBdr>
                <w:top w:val="none" w:sz="0" w:space="0" w:color="auto"/>
                <w:left w:val="single" w:sz="6" w:space="2" w:color="CFD9F2"/>
                <w:bottom w:val="single" w:sz="6" w:space="2" w:color="CFD9F2"/>
                <w:right w:val="single" w:sz="6" w:space="2" w:color="CFD9F2"/>
              </w:divBdr>
              <w:divsChild>
                <w:div w:id="47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3802">
      <w:bodyDiv w:val="1"/>
      <w:marLeft w:val="0"/>
      <w:marRight w:val="0"/>
      <w:marTop w:val="0"/>
      <w:marBottom w:val="0"/>
      <w:divBdr>
        <w:top w:val="none" w:sz="0" w:space="0" w:color="auto"/>
        <w:left w:val="none" w:sz="0" w:space="0" w:color="auto"/>
        <w:bottom w:val="none" w:sz="0" w:space="0" w:color="auto"/>
        <w:right w:val="none" w:sz="0" w:space="0" w:color="auto"/>
      </w:divBdr>
    </w:div>
    <w:div w:id="172303389">
      <w:bodyDiv w:val="1"/>
      <w:marLeft w:val="0"/>
      <w:marRight w:val="0"/>
      <w:marTop w:val="0"/>
      <w:marBottom w:val="0"/>
      <w:divBdr>
        <w:top w:val="none" w:sz="0" w:space="0" w:color="auto"/>
        <w:left w:val="none" w:sz="0" w:space="0" w:color="auto"/>
        <w:bottom w:val="none" w:sz="0" w:space="0" w:color="auto"/>
        <w:right w:val="none" w:sz="0" w:space="0" w:color="auto"/>
      </w:divBdr>
    </w:div>
    <w:div w:id="189346337">
      <w:bodyDiv w:val="1"/>
      <w:marLeft w:val="0"/>
      <w:marRight w:val="0"/>
      <w:marTop w:val="0"/>
      <w:marBottom w:val="0"/>
      <w:divBdr>
        <w:top w:val="none" w:sz="0" w:space="0" w:color="auto"/>
        <w:left w:val="none" w:sz="0" w:space="0" w:color="auto"/>
        <w:bottom w:val="none" w:sz="0" w:space="0" w:color="auto"/>
        <w:right w:val="none" w:sz="0" w:space="0" w:color="auto"/>
      </w:divBdr>
    </w:div>
    <w:div w:id="235669403">
      <w:bodyDiv w:val="1"/>
      <w:marLeft w:val="0"/>
      <w:marRight w:val="0"/>
      <w:marTop w:val="0"/>
      <w:marBottom w:val="0"/>
      <w:divBdr>
        <w:top w:val="none" w:sz="0" w:space="0" w:color="auto"/>
        <w:left w:val="none" w:sz="0" w:space="0" w:color="auto"/>
        <w:bottom w:val="none" w:sz="0" w:space="0" w:color="auto"/>
        <w:right w:val="none" w:sz="0" w:space="0" w:color="auto"/>
      </w:divBdr>
    </w:div>
    <w:div w:id="372076494">
      <w:bodyDiv w:val="1"/>
      <w:marLeft w:val="0"/>
      <w:marRight w:val="0"/>
      <w:marTop w:val="0"/>
      <w:marBottom w:val="0"/>
      <w:divBdr>
        <w:top w:val="none" w:sz="0" w:space="0" w:color="auto"/>
        <w:left w:val="none" w:sz="0" w:space="0" w:color="auto"/>
        <w:bottom w:val="none" w:sz="0" w:space="0" w:color="auto"/>
        <w:right w:val="none" w:sz="0" w:space="0" w:color="auto"/>
      </w:divBdr>
    </w:div>
    <w:div w:id="444034574">
      <w:bodyDiv w:val="1"/>
      <w:marLeft w:val="0"/>
      <w:marRight w:val="0"/>
      <w:marTop w:val="0"/>
      <w:marBottom w:val="0"/>
      <w:divBdr>
        <w:top w:val="none" w:sz="0" w:space="0" w:color="auto"/>
        <w:left w:val="none" w:sz="0" w:space="0" w:color="auto"/>
        <w:bottom w:val="none" w:sz="0" w:space="0" w:color="auto"/>
        <w:right w:val="none" w:sz="0" w:space="0" w:color="auto"/>
      </w:divBdr>
    </w:div>
    <w:div w:id="451902355">
      <w:bodyDiv w:val="1"/>
      <w:marLeft w:val="0"/>
      <w:marRight w:val="0"/>
      <w:marTop w:val="0"/>
      <w:marBottom w:val="0"/>
      <w:divBdr>
        <w:top w:val="none" w:sz="0" w:space="0" w:color="auto"/>
        <w:left w:val="none" w:sz="0" w:space="0" w:color="auto"/>
        <w:bottom w:val="none" w:sz="0" w:space="0" w:color="auto"/>
        <w:right w:val="none" w:sz="0" w:space="0" w:color="auto"/>
      </w:divBdr>
    </w:div>
    <w:div w:id="509640521">
      <w:bodyDiv w:val="1"/>
      <w:marLeft w:val="0"/>
      <w:marRight w:val="0"/>
      <w:marTop w:val="0"/>
      <w:marBottom w:val="0"/>
      <w:divBdr>
        <w:top w:val="none" w:sz="0" w:space="0" w:color="auto"/>
        <w:left w:val="none" w:sz="0" w:space="0" w:color="auto"/>
        <w:bottom w:val="none" w:sz="0" w:space="0" w:color="auto"/>
        <w:right w:val="none" w:sz="0" w:space="0" w:color="auto"/>
      </w:divBdr>
    </w:div>
    <w:div w:id="585843590">
      <w:bodyDiv w:val="1"/>
      <w:marLeft w:val="0"/>
      <w:marRight w:val="0"/>
      <w:marTop w:val="0"/>
      <w:marBottom w:val="0"/>
      <w:divBdr>
        <w:top w:val="none" w:sz="0" w:space="0" w:color="auto"/>
        <w:left w:val="none" w:sz="0" w:space="0" w:color="auto"/>
        <w:bottom w:val="none" w:sz="0" w:space="0" w:color="auto"/>
        <w:right w:val="none" w:sz="0" w:space="0" w:color="auto"/>
      </w:divBdr>
    </w:div>
    <w:div w:id="698043067">
      <w:bodyDiv w:val="1"/>
      <w:marLeft w:val="0"/>
      <w:marRight w:val="0"/>
      <w:marTop w:val="0"/>
      <w:marBottom w:val="0"/>
      <w:divBdr>
        <w:top w:val="none" w:sz="0" w:space="0" w:color="auto"/>
        <w:left w:val="none" w:sz="0" w:space="0" w:color="auto"/>
        <w:bottom w:val="none" w:sz="0" w:space="0" w:color="auto"/>
        <w:right w:val="none" w:sz="0" w:space="0" w:color="auto"/>
      </w:divBdr>
    </w:div>
    <w:div w:id="711614286">
      <w:bodyDiv w:val="1"/>
      <w:marLeft w:val="0"/>
      <w:marRight w:val="0"/>
      <w:marTop w:val="0"/>
      <w:marBottom w:val="0"/>
      <w:divBdr>
        <w:top w:val="none" w:sz="0" w:space="0" w:color="auto"/>
        <w:left w:val="none" w:sz="0" w:space="0" w:color="auto"/>
        <w:bottom w:val="none" w:sz="0" w:space="0" w:color="auto"/>
        <w:right w:val="none" w:sz="0" w:space="0" w:color="auto"/>
      </w:divBdr>
    </w:div>
    <w:div w:id="723407986">
      <w:bodyDiv w:val="1"/>
      <w:marLeft w:val="0"/>
      <w:marRight w:val="0"/>
      <w:marTop w:val="0"/>
      <w:marBottom w:val="0"/>
      <w:divBdr>
        <w:top w:val="none" w:sz="0" w:space="0" w:color="auto"/>
        <w:left w:val="none" w:sz="0" w:space="0" w:color="auto"/>
        <w:bottom w:val="none" w:sz="0" w:space="0" w:color="auto"/>
        <w:right w:val="none" w:sz="0" w:space="0" w:color="auto"/>
      </w:divBdr>
    </w:div>
    <w:div w:id="729229132">
      <w:bodyDiv w:val="1"/>
      <w:marLeft w:val="0"/>
      <w:marRight w:val="0"/>
      <w:marTop w:val="0"/>
      <w:marBottom w:val="0"/>
      <w:divBdr>
        <w:top w:val="none" w:sz="0" w:space="0" w:color="auto"/>
        <w:left w:val="none" w:sz="0" w:space="0" w:color="auto"/>
        <w:bottom w:val="none" w:sz="0" w:space="0" w:color="auto"/>
        <w:right w:val="none" w:sz="0" w:space="0" w:color="auto"/>
      </w:divBdr>
    </w:div>
    <w:div w:id="758410642">
      <w:bodyDiv w:val="1"/>
      <w:marLeft w:val="0"/>
      <w:marRight w:val="0"/>
      <w:marTop w:val="0"/>
      <w:marBottom w:val="0"/>
      <w:divBdr>
        <w:top w:val="none" w:sz="0" w:space="0" w:color="auto"/>
        <w:left w:val="none" w:sz="0" w:space="0" w:color="auto"/>
        <w:bottom w:val="none" w:sz="0" w:space="0" w:color="auto"/>
        <w:right w:val="none" w:sz="0" w:space="0" w:color="auto"/>
      </w:divBdr>
    </w:div>
    <w:div w:id="781723276">
      <w:bodyDiv w:val="1"/>
      <w:marLeft w:val="0"/>
      <w:marRight w:val="0"/>
      <w:marTop w:val="0"/>
      <w:marBottom w:val="0"/>
      <w:divBdr>
        <w:top w:val="none" w:sz="0" w:space="0" w:color="auto"/>
        <w:left w:val="none" w:sz="0" w:space="0" w:color="auto"/>
        <w:bottom w:val="none" w:sz="0" w:space="0" w:color="auto"/>
        <w:right w:val="none" w:sz="0" w:space="0" w:color="auto"/>
      </w:divBdr>
    </w:div>
    <w:div w:id="821238601">
      <w:bodyDiv w:val="1"/>
      <w:marLeft w:val="0"/>
      <w:marRight w:val="0"/>
      <w:marTop w:val="0"/>
      <w:marBottom w:val="0"/>
      <w:divBdr>
        <w:top w:val="none" w:sz="0" w:space="0" w:color="auto"/>
        <w:left w:val="none" w:sz="0" w:space="0" w:color="auto"/>
        <w:bottom w:val="none" w:sz="0" w:space="0" w:color="auto"/>
        <w:right w:val="none" w:sz="0" w:space="0" w:color="auto"/>
      </w:divBdr>
    </w:div>
    <w:div w:id="827014823">
      <w:bodyDiv w:val="1"/>
      <w:marLeft w:val="0"/>
      <w:marRight w:val="0"/>
      <w:marTop w:val="0"/>
      <w:marBottom w:val="0"/>
      <w:divBdr>
        <w:top w:val="none" w:sz="0" w:space="0" w:color="auto"/>
        <w:left w:val="none" w:sz="0" w:space="0" w:color="auto"/>
        <w:bottom w:val="none" w:sz="0" w:space="0" w:color="auto"/>
        <w:right w:val="none" w:sz="0" w:space="0" w:color="auto"/>
      </w:divBdr>
    </w:div>
    <w:div w:id="860435172">
      <w:bodyDiv w:val="1"/>
      <w:marLeft w:val="0"/>
      <w:marRight w:val="0"/>
      <w:marTop w:val="0"/>
      <w:marBottom w:val="0"/>
      <w:divBdr>
        <w:top w:val="none" w:sz="0" w:space="0" w:color="auto"/>
        <w:left w:val="none" w:sz="0" w:space="0" w:color="auto"/>
        <w:bottom w:val="none" w:sz="0" w:space="0" w:color="auto"/>
        <w:right w:val="none" w:sz="0" w:space="0" w:color="auto"/>
      </w:divBdr>
    </w:div>
    <w:div w:id="888764142">
      <w:bodyDiv w:val="1"/>
      <w:marLeft w:val="0"/>
      <w:marRight w:val="0"/>
      <w:marTop w:val="0"/>
      <w:marBottom w:val="0"/>
      <w:divBdr>
        <w:top w:val="none" w:sz="0" w:space="0" w:color="auto"/>
        <w:left w:val="none" w:sz="0" w:space="0" w:color="auto"/>
        <w:bottom w:val="none" w:sz="0" w:space="0" w:color="auto"/>
        <w:right w:val="none" w:sz="0" w:space="0" w:color="auto"/>
      </w:divBdr>
    </w:div>
    <w:div w:id="908543859">
      <w:bodyDiv w:val="1"/>
      <w:marLeft w:val="0"/>
      <w:marRight w:val="0"/>
      <w:marTop w:val="0"/>
      <w:marBottom w:val="0"/>
      <w:divBdr>
        <w:top w:val="none" w:sz="0" w:space="0" w:color="auto"/>
        <w:left w:val="none" w:sz="0" w:space="0" w:color="auto"/>
        <w:bottom w:val="none" w:sz="0" w:space="0" w:color="auto"/>
        <w:right w:val="none" w:sz="0" w:space="0" w:color="auto"/>
      </w:divBdr>
      <w:divsChild>
        <w:div w:id="2138209277">
          <w:marLeft w:val="0"/>
          <w:marRight w:val="0"/>
          <w:marTop w:val="0"/>
          <w:marBottom w:val="0"/>
          <w:divBdr>
            <w:top w:val="none" w:sz="0" w:space="0" w:color="auto"/>
            <w:left w:val="none" w:sz="0" w:space="0" w:color="auto"/>
            <w:bottom w:val="none" w:sz="0" w:space="0" w:color="auto"/>
            <w:right w:val="none" w:sz="0" w:space="0" w:color="auto"/>
          </w:divBdr>
          <w:divsChild>
            <w:div w:id="783039268">
              <w:marLeft w:val="45"/>
              <w:marRight w:val="45"/>
              <w:marTop w:val="0"/>
              <w:marBottom w:val="0"/>
              <w:divBdr>
                <w:top w:val="none" w:sz="0" w:space="0" w:color="auto"/>
                <w:left w:val="single" w:sz="6" w:space="2" w:color="CFD9F2"/>
                <w:bottom w:val="single" w:sz="6" w:space="2" w:color="CFD9F2"/>
                <w:right w:val="single" w:sz="6" w:space="2" w:color="CFD9F2"/>
              </w:divBdr>
              <w:divsChild>
                <w:div w:id="21247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334937">
      <w:bodyDiv w:val="1"/>
      <w:marLeft w:val="0"/>
      <w:marRight w:val="0"/>
      <w:marTop w:val="0"/>
      <w:marBottom w:val="0"/>
      <w:divBdr>
        <w:top w:val="none" w:sz="0" w:space="0" w:color="auto"/>
        <w:left w:val="none" w:sz="0" w:space="0" w:color="auto"/>
        <w:bottom w:val="none" w:sz="0" w:space="0" w:color="auto"/>
        <w:right w:val="none" w:sz="0" w:space="0" w:color="auto"/>
      </w:divBdr>
    </w:div>
    <w:div w:id="983848383">
      <w:bodyDiv w:val="1"/>
      <w:marLeft w:val="0"/>
      <w:marRight w:val="0"/>
      <w:marTop w:val="0"/>
      <w:marBottom w:val="0"/>
      <w:divBdr>
        <w:top w:val="none" w:sz="0" w:space="0" w:color="auto"/>
        <w:left w:val="none" w:sz="0" w:space="0" w:color="auto"/>
        <w:bottom w:val="none" w:sz="0" w:space="0" w:color="auto"/>
        <w:right w:val="none" w:sz="0" w:space="0" w:color="auto"/>
      </w:divBdr>
    </w:div>
    <w:div w:id="1014070647">
      <w:bodyDiv w:val="1"/>
      <w:marLeft w:val="0"/>
      <w:marRight w:val="0"/>
      <w:marTop w:val="0"/>
      <w:marBottom w:val="0"/>
      <w:divBdr>
        <w:top w:val="none" w:sz="0" w:space="0" w:color="auto"/>
        <w:left w:val="none" w:sz="0" w:space="0" w:color="auto"/>
        <w:bottom w:val="none" w:sz="0" w:space="0" w:color="auto"/>
        <w:right w:val="none" w:sz="0" w:space="0" w:color="auto"/>
      </w:divBdr>
    </w:div>
    <w:div w:id="1023435563">
      <w:bodyDiv w:val="1"/>
      <w:marLeft w:val="0"/>
      <w:marRight w:val="0"/>
      <w:marTop w:val="0"/>
      <w:marBottom w:val="0"/>
      <w:divBdr>
        <w:top w:val="none" w:sz="0" w:space="0" w:color="auto"/>
        <w:left w:val="none" w:sz="0" w:space="0" w:color="auto"/>
        <w:bottom w:val="none" w:sz="0" w:space="0" w:color="auto"/>
        <w:right w:val="none" w:sz="0" w:space="0" w:color="auto"/>
      </w:divBdr>
    </w:div>
    <w:div w:id="1049576867">
      <w:bodyDiv w:val="1"/>
      <w:marLeft w:val="0"/>
      <w:marRight w:val="0"/>
      <w:marTop w:val="0"/>
      <w:marBottom w:val="0"/>
      <w:divBdr>
        <w:top w:val="none" w:sz="0" w:space="0" w:color="auto"/>
        <w:left w:val="none" w:sz="0" w:space="0" w:color="auto"/>
        <w:bottom w:val="none" w:sz="0" w:space="0" w:color="auto"/>
        <w:right w:val="none" w:sz="0" w:space="0" w:color="auto"/>
      </w:divBdr>
    </w:div>
    <w:div w:id="1092120532">
      <w:bodyDiv w:val="1"/>
      <w:marLeft w:val="0"/>
      <w:marRight w:val="0"/>
      <w:marTop w:val="0"/>
      <w:marBottom w:val="0"/>
      <w:divBdr>
        <w:top w:val="none" w:sz="0" w:space="0" w:color="auto"/>
        <w:left w:val="none" w:sz="0" w:space="0" w:color="auto"/>
        <w:bottom w:val="none" w:sz="0" w:space="0" w:color="auto"/>
        <w:right w:val="none" w:sz="0" w:space="0" w:color="auto"/>
      </w:divBdr>
    </w:div>
    <w:div w:id="1145774520">
      <w:bodyDiv w:val="1"/>
      <w:marLeft w:val="0"/>
      <w:marRight w:val="0"/>
      <w:marTop w:val="0"/>
      <w:marBottom w:val="0"/>
      <w:divBdr>
        <w:top w:val="none" w:sz="0" w:space="0" w:color="auto"/>
        <w:left w:val="none" w:sz="0" w:space="0" w:color="auto"/>
        <w:bottom w:val="none" w:sz="0" w:space="0" w:color="auto"/>
        <w:right w:val="none" w:sz="0" w:space="0" w:color="auto"/>
      </w:divBdr>
    </w:div>
    <w:div w:id="1170754306">
      <w:bodyDiv w:val="1"/>
      <w:marLeft w:val="0"/>
      <w:marRight w:val="0"/>
      <w:marTop w:val="0"/>
      <w:marBottom w:val="0"/>
      <w:divBdr>
        <w:top w:val="none" w:sz="0" w:space="0" w:color="auto"/>
        <w:left w:val="none" w:sz="0" w:space="0" w:color="auto"/>
        <w:bottom w:val="none" w:sz="0" w:space="0" w:color="auto"/>
        <w:right w:val="none" w:sz="0" w:space="0" w:color="auto"/>
      </w:divBdr>
    </w:div>
    <w:div w:id="1193959264">
      <w:bodyDiv w:val="1"/>
      <w:marLeft w:val="0"/>
      <w:marRight w:val="0"/>
      <w:marTop w:val="0"/>
      <w:marBottom w:val="0"/>
      <w:divBdr>
        <w:top w:val="none" w:sz="0" w:space="0" w:color="auto"/>
        <w:left w:val="none" w:sz="0" w:space="0" w:color="auto"/>
        <w:bottom w:val="none" w:sz="0" w:space="0" w:color="auto"/>
        <w:right w:val="none" w:sz="0" w:space="0" w:color="auto"/>
      </w:divBdr>
    </w:div>
    <w:div w:id="1226795775">
      <w:bodyDiv w:val="1"/>
      <w:marLeft w:val="0"/>
      <w:marRight w:val="0"/>
      <w:marTop w:val="0"/>
      <w:marBottom w:val="0"/>
      <w:divBdr>
        <w:top w:val="none" w:sz="0" w:space="0" w:color="auto"/>
        <w:left w:val="none" w:sz="0" w:space="0" w:color="auto"/>
        <w:bottom w:val="none" w:sz="0" w:space="0" w:color="auto"/>
        <w:right w:val="none" w:sz="0" w:space="0" w:color="auto"/>
      </w:divBdr>
    </w:div>
    <w:div w:id="1296836579">
      <w:bodyDiv w:val="1"/>
      <w:marLeft w:val="0"/>
      <w:marRight w:val="0"/>
      <w:marTop w:val="0"/>
      <w:marBottom w:val="0"/>
      <w:divBdr>
        <w:top w:val="none" w:sz="0" w:space="0" w:color="auto"/>
        <w:left w:val="none" w:sz="0" w:space="0" w:color="auto"/>
        <w:bottom w:val="none" w:sz="0" w:space="0" w:color="auto"/>
        <w:right w:val="none" w:sz="0" w:space="0" w:color="auto"/>
      </w:divBdr>
    </w:div>
    <w:div w:id="1297181272">
      <w:bodyDiv w:val="1"/>
      <w:marLeft w:val="0"/>
      <w:marRight w:val="0"/>
      <w:marTop w:val="0"/>
      <w:marBottom w:val="0"/>
      <w:divBdr>
        <w:top w:val="none" w:sz="0" w:space="0" w:color="auto"/>
        <w:left w:val="none" w:sz="0" w:space="0" w:color="auto"/>
        <w:bottom w:val="none" w:sz="0" w:space="0" w:color="auto"/>
        <w:right w:val="none" w:sz="0" w:space="0" w:color="auto"/>
      </w:divBdr>
    </w:div>
    <w:div w:id="1422406997">
      <w:bodyDiv w:val="1"/>
      <w:marLeft w:val="0"/>
      <w:marRight w:val="0"/>
      <w:marTop w:val="0"/>
      <w:marBottom w:val="0"/>
      <w:divBdr>
        <w:top w:val="none" w:sz="0" w:space="0" w:color="auto"/>
        <w:left w:val="none" w:sz="0" w:space="0" w:color="auto"/>
        <w:bottom w:val="none" w:sz="0" w:space="0" w:color="auto"/>
        <w:right w:val="none" w:sz="0" w:space="0" w:color="auto"/>
      </w:divBdr>
    </w:div>
    <w:div w:id="1424691250">
      <w:bodyDiv w:val="1"/>
      <w:marLeft w:val="0"/>
      <w:marRight w:val="0"/>
      <w:marTop w:val="0"/>
      <w:marBottom w:val="0"/>
      <w:divBdr>
        <w:top w:val="none" w:sz="0" w:space="0" w:color="auto"/>
        <w:left w:val="none" w:sz="0" w:space="0" w:color="auto"/>
        <w:bottom w:val="none" w:sz="0" w:space="0" w:color="auto"/>
        <w:right w:val="none" w:sz="0" w:space="0" w:color="auto"/>
      </w:divBdr>
    </w:div>
    <w:div w:id="1454591313">
      <w:bodyDiv w:val="1"/>
      <w:marLeft w:val="0"/>
      <w:marRight w:val="0"/>
      <w:marTop w:val="0"/>
      <w:marBottom w:val="0"/>
      <w:divBdr>
        <w:top w:val="none" w:sz="0" w:space="0" w:color="auto"/>
        <w:left w:val="none" w:sz="0" w:space="0" w:color="auto"/>
        <w:bottom w:val="none" w:sz="0" w:space="0" w:color="auto"/>
        <w:right w:val="none" w:sz="0" w:space="0" w:color="auto"/>
      </w:divBdr>
    </w:div>
    <w:div w:id="1457986846">
      <w:bodyDiv w:val="1"/>
      <w:marLeft w:val="0"/>
      <w:marRight w:val="0"/>
      <w:marTop w:val="0"/>
      <w:marBottom w:val="0"/>
      <w:divBdr>
        <w:top w:val="none" w:sz="0" w:space="0" w:color="auto"/>
        <w:left w:val="none" w:sz="0" w:space="0" w:color="auto"/>
        <w:bottom w:val="none" w:sz="0" w:space="0" w:color="auto"/>
        <w:right w:val="none" w:sz="0" w:space="0" w:color="auto"/>
      </w:divBdr>
    </w:div>
    <w:div w:id="1491091665">
      <w:bodyDiv w:val="1"/>
      <w:marLeft w:val="0"/>
      <w:marRight w:val="0"/>
      <w:marTop w:val="0"/>
      <w:marBottom w:val="0"/>
      <w:divBdr>
        <w:top w:val="none" w:sz="0" w:space="0" w:color="auto"/>
        <w:left w:val="none" w:sz="0" w:space="0" w:color="auto"/>
        <w:bottom w:val="none" w:sz="0" w:space="0" w:color="auto"/>
        <w:right w:val="none" w:sz="0" w:space="0" w:color="auto"/>
      </w:divBdr>
    </w:div>
    <w:div w:id="1542857841">
      <w:bodyDiv w:val="1"/>
      <w:marLeft w:val="0"/>
      <w:marRight w:val="0"/>
      <w:marTop w:val="0"/>
      <w:marBottom w:val="0"/>
      <w:divBdr>
        <w:top w:val="none" w:sz="0" w:space="0" w:color="auto"/>
        <w:left w:val="none" w:sz="0" w:space="0" w:color="auto"/>
        <w:bottom w:val="none" w:sz="0" w:space="0" w:color="auto"/>
        <w:right w:val="none" w:sz="0" w:space="0" w:color="auto"/>
      </w:divBdr>
    </w:div>
    <w:div w:id="1587151908">
      <w:bodyDiv w:val="1"/>
      <w:marLeft w:val="0"/>
      <w:marRight w:val="0"/>
      <w:marTop w:val="0"/>
      <w:marBottom w:val="0"/>
      <w:divBdr>
        <w:top w:val="none" w:sz="0" w:space="0" w:color="auto"/>
        <w:left w:val="none" w:sz="0" w:space="0" w:color="auto"/>
        <w:bottom w:val="none" w:sz="0" w:space="0" w:color="auto"/>
        <w:right w:val="none" w:sz="0" w:space="0" w:color="auto"/>
      </w:divBdr>
    </w:div>
    <w:div w:id="1663238784">
      <w:bodyDiv w:val="1"/>
      <w:marLeft w:val="0"/>
      <w:marRight w:val="0"/>
      <w:marTop w:val="0"/>
      <w:marBottom w:val="0"/>
      <w:divBdr>
        <w:top w:val="none" w:sz="0" w:space="0" w:color="auto"/>
        <w:left w:val="none" w:sz="0" w:space="0" w:color="auto"/>
        <w:bottom w:val="none" w:sz="0" w:space="0" w:color="auto"/>
        <w:right w:val="none" w:sz="0" w:space="0" w:color="auto"/>
      </w:divBdr>
    </w:div>
    <w:div w:id="1677346088">
      <w:bodyDiv w:val="1"/>
      <w:marLeft w:val="0"/>
      <w:marRight w:val="0"/>
      <w:marTop w:val="0"/>
      <w:marBottom w:val="0"/>
      <w:divBdr>
        <w:top w:val="none" w:sz="0" w:space="0" w:color="auto"/>
        <w:left w:val="none" w:sz="0" w:space="0" w:color="auto"/>
        <w:bottom w:val="none" w:sz="0" w:space="0" w:color="auto"/>
        <w:right w:val="none" w:sz="0" w:space="0" w:color="auto"/>
      </w:divBdr>
    </w:div>
    <w:div w:id="1693147425">
      <w:bodyDiv w:val="1"/>
      <w:marLeft w:val="0"/>
      <w:marRight w:val="0"/>
      <w:marTop w:val="0"/>
      <w:marBottom w:val="0"/>
      <w:divBdr>
        <w:top w:val="none" w:sz="0" w:space="0" w:color="auto"/>
        <w:left w:val="none" w:sz="0" w:space="0" w:color="auto"/>
        <w:bottom w:val="none" w:sz="0" w:space="0" w:color="auto"/>
        <w:right w:val="none" w:sz="0" w:space="0" w:color="auto"/>
      </w:divBdr>
    </w:div>
    <w:div w:id="1753165529">
      <w:bodyDiv w:val="1"/>
      <w:marLeft w:val="0"/>
      <w:marRight w:val="0"/>
      <w:marTop w:val="0"/>
      <w:marBottom w:val="0"/>
      <w:divBdr>
        <w:top w:val="none" w:sz="0" w:space="0" w:color="auto"/>
        <w:left w:val="none" w:sz="0" w:space="0" w:color="auto"/>
        <w:bottom w:val="none" w:sz="0" w:space="0" w:color="auto"/>
        <w:right w:val="none" w:sz="0" w:space="0" w:color="auto"/>
      </w:divBdr>
    </w:div>
    <w:div w:id="1774209394">
      <w:bodyDiv w:val="1"/>
      <w:marLeft w:val="0"/>
      <w:marRight w:val="0"/>
      <w:marTop w:val="0"/>
      <w:marBottom w:val="0"/>
      <w:divBdr>
        <w:top w:val="none" w:sz="0" w:space="0" w:color="auto"/>
        <w:left w:val="none" w:sz="0" w:space="0" w:color="auto"/>
        <w:bottom w:val="none" w:sz="0" w:space="0" w:color="auto"/>
        <w:right w:val="none" w:sz="0" w:space="0" w:color="auto"/>
      </w:divBdr>
    </w:div>
    <w:div w:id="1796873399">
      <w:bodyDiv w:val="1"/>
      <w:marLeft w:val="0"/>
      <w:marRight w:val="0"/>
      <w:marTop w:val="0"/>
      <w:marBottom w:val="0"/>
      <w:divBdr>
        <w:top w:val="none" w:sz="0" w:space="0" w:color="auto"/>
        <w:left w:val="none" w:sz="0" w:space="0" w:color="auto"/>
        <w:bottom w:val="none" w:sz="0" w:space="0" w:color="auto"/>
        <w:right w:val="none" w:sz="0" w:space="0" w:color="auto"/>
      </w:divBdr>
    </w:div>
    <w:div w:id="1816139965">
      <w:bodyDiv w:val="1"/>
      <w:marLeft w:val="0"/>
      <w:marRight w:val="0"/>
      <w:marTop w:val="0"/>
      <w:marBottom w:val="0"/>
      <w:divBdr>
        <w:top w:val="none" w:sz="0" w:space="0" w:color="auto"/>
        <w:left w:val="none" w:sz="0" w:space="0" w:color="auto"/>
        <w:bottom w:val="none" w:sz="0" w:space="0" w:color="auto"/>
        <w:right w:val="none" w:sz="0" w:space="0" w:color="auto"/>
      </w:divBdr>
    </w:div>
    <w:div w:id="1933077437">
      <w:bodyDiv w:val="1"/>
      <w:marLeft w:val="0"/>
      <w:marRight w:val="0"/>
      <w:marTop w:val="0"/>
      <w:marBottom w:val="0"/>
      <w:divBdr>
        <w:top w:val="none" w:sz="0" w:space="0" w:color="auto"/>
        <w:left w:val="none" w:sz="0" w:space="0" w:color="auto"/>
        <w:bottom w:val="none" w:sz="0" w:space="0" w:color="auto"/>
        <w:right w:val="none" w:sz="0" w:space="0" w:color="auto"/>
      </w:divBdr>
    </w:div>
    <w:div w:id="1939485818">
      <w:bodyDiv w:val="1"/>
      <w:marLeft w:val="0"/>
      <w:marRight w:val="0"/>
      <w:marTop w:val="0"/>
      <w:marBottom w:val="0"/>
      <w:divBdr>
        <w:top w:val="none" w:sz="0" w:space="0" w:color="auto"/>
        <w:left w:val="none" w:sz="0" w:space="0" w:color="auto"/>
        <w:bottom w:val="none" w:sz="0" w:space="0" w:color="auto"/>
        <w:right w:val="none" w:sz="0" w:space="0" w:color="auto"/>
      </w:divBdr>
    </w:div>
    <w:div w:id="1964461681">
      <w:bodyDiv w:val="1"/>
      <w:marLeft w:val="0"/>
      <w:marRight w:val="0"/>
      <w:marTop w:val="0"/>
      <w:marBottom w:val="0"/>
      <w:divBdr>
        <w:top w:val="none" w:sz="0" w:space="0" w:color="auto"/>
        <w:left w:val="none" w:sz="0" w:space="0" w:color="auto"/>
        <w:bottom w:val="none" w:sz="0" w:space="0" w:color="auto"/>
        <w:right w:val="none" w:sz="0" w:space="0" w:color="auto"/>
      </w:divBdr>
    </w:div>
    <w:div w:id="2110730616">
      <w:bodyDiv w:val="1"/>
      <w:marLeft w:val="0"/>
      <w:marRight w:val="0"/>
      <w:marTop w:val="0"/>
      <w:marBottom w:val="0"/>
      <w:divBdr>
        <w:top w:val="none" w:sz="0" w:space="0" w:color="auto"/>
        <w:left w:val="none" w:sz="0" w:space="0" w:color="auto"/>
        <w:bottom w:val="none" w:sz="0" w:space="0" w:color="auto"/>
        <w:right w:val="none" w:sz="0" w:space="0" w:color="auto"/>
      </w:divBdr>
    </w:div>
    <w:div w:id="21390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epository.cam.ac.uk/handle/1810/256566" TargetMode="External"/><Relationship Id="rId13" Type="http://schemas.openxmlformats.org/officeDocument/2006/relationships/hyperlink" Target="http://uva-aias.net/en/ictwss" TargetMode="External"/><Relationship Id="rId18" Type="http://schemas.openxmlformats.org/officeDocument/2006/relationships/hyperlink" Target="https://data.europa.eu/euodp/en/data/dataset/fUWMFC9IKWUo0I75f0BWQ" TargetMode="External"/><Relationship Id="rId26" Type="http://schemas.openxmlformats.org/officeDocument/2006/relationships/hyperlink" Target="http://data.worldbank.org/indicator/SI.POV.GINI" TargetMode="External"/><Relationship Id="rId39" Type="http://schemas.openxmlformats.org/officeDocument/2006/relationships/hyperlink" Target="http://info.worldbank.org/governance/wgi/wgidataset.xlsx" TargetMode="External"/><Relationship Id="rId3" Type="http://schemas.openxmlformats.org/officeDocument/2006/relationships/hyperlink" Target="https://data.oecd.org/earnwage/gender-wage-gap.htm" TargetMode="External"/><Relationship Id="rId21" Type="http://schemas.openxmlformats.org/officeDocument/2006/relationships/hyperlink" Target="https://www.oecd.org/tax/tax-policy/revenue-statistics-levels-of-government.htm" TargetMode="External"/><Relationship Id="rId34" Type="http://schemas.openxmlformats.org/officeDocument/2006/relationships/hyperlink" Target="http://stats.oecd.org/Index.aspx?DatasetCode=SNA_TABLE710" TargetMode="External"/><Relationship Id="rId42" Type="http://schemas.openxmlformats.org/officeDocument/2006/relationships/hyperlink" Target="https://stats.oecd.org/Index.aspx?DataSetCode=AV_AN_WAGE" TargetMode="External"/><Relationship Id="rId7" Type="http://schemas.openxmlformats.org/officeDocument/2006/relationships/hyperlink" Target="http://stats.oecd.org/Index.aspx?DatasetCode=AV_AN_WAGE" TargetMode="External"/><Relationship Id="rId12" Type="http://schemas.openxmlformats.org/officeDocument/2006/relationships/hyperlink" Target="http://uva-aias.net/en/ictwss" TargetMode="External"/><Relationship Id="rId17" Type="http://schemas.openxmlformats.org/officeDocument/2006/relationships/hyperlink" Target="https://data.oecd.org/fdi/fdi-stocks.htm" TargetMode="External"/><Relationship Id="rId25" Type="http://schemas.openxmlformats.org/officeDocument/2006/relationships/hyperlink" Target="http://hdr.undp.org/en/content/human-development-index-hdi" TargetMode="External"/><Relationship Id="rId33" Type="http://schemas.openxmlformats.org/officeDocument/2006/relationships/hyperlink" Target="http://stats.oecd.org/Index.aspx?DataSetCode=SNA_TABLE1" TargetMode="External"/><Relationship Id="rId38" Type="http://schemas.openxmlformats.org/officeDocument/2006/relationships/hyperlink" Target="http://info.worldbank.org/governance/wgi/" TargetMode="External"/><Relationship Id="rId46" Type="http://schemas.openxmlformats.org/officeDocument/2006/relationships/hyperlink" Target="http://www.oecd.org/corporate/oecd-dataset-size-composition-soe-sectors.htm" TargetMode="External"/><Relationship Id="rId2" Type="http://schemas.openxmlformats.org/officeDocument/2006/relationships/hyperlink" Target="http://www.ilo.org/ilostat/faces/help_home/data_by_subject/subject-details/indicator-details-by-subject?indicator=TRU_TTRU_SEX_AGE_NB&amp;subject=TRU&amp;datasetCode=YI&amp;collectionCode=YI&amp;_adf.ctrl-state=1as0njm80z_21&amp;_afrLoop=29197503181447" TargetMode="External"/><Relationship Id="rId16" Type="http://schemas.openxmlformats.org/officeDocument/2006/relationships/hyperlink" Target="https://data.oecd.org/fdi/fdi-stocks.htm" TargetMode="External"/><Relationship Id="rId20" Type="http://schemas.openxmlformats.org/officeDocument/2006/relationships/hyperlink" Target="http://wits.worldbank.org/Default.aspx?lang=en" TargetMode="External"/><Relationship Id="rId29" Type="http://schemas.openxmlformats.org/officeDocument/2006/relationships/hyperlink" Target="http://www.heritage.org/index/about" TargetMode="External"/><Relationship Id="rId41" Type="http://schemas.openxmlformats.org/officeDocument/2006/relationships/hyperlink" Target="http://info.worldbank.org/governance/wgi/wgidataset.xlsx" TargetMode="External"/><Relationship Id="rId1" Type="http://schemas.openxmlformats.org/officeDocument/2006/relationships/hyperlink" Target="https://data.oecd.org/unemp/long-term-unemployment-rate.htm" TargetMode="External"/><Relationship Id="rId6" Type="http://schemas.openxmlformats.org/officeDocument/2006/relationships/hyperlink" Target="http://www.oecd.org/employment/onlineoecdemploymentdatabase.htm" TargetMode="External"/><Relationship Id="rId11" Type="http://schemas.openxmlformats.org/officeDocument/2006/relationships/hyperlink" Target="http://www.ilo.org/ilostat/faces/help_home/data_by_country/country-details/indicator-details?indicator=ILR_CBCT_NOC_RT&amp;subject=SOD&amp;datasetCode=AH&amp;collectionCode=IR&amp;country=GBR&amp;_adf.ctrl-state=1as0njm80z_80&amp;_afrLoop=30347624796030" TargetMode="External"/><Relationship Id="rId24" Type="http://schemas.openxmlformats.org/officeDocument/2006/relationships/hyperlink" Target="https://data.worldbank.org/indicator/SG.GEN.PARL.ZS?locations=PK" TargetMode="External"/><Relationship Id="rId32" Type="http://schemas.openxmlformats.org/officeDocument/2006/relationships/hyperlink" Target="http://www.europeansocialsurvey.org/data/themes.html?t=udemocracy" TargetMode="External"/><Relationship Id="rId37" Type="http://schemas.openxmlformats.org/officeDocument/2006/relationships/hyperlink" Target="http://stats.oecd.org/Index.aspx?DataSetCode=BLI2015" TargetMode="External"/><Relationship Id="rId40" Type="http://schemas.openxmlformats.org/officeDocument/2006/relationships/hyperlink" Target="http://info.worldbank.org/governance/wgi/" TargetMode="External"/><Relationship Id="rId45" Type="http://schemas.openxmlformats.org/officeDocument/2006/relationships/hyperlink" Target="https://data.oecd.org/interest/long-term-interest-rates.htm" TargetMode="External"/><Relationship Id="rId5" Type="http://schemas.openxmlformats.org/officeDocument/2006/relationships/hyperlink" Target="http://www.oecd.org/employment/onlineoecdemploymentdatabase.htm" TargetMode="External"/><Relationship Id="rId15" Type="http://schemas.openxmlformats.org/officeDocument/2006/relationships/hyperlink" Target="http://data.imf.org/regular.aspx?key=61063966" TargetMode="External"/><Relationship Id="rId23" Type="http://schemas.openxmlformats.org/officeDocument/2006/relationships/hyperlink" Target="https://data.oecd.org/energy/renewable-energy.htm" TargetMode="External"/><Relationship Id="rId28" Type="http://schemas.openxmlformats.org/officeDocument/2006/relationships/hyperlink" Target="https://www.oecd-ilibrary.org/economics/banking-sector-leverage/indicator/english_027a0800-en" TargetMode="External"/><Relationship Id="rId36" Type="http://schemas.openxmlformats.org/officeDocument/2006/relationships/hyperlink" Target="http://www.eiu.com/Handlers/WhitepaperHandler.ashx?fi=EIU-Democracy-Index-2015.pdf&amp;mode=wp&amp;campaignid=DemocracyIndex2015" TargetMode="External"/><Relationship Id="rId10" Type="http://schemas.openxmlformats.org/officeDocument/2006/relationships/hyperlink" Target="https://www.oecd-ilibrary.org/employment/data/trade-unions/trade-union-density_data-00371-en" TargetMode="External"/><Relationship Id="rId19" Type="http://schemas.openxmlformats.org/officeDocument/2006/relationships/hyperlink" Target="https://data.oecd.org/gga/general-government-spending.htm" TargetMode="External"/><Relationship Id="rId31" Type="http://schemas.openxmlformats.org/officeDocument/2006/relationships/hyperlink" Target="http://www.europeansocialsurvey.org/data/themes.html?t=udemocracy" TargetMode="External"/><Relationship Id="rId44" Type="http://schemas.openxmlformats.org/officeDocument/2006/relationships/hyperlink" Target="https://stats.oecd.org/Index.aspx?DataSetCode=PRICES_CPI" TargetMode="External"/><Relationship Id="rId4" Type="http://schemas.openxmlformats.org/officeDocument/2006/relationships/hyperlink" Target="https://www.eurofound.europa.eu/surveys/about-eurofound-surveys/data-availability" TargetMode="External"/><Relationship Id="rId9" Type="http://schemas.openxmlformats.org/officeDocument/2006/relationships/hyperlink" Target="https://www.repository.cam.ac.uk/handle/1810/256566" TargetMode="External"/><Relationship Id="rId14" Type="http://schemas.openxmlformats.org/officeDocument/2006/relationships/hyperlink" Target="http://www.eacb.coop/en/cooperative-banks/key-figures.html" TargetMode="External"/><Relationship Id="rId22" Type="http://schemas.openxmlformats.org/officeDocument/2006/relationships/hyperlink" Target="http://data.worldbank.org/indicator/SE.XPD.TOTL.GD.ZS" TargetMode="External"/><Relationship Id="rId27" Type="http://schemas.openxmlformats.org/officeDocument/2006/relationships/hyperlink" Target="http://www.systemicpeace.org/polityproject.html" TargetMode="External"/><Relationship Id="rId30" Type="http://schemas.openxmlformats.org/officeDocument/2006/relationships/hyperlink" Target="http://www.internationalbudget.org/opening-budgets/open-budget-initiative/open-budget-survey/" TargetMode="External"/><Relationship Id="rId35" Type="http://schemas.openxmlformats.org/officeDocument/2006/relationships/hyperlink" Target="http://stats.oecd.org/Index.aspx?DatasetCode=POP_FIVE_HIST" TargetMode="External"/><Relationship Id="rId43" Type="http://schemas.openxmlformats.org/officeDocument/2006/relationships/hyperlink" Target="https://www.repository.cam.ac.uk/bitstream/handle/1810/256566/cbr-lri-117-countries-codebook-and-methodology.pdf?sequen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AC5D4-D362-4E5B-A06F-5F0AB1EE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4681</Words>
  <Characters>26686</Characters>
  <Application>Microsoft Office Word</Application>
  <DocSecurity>0</DocSecurity>
  <Lines>222</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Glasgow</Company>
  <LinksUpToDate>false</LinksUpToDate>
  <CharactersWithSpaces>31305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Cabaco</dc:creator>
  <cp:keywords/>
  <dc:description/>
  <cp:lastModifiedBy>Vlad, Anca D</cp:lastModifiedBy>
  <cp:revision>2</cp:revision>
  <cp:lastPrinted>2016-04-28T11:26:00Z</cp:lastPrinted>
  <dcterms:created xsi:type="dcterms:W3CDTF">2019-10-29T11:51:00Z</dcterms:created>
  <dcterms:modified xsi:type="dcterms:W3CDTF">2019-10-29T11:51:00Z</dcterms:modified>
</cp:coreProperties>
</file>