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730" w:rsidRDefault="00E63730" w:rsidP="00E63730">
      <w:pPr>
        <w:spacing w:before="8" w:after="0" w:line="240" w:lineRule="exact"/>
        <w:rPr>
          <w:sz w:val="24"/>
          <w:szCs w:val="24"/>
        </w:rPr>
      </w:pPr>
    </w:p>
    <w:p w:rsidR="00E63730" w:rsidRDefault="00E63730" w:rsidP="00E63730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436178CA" wp14:editId="0D63C0E4">
            <wp:extent cx="1676400" cy="101600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before="12" w:after="0" w:line="260" w:lineRule="exact"/>
        <w:rPr>
          <w:sz w:val="26"/>
          <w:szCs w:val="26"/>
        </w:rPr>
      </w:pPr>
    </w:p>
    <w:p w:rsidR="00E63730" w:rsidRDefault="00E63730" w:rsidP="00E63730">
      <w:pPr>
        <w:spacing w:before="11" w:after="0" w:line="240" w:lineRule="auto"/>
        <w:ind w:left="1592" w:right="1597"/>
        <w:jc w:val="center"/>
        <w:outlineLvl w:val="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6EBA6B2" wp14:editId="5966D986">
            <wp:simplePos x="0" y="0"/>
            <wp:positionH relativeFrom="page">
              <wp:posOffset>3072130</wp:posOffset>
            </wp:positionH>
            <wp:positionV relativeFrom="paragraph">
              <wp:posOffset>-1869440</wp:posOffset>
            </wp:positionV>
            <wp:extent cx="1103630" cy="1071880"/>
            <wp:effectExtent l="0" t="0" r="0" b="0"/>
            <wp:wrapNone/>
            <wp:docPr id="188" name="Picture 1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071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9B3C1DE" wp14:editId="602159D5">
            <wp:simplePos x="0" y="0"/>
            <wp:positionH relativeFrom="page">
              <wp:posOffset>4492625</wp:posOffset>
            </wp:positionH>
            <wp:positionV relativeFrom="paragraph">
              <wp:posOffset>-1603375</wp:posOffset>
            </wp:positionV>
            <wp:extent cx="1901825" cy="796925"/>
            <wp:effectExtent l="0" t="0" r="0" b="0"/>
            <wp:wrapNone/>
            <wp:docPr id="187" name="Picture 1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79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bCs/>
          <w:sz w:val="24"/>
          <w:szCs w:val="24"/>
        </w:rPr>
        <w:t>Po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ty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All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via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on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ke of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ph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:</w:t>
      </w:r>
    </w:p>
    <w:p w:rsidR="00E63730" w:rsidRDefault="00E63730" w:rsidP="00E63730">
      <w:pPr>
        <w:spacing w:before="41" w:after="0" w:line="240" w:lineRule="auto"/>
        <w:ind w:left="914" w:right="911"/>
        <w:jc w:val="center"/>
        <w:outlineLvl w:val="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ul</w:t>
      </w:r>
      <w:r>
        <w:rPr>
          <w:rFonts w:ascii="Calibri" w:eastAsia="Calibri" w:hAnsi="Calibri" w:cs="Calibri"/>
          <w:b/>
          <w:bCs/>
          <w:sz w:val="24"/>
          <w:szCs w:val="24"/>
        </w:rPr>
        <w:t>ts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z w:val="24"/>
          <w:szCs w:val="24"/>
        </w:rPr>
        <w:t>e 2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b/>
          <w:bCs/>
          <w:sz w:val="24"/>
          <w:szCs w:val="24"/>
        </w:rPr>
        <w:t>1</w:t>
      </w:r>
      <w:r w:rsidR="00BB211C">
        <w:rPr>
          <w:rFonts w:ascii="Calibri" w:eastAsia="Calibri" w:hAnsi="Calibri" w:cs="Calibri"/>
          <w:b/>
          <w:bCs/>
          <w:sz w:val="24"/>
          <w:szCs w:val="24"/>
        </w:rPr>
        <w:t>6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y of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di</w:t>
      </w:r>
      <w:r>
        <w:rPr>
          <w:rFonts w:ascii="Calibri" w:eastAsia="Calibri" w:hAnsi="Calibri" w:cs="Calibri"/>
          <w:b/>
          <w:bCs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7"/>
          <w:sz w:val="24"/>
          <w:szCs w:val="24"/>
        </w:rPr>
        <w:t>s</w:t>
      </w:r>
      <w:r w:rsidR="00BB211C">
        <w:rPr>
          <w:rStyle w:val="FootnoteReference"/>
          <w:rFonts w:ascii="Calibri" w:eastAsia="Calibri" w:hAnsi="Calibri" w:cs="Calibri"/>
          <w:b/>
          <w:bCs/>
          <w:spacing w:val="7"/>
          <w:sz w:val="24"/>
          <w:szCs w:val="24"/>
        </w:rPr>
        <w:footnoteReference w:id="1"/>
      </w:r>
    </w:p>
    <w:p w:rsidR="00E63730" w:rsidRDefault="00E63730" w:rsidP="00E63730">
      <w:pPr>
        <w:spacing w:before="9" w:after="0" w:line="170" w:lineRule="exact"/>
        <w:rPr>
          <w:sz w:val="17"/>
          <w:szCs w:val="17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 w:line="240" w:lineRule="auto"/>
        <w:ind w:left="3421" w:right="3423"/>
        <w:jc w:val="center"/>
        <w:outlineLvl w:val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a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z w:val="24"/>
          <w:szCs w:val="24"/>
        </w:rPr>
        <w:t>a</w:t>
      </w:r>
      <w:proofErr w:type="spellEnd"/>
    </w:p>
    <w:p w:rsidR="00E63730" w:rsidRPr="00BB211C" w:rsidRDefault="00E63730" w:rsidP="00E63730">
      <w:pPr>
        <w:spacing w:after="0" w:line="200" w:lineRule="exact"/>
        <w:rPr>
          <w:sz w:val="24"/>
          <w:szCs w:val="24"/>
        </w:rPr>
      </w:pPr>
    </w:p>
    <w:p w:rsidR="00E63730" w:rsidRPr="00BB211C" w:rsidRDefault="00E63730" w:rsidP="00E63730">
      <w:pPr>
        <w:spacing w:after="0" w:line="200" w:lineRule="exact"/>
        <w:rPr>
          <w:sz w:val="24"/>
          <w:szCs w:val="24"/>
        </w:rPr>
      </w:pPr>
    </w:p>
    <w:p w:rsidR="00E63730" w:rsidRPr="00BB211C" w:rsidRDefault="00E63730" w:rsidP="00E63730">
      <w:pPr>
        <w:spacing w:before="2" w:after="0" w:line="260" w:lineRule="exact"/>
        <w:rPr>
          <w:sz w:val="24"/>
          <w:szCs w:val="24"/>
        </w:rPr>
      </w:pP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The 2016 Poverty Alleviation in the Wake of Typhoon Yolanda Survey is a household</w:t>
      </w: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 xml:space="preserve">survey of 800 individuals in selected communities, in </w:t>
      </w:r>
      <w:proofErr w:type="spellStart"/>
      <w:r w:rsidRPr="00BB211C">
        <w:rPr>
          <w:rFonts w:cstheme="minorHAnsi"/>
          <w:color w:val="000000"/>
          <w:sz w:val="24"/>
          <w:szCs w:val="24"/>
        </w:rPr>
        <w:t>Tacloban</w:t>
      </w:r>
      <w:proofErr w:type="spellEnd"/>
      <w:r w:rsidRPr="00BB211C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BB211C">
        <w:rPr>
          <w:rFonts w:cstheme="minorHAnsi"/>
          <w:color w:val="000000"/>
          <w:sz w:val="24"/>
          <w:szCs w:val="24"/>
        </w:rPr>
        <w:t>Tanauan</w:t>
      </w:r>
      <w:proofErr w:type="spellEnd"/>
      <w:r w:rsidRPr="00BB211C">
        <w:rPr>
          <w:rFonts w:cstheme="minorHAnsi"/>
          <w:color w:val="000000"/>
          <w:sz w:val="24"/>
          <w:szCs w:val="24"/>
        </w:rPr>
        <w:t xml:space="preserve"> and Palo in the</w:t>
      </w: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province of Leyte. It is the second in a series three cross sectional surveys, conducted by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University of Nottingham, United Kingdom in cooperation with the University of</w:t>
      </w: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 xml:space="preserve">Nottingham, Ningbo, China and the University of the Philippines, </w:t>
      </w:r>
      <w:proofErr w:type="spellStart"/>
      <w:r w:rsidRPr="00BB211C">
        <w:rPr>
          <w:rFonts w:cstheme="minorHAnsi"/>
          <w:color w:val="000000"/>
          <w:sz w:val="24"/>
          <w:szCs w:val="24"/>
        </w:rPr>
        <w:t>Diliman</w:t>
      </w:r>
      <w:proofErr w:type="spellEnd"/>
      <w:r w:rsidRPr="00BB211C">
        <w:rPr>
          <w:rFonts w:cstheme="minorHAnsi"/>
          <w:color w:val="000000"/>
          <w:sz w:val="24"/>
          <w:szCs w:val="24"/>
        </w:rPr>
        <w:t>. It aims to identify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strategies that work in relation to poverty alleviation in post-disaster environments and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conditions necessary for the success and scaling up of these strategies based on the case of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relief efforts in selected Yolanda areas. Generating data on urban population risks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vulnerability to disasters as well as resilience towards environmental shocks, are examined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in this study.</w:t>
      </w:r>
    </w:p>
    <w:p w:rsid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The survey covers post-Yolanda experiences. Recovery, resilience, community</w:t>
      </w:r>
    </w:p>
    <w:p w:rsid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support and capacity-building through training are its main focus. Respondents were asked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questions on their experiences, attitudes and perceptions on assistance, relief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relocation. Questions about their access to food, health services and education, livelihood,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community support and training on livelihood were also included. The respondents’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background characteristics and the household roster were also gathered by survey.</w:t>
      </w: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There are two types of data generated by the survey: one is the individual as unit of</w:t>
      </w:r>
    </w:p>
    <w:p w:rsid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analysis and the other is the household level data, derived from the household roster form.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To generate the individual data, the household head or the spouse of the household head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 xml:space="preserve">was </w:t>
      </w:r>
      <w:r w:rsidRPr="00BB211C">
        <w:rPr>
          <w:rFonts w:cstheme="minorHAnsi"/>
          <w:color w:val="000000"/>
          <w:sz w:val="24"/>
          <w:szCs w:val="24"/>
        </w:rPr>
        <w:lastRenderedPageBreak/>
        <w:t>interviewed. In case when both are not available, any responsible adult who is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knowledgeable about the personal details of the members of the household is interviewed.</w:t>
      </w: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The data generated from this survey serves as baseline data of this study on poverty</w:t>
      </w: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 xml:space="preserve">alleviation two years after selected localities of </w:t>
      </w:r>
      <w:proofErr w:type="spellStart"/>
      <w:r w:rsidRPr="00BB211C">
        <w:rPr>
          <w:rFonts w:cstheme="minorHAnsi"/>
          <w:color w:val="000000"/>
          <w:sz w:val="24"/>
          <w:szCs w:val="24"/>
        </w:rPr>
        <w:t>Tacloban</w:t>
      </w:r>
      <w:proofErr w:type="spellEnd"/>
      <w:r w:rsidRPr="00BB211C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BB211C">
        <w:rPr>
          <w:rFonts w:cstheme="minorHAnsi"/>
          <w:color w:val="000000"/>
          <w:sz w:val="24"/>
          <w:szCs w:val="24"/>
        </w:rPr>
        <w:t>Tanauan</w:t>
      </w:r>
      <w:proofErr w:type="spellEnd"/>
      <w:r w:rsidRPr="00BB211C">
        <w:rPr>
          <w:rFonts w:cstheme="minorHAnsi"/>
          <w:color w:val="000000"/>
          <w:sz w:val="24"/>
          <w:szCs w:val="24"/>
        </w:rPr>
        <w:t xml:space="preserve"> and Palo were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devastated by Yolanda.</w:t>
      </w:r>
    </w:p>
    <w:p w:rsid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The central variable used in the analyses is poverty alleviation. It was determined by</w:t>
      </w: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asking at self-perceived poverty, access to food, housing, health, education, and livelihood.</w:t>
      </w:r>
    </w:p>
    <w:p w:rsid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Respondents were also asked to assess the assistance that they received from within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outside their community.</w:t>
      </w:r>
    </w:p>
    <w:p w:rsid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BB211C" w:rsidRP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The questions were ordered in a manner that approximates the natural sequence of</w:t>
      </w:r>
    </w:p>
    <w:p w:rsid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BB211C">
        <w:rPr>
          <w:rFonts w:cstheme="minorHAnsi"/>
          <w:color w:val="000000"/>
          <w:sz w:val="24"/>
          <w:szCs w:val="24"/>
        </w:rPr>
        <w:t>experiences in the aftermath of Yolanda experience, in order to help the respondents, recall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B211C">
        <w:rPr>
          <w:rFonts w:cstheme="minorHAnsi"/>
          <w:color w:val="000000"/>
          <w:sz w:val="24"/>
          <w:szCs w:val="24"/>
        </w:rPr>
        <w:t>their experiences and to ensure accuracy and consistency of responses.</w:t>
      </w:r>
    </w:p>
    <w:p w:rsidR="00BB211C" w:rsidRDefault="00BB211C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B39C5" w:rsidRDefault="007B39C5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B39C5" w:rsidRDefault="007B39C5" w:rsidP="00BB211C">
      <w:pPr>
        <w:widowControl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Cross tabulations of 2016</w:t>
      </w:r>
      <w:r w:rsidRPr="00571967">
        <w:rPr>
          <w:rFonts w:ascii="Calibri" w:eastAsia="Times New Roman" w:hAnsi="Calibri" w:cs="Calibri"/>
          <w:color w:val="000000"/>
        </w:rPr>
        <w:t xml:space="preserve"> Yolanda Variables by City/Municipality</w:t>
      </w:r>
    </w:p>
    <w:p w:rsidR="007B39C5" w:rsidRDefault="007B39C5" w:rsidP="00BB211C">
      <w:pPr>
        <w:widowControl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1060"/>
        <w:gridCol w:w="4502"/>
        <w:gridCol w:w="1266"/>
        <w:gridCol w:w="1266"/>
        <w:gridCol w:w="1266"/>
      </w:tblGrid>
      <w:tr w:rsidR="007B39C5" w:rsidRPr="005E320A" w:rsidTr="007B39C5">
        <w:trPr>
          <w:trHeight w:val="300"/>
        </w:trPr>
        <w:tc>
          <w:tcPr>
            <w:tcW w:w="5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A4. Sex by city/municipality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6F58A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6F58A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6F58A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 xml:space="preserve">Male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28.0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26.7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20.4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Female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72.0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73.3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79.6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A5. Age of respondent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80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100.0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100.0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9C5" w:rsidRPr="005E320A" w:rsidRDefault="007B39C5" w:rsidP="007B39C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E320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100.0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B39C5" w:rsidRPr="005E320A" w:rsidTr="007B39C5">
        <w:trPr>
          <w:trHeight w:val="320"/>
        </w:trPr>
        <w:tc>
          <w:tcPr>
            <w:tcW w:w="10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6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</w:tbl>
    <w:p w:rsidR="007B39C5" w:rsidRDefault="007B39C5" w:rsidP="007B39C5"/>
    <w:tbl>
      <w:tblPr>
        <w:tblW w:w="9360" w:type="dxa"/>
        <w:tblLook w:val="04A0" w:firstRow="1" w:lastRow="0" w:firstColumn="1" w:lastColumn="0" w:noHBand="0" w:noVBand="1"/>
      </w:tblPr>
      <w:tblGrid>
        <w:gridCol w:w="5562"/>
        <w:gridCol w:w="1266"/>
        <w:gridCol w:w="1266"/>
        <w:gridCol w:w="1266"/>
      </w:tblGrid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A6. Do you have any physical disability?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99.7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97.5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97.0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289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A7. Civil status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Single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 xml:space="preserve">Married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80.7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76.3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80.4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Widowed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Separated/Divorced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A8. Highest level of schooling completed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None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Elementary level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16.3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16.7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Elementary graduate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16.3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13.3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High school level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21.7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22.9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High school graduate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21.7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22.1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30.8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Vocational level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Vocational level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College level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14.1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14.5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13.4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College graduate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Post-graduate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319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A9. Are you currently working?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39.3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47.1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34.2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60.7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52.9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65.8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A10. Standard categories for work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Unemployed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59.2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52.9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65.8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Elementary occupation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15.4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9.6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Small business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11.5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14.6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Farmers/fishermen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Service workers/shops/sales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Government employee/barangay worker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Professional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0.9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A11. Reason for not working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Cannot find work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Health reasons/disability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Housewife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85.9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79.5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77.8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Student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1.9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Retired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Other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1.9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192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127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158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A12. Total family income in the course of an ordinary month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Less than P1,000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P1,001 to P10,000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86.4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82.3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73.3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P10,001 to P25,000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11.4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15.3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More than P25,000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317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236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A13. In the past year, where does your total family income in the course of an ordinary month come from?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Wages and salaries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47.8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66.2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67.2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Gift from relatives and other people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13.2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26.9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6.7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Pension and retirement benefits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Rentals of property or any asset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4.6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Business income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49.8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26.2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35.4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145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195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A14. Are you a member of any organization?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34.8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41.4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34.2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65.2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58.6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65.8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313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8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B1. Do you still receive any assistance from typhoon Yolanda donors?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95.3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98.8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98.8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100.1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B2. What kind of assistance did you receive?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Cash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87.9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98.3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90.2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Shelter materials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37.9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92.7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34.8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Livelihood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17.7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26.3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7.6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Education of children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Other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79.5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248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232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132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8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B3A. Would you say that the CASH assistance you received were adequate?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29.9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22.5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67.2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70.1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77.5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224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218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119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B3B. Would you say that the SHELTER MATERIALS assistance you received were adequate?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30.3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53.5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69.7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80.6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46.5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B3C. Would you say that the LIVELIHOOD assistance you received were adequate?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36.4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52.6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75.0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63.6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47.4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25.0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B3D. Would you say that the EDUCATION OF CHILDREN assistance you received were adequate?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167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209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8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B3E. Would you say that the OTHER assistance you received were adequate?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47.2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85.7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78.0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52.8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14.3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22.0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B5. Did you receive an offer to move to a relocation site?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43.0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25.8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12.9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57.0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74.2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87.1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234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235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8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B6. Do you intend to stay permanently in your current residence?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62.9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87.5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90.3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37.1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93.3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6.7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8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B7. In terms of your general well-being, would you say that you are: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Better off now than one year after Yolanda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16.3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22.5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Just the same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44.9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35.4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Worse off now than before Yolanda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44.2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48.3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45.0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B8. Did you lose household member as a result of Yolanda?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15.4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12.9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81.0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84.6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87.1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B9. Did you take in relatives or friends in a long term (at least 6 months) basis?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20.9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16.3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79.1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83.8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87.5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B10. Did you have school aged children in June 2013?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62.8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60.7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37.2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48.7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39.3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 xml:space="preserve">B11. Would you say that your children's access to education </w:t>
            </w:r>
            <w:proofErr w:type="gramStart"/>
            <w:r w:rsidRPr="005E320A">
              <w:rPr>
                <w:rFonts w:ascii="Calibri" w:eastAsia="Times New Roman" w:hAnsi="Calibri" w:cs="Calibri"/>
                <w:color w:val="000000"/>
              </w:rPr>
              <w:t>is:</w:t>
            </w:r>
            <w:proofErr w:type="gram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Better than before Yolanda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20.8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21.2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Same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49.0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50.4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45.7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Worse than before Yolanda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30.2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26.4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33.1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202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8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 xml:space="preserve">B12. Would you say that your access to health care and facilities </w:t>
            </w:r>
            <w:proofErr w:type="gramStart"/>
            <w:r w:rsidRPr="005E320A">
              <w:rPr>
                <w:rFonts w:ascii="Calibri" w:eastAsia="Times New Roman" w:hAnsi="Calibri" w:cs="Calibri"/>
                <w:color w:val="000000"/>
              </w:rPr>
              <w:t>is:</w:t>
            </w:r>
            <w:proofErr w:type="gramEnd"/>
            <w:r w:rsidRPr="005E320A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Better than before Yolanda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31.4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25.9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Same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53.1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53.3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Worse than before Yolanda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15.5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20.8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B13. Did Yolanda affect your family's main source of livelihood?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91.2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96.2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88.3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11.7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319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 xml:space="preserve">B14. Would you say that your source of livelihood </w:t>
            </w:r>
            <w:proofErr w:type="gramStart"/>
            <w:r w:rsidRPr="005E320A">
              <w:rPr>
                <w:rFonts w:ascii="Calibri" w:eastAsia="Times New Roman" w:hAnsi="Calibri" w:cs="Calibri"/>
                <w:color w:val="000000"/>
              </w:rPr>
              <w:t>is:</w:t>
            </w:r>
            <w:proofErr w:type="gram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Better than before Yolanda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18.3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Same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41.1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27.5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39.2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Worse than before Yolanda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48.0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42.5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 xml:space="preserve">B15. Would you say that your access to food </w:t>
            </w:r>
            <w:proofErr w:type="gramStart"/>
            <w:r w:rsidRPr="005E320A">
              <w:rPr>
                <w:rFonts w:ascii="Calibri" w:eastAsia="Times New Roman" w:hAnsi="Calibri" w:cs="Calibri"/>
                <w:color w:val="000000"/>
              </w:rPr>
              <w:t>is:</w:t>
            </w:r>
            <w:proofErr w:type="gram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Better than before Yolanda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14.2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Same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53.0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57.9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62.9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Worse than before Yolanda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37.4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37.5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22.9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B16. Are there organizations that help people in the community to have a regular source of livelihood?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25.0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Not safe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75.0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98.7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B16a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 xml:space="preserve">C1. Before Yolanda, did people in your community support (credit, loan, babysitting, labor, </w:t>
            </w: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pintakasi</w:t>
            </w:r>
            <w:proofErr w:type="spellEnd"/>
            <w:r w:rsidRPr="005E320A">
              <w:rPr>
                <w:rFonts w:ascii="Calibri" w:eastAsia="Times New Roman" w:hAnsi="Calibri" w:cs="Calibri"/>
                <w:color w:val="000000"/>
              </w:rPr>
              <w:t>) each other if their household income is not enough?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95.0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68.3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28.7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31.7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 xml:space="preserve">C2. Two years after Yolanda, did people in your community (credit, loan, babysitting, labor, </w:t>
            </w: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pintakasi</w:t>
            </w:r>
            <w:proofErr w:type="spellEnd"/>
            <w:r w:rsidRPr="005E320A">
              <w:rPr>
                <w:rFonts w:ascii="Calibri" w:eastAsia="Times New Roman" w:hAnsi="Calibri" w:cs="Calibri"/>
                <w:color w:val="000000"/>
              </w:rPr>
              <w:t>) each other if their household income is not enough?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18.5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81.8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53.7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72.2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81.8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C31. Top 1 Organization that helped you after Yolanda?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Yourself or your family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49.2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49.6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21.3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Barangay Government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21.6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City/Municipality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17.5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Provincial Government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National Government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26.5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51.6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Local NGOs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International NGOs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Foreign Governments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C32. Top 2 Organization that helped you after Yolanda?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Yourself or your family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Barangay Government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15.4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City/Municipality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34.2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Provincial Government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National Government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16.3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22.1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Local NGOs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47.4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International NGOs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20.9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44.6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Foreign Governments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20.8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C33. Top 2 Organization that helped you after Yolanda?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Yourself or your family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Barangay Government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City/Municipality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Provincial Government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National Government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Local NGOs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International NGOs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53.0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69.6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Foreign Governments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13.1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30.5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27.1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66.7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145.0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C4. To what extent has your community helped itself in the two years since the disaster?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 lot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Not much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48.6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52.1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72.1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Some but could have more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22.1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Did not help itself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4.6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100.1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8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 xml:space="preserve">C5. To what extent has your Yolanda </w:t>
            </w:r>
            <w:proofErr w:type="gramStart"/>
            <w:r w:rsidRPr="005E320A">
              <w:rPr>
                <w:rFonts w:ascii="Calibri" w:eastAsia="Times New Roman" w:hAnsi="Calibri" w:cs="Calibri"/>
                <w:color w:val="000000"/>
              </w:rPr>
              <w:t>affected</w:t>
            </w:r>
            <w:proofErr w:type="gramEnd"/>
            <w:r w:rsidRPr="005E320A">
              <w:rPr>
                <w:rFonts w:ascii="Calibri" w:eastAsia="Times New Roman" w:hAnsi="Calibri" w:cs="Calibri"/>
                <w:color w:val="000000"/>
              </w:rPr>
              <w:t xml:space="preserve"> the well-being of your family?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It has not, we are the same as before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It is marginally more difficult to manage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37.0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37.5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43.3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It is significantly more difficult to manage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43.8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56.7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33.6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308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C6. Would you say that your family has recovered from the effect of Yolanda?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62.3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61.7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73.8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37.7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38.3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26.2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8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C7. Would you describe yourself as disaster resilient before/pre-Yolanda?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68.5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42.5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78.8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31.5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57.5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21.2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8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C8. Would you describe yourself as disaster resilient post-Yolanda?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66.4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75.8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56.3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33.6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43.8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C10. Why do you think the typhoon impacted to your region?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Fate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19.0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21.7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36.3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Poverty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11.5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Politics (bad governance/corruption)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21.8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Geography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34.0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37.9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11.7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13.7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38.7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C11. Did you receive duplicate aid (two or more of the same kind at the same time)?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40.8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38.8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59.2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61.2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6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C12. Did you receive aid of a type that you did not need?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11.2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88.8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76.2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C13. Did you receive aid or training that allow you to re-establish your livelihood?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18.1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17.5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17.5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lastRenderedPageBreak/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81.9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82.5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82.5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C14. To what extent did the aid or training you received allow you to re-establish your livelihood?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 lot, it was an essential equipment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13.1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12.1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Not at all it was not useful for my livelihood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</w:tr>
      <w:tr w:rsidR="007B39C5" w:rsidRPr="005E320A" w:rsidTr="007B39C5">
        <w:trPr>
          <w:trHeight w:val="615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Training or equipment allowed me to change my livelihood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I did not receive any training or equipment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81.0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83.8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82.3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83.3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 xml:space="preserve">C15. To what extent did the aid or training </w:t>
            </w:r>
            <w:r w:rsidR="00E409D6" w:rsidRPr="005E320A">
              <w:rPr>
                <w:rFonts w:ascii="Calibri" w:eastAsia="Times New Roman" w:hAnsi="Calibri" w:cs="Calibri"/>
                <w:color w:val="000000"/>
              </w:rPr>
              <w:t>receive</w:t>
            </w:r>
            <w:r w:rsidR="00E409D6">
              <w:rPr>
                <w:rFonts w:ascii="Calibri" w:eastAsia="Times New Roman" w:hAnsi="Calibri" w:cs="Calibri"/>
                <w:color w:val="000000"/>
              </w:rPr>
              <w:t>d has</w:t>
            </w:r>
            <w:r w:rsidRPr="005E320A">
              <w:rPr>
                <w:rFonts w:ascii="Calibri" w:eastAsia="Times New Roman" w:hAnsi="Calibri" w:cs="Calibri"/>
                <w:color w:val="000000"/>
              </w:rPr>
              <w:t xml:space="preserve"> increased your self-confidence?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A lot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15.9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15.0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14.3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Not much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It made me more insecure and less confident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I did not receive any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80.6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83.7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83.2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C16. Do you think you or your community can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5E320A">
              <w:rPr>
                <w:rFonts w:ascii="Calibri" w:eastAsia="Times New Roman" w:hAnsi="Calibri" w:cs="Calibri"/>
                <w:color w:val="000000"/>
              </w:rPr>
              <w:t>deal with problems caused by Yolanda?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E320A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73.2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99.2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76.7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26.8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23.3</w:t>
            </w:r>
          </w:p>
        </w:tc>
      </w:tr>
      <w:tr w:rsidR="007B39C5" w:rsidRPr="005E320A" w:rsidTr="007B39C5">
        <w:trPr>
          <w:trHeight w:val="30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E320A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7B39C5" w:rsidRPr="005E320A" w:rsidTr="007B39C5">
        <w:trPr>
          <w:trHeight w:val="320"/>
        </w:trPr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9C5" w:rsidRPr="005E320A" w:rsidRDefault="007B39C5" w:rsidP="007B39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B39C5" w:rsidRDefault="007B39C5" w:rsidP="007B39C5">
      <w:bookmarkStart w:id="0" w:name="_GoBack"/>
      <w:bookmarkEnd w:id="0"/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BE4A2B" w:rsidRDefault="00BE4A2B"/>
    <w:p w:rsidR="00E63730" w:rsidRDefault="00E63730"/>
    <w:sectPr w:rsidR="00E63730" w:rsidSect="00480DC8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91B" w:rsidRDefault="001C091B">
      <w:pPr>
        <w:spacing w:after="0" w:line="240" w:lineRule="auto"/>
      </w:pPr>
      <w:r>
        <w:separator/>
      </w:r>
    </w:p>
  </w:endnote>
  <w:endnote w:type="continuationSeparator" w:id="0">
    <w:p w:rsidR="001C091B" w:rsidRDefault="001C0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9C5" w:rsidRDefault="001C091B">
    <w:pPr>
      <w:spacing w:after="0" w:line="20" w:lineRule="exact"/>
      <w:rPr>
        <w:sz w:val="2"/>
        <w:szCs w:val="2"/>
      </w:rPr>
    </w:pPr>
    <w:r>
      <w:rPr>
        <w:noProof/>
      </w:rPr>
      <w:pict w14:anchorId="31CCA28B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490.95pt;margin-top:794.4pt;width:16.2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" filled="f" stroked="f">
          <o:lock v:ext="edit" aspectratio="t" verticies="t" text="t" shapetype="t"/>
          <v:textbox inset="0,0,0,0">
            <w:txbxContent>
              <w:p w:rsidR="007B39C5" w:rsidRDefault="007B39C5">
                <w:pPr>
                  <w:spacing w:after="0" w:line="248" w:lineRule="exact"/>
                  <w:ind w:left="40" w:right="-20"/>
                  <w:rPr>
                    <w:rFonts w:ascii="Cambria" w:eastAsia="Cambria" w:hAnsi="Cambria" w:cs="Cambria"/>
                  </w:rPr>
                </w:pPr>
                <w:r>
                  <w:fldChar w:fldCharType="begin"/>
                </w:r>
                <w:r>
                  <w:rPr>
                    <w:rFonts w:ascii="Cambria" w:eastAsia="Cambria" w:hAnsi="Cambria" w:cs="Cambria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91B" w:rsidRDefault="001C091B">
      <w:pPr>
        <w:spacing w:after="0" w:line="240" w:lineRule="auto"/>
      </w:pPr>
      <w:r>
        <w:separator/>
      </w:r>
    </w:p>
  </w:footnote>
  <w:footnote w:type="continuationSeparator" w:id="0">
    <w:p w:rsidR="001C091B" w:rsidRDefault="001C091B">
      <w:pPr>
        <w:spacing w:after="0" w:line="240" w:lineRule="auto"/>
      </w:pPr>
      <w:r>
        <w:continuationSeparator/>
      </w:r>
    </w:p>
  </w:footnote>
  <w:footnote w:id="1">
    <w:p w:rsidR="007B39C5" w:rsidRPr="00BB211C" w:rsidRDefault="007B39C5" w:rsidP="00BB211C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F20"/>
          <w:sz w:val="21"/>
          <w:szCs w:val="24"/>
        </w:rPr>
      </w:pPr>
      <w:r w:rsidRPr="00BB211C">
        <w:rPr>
          <w:rStyle w:val="FootnoteReference"/>
          <w:rFonts w:ascii="Times New Roman" w:hAnsi="Times New Roman" w:cs="Times New Roman"/>
          <w:sz w:val="20"/>
        </w:rPr>
        <w:footnoteRef/>
      </w:r>
      <w:r w:rsidRPr="00BB211C">
        <w:rPr>
          <w:rFonts w:ascii="Times New Roman" w:hAnsi="Times New Roman" w:cs="Times New Roman"/>
          <w:sz w:val="20"/>
        </w:rPr>
        <w:t xml:space="preserve"> </w:t>
      </w:r>
      <w:r w:rsidRPr="00BB211C">
        <w:rPr>
          <w:rFonts w:ascii="Times New Roman" w:hAnsi="Times New Roman" w:cs="Times New Roman"/>
          <w:color w:val="1D1F20"/>
          <w:sz w:val="21"/>
          <w:szCs w:val="24"/>
        </w:rPr>
        <w:t>Citations of this data should reference the ESRC/DFID funded project ‘Poverty Alleviation in the Wake of Typhoon Yolanda’. ESRC Reference ES/M008932/</w:t>
      </w:r>
      <w:proofErr w:type="gramStart"/>
      <w:r w:rsidRPr="00BB211C">
        <w:rPr>
          <w:rFonts w:ascii="Times New Roman" w:hAnsi="Times New Roman" w:cs="Times New Roman"/>
          <w:color w:val="1D1F20"/>
          <w:sz w:val="21"/>
          <w:szCs w:val="24"/>
        </w:rPr>
        <w:t>1.You</w:t>
      </w:r>
      <w:proofErr w:type="gramEnd"/>
      <w:r w:rsidRPr="00BB211C">
        <w:rPr>
          <w:rFonts w:ascii="Times New Roman" w:hAnsi="Times New Roman" w:cs="Times New Roman"/>
          <w:color w:val="1D1F20"/>
          <w:sz w:val="21"/>
          <w:szCs w:val="24"/>
        </w:rPr>
        <w:t xml:space="preserve"> can follow this project on Facebook as </w:t>
      </w:r>
      <w:proofErr w:type="spellStart"/>
      <w:r w:rsidRPr="00BB211C">
        <w:rPr>
          <w:rFonts w:ascii="Times New Roman" w:hAnsi="Times New Roman" w:cs="Times New Roman"/>
          <w:color w:val="1D1F20"/>
          <w:sz w:val="21"/>
          <w:szCs w:val="24"/>
        </w:rPr>
        <w:t>Project_Yolanda</w:t>
      </w:r>
      <w:proofErr w:type="spellEnd"/>
      <w:r w:rsidRPr="00BB211C">
        <w:rPr>
          <w:rFonts w:ascii="Times New Roman" w:hAnsi="Times New Roman" w:cs="Times New Roman"/>
          <w:color w:val="1D1F20"/>
          <w:sz w:val="21"/>
          <w:szCs w:val="24"/>
        </w:rPr>
        <w:t xml:space="preserve"> and Twitter @</w:t>
      </w:r>
      <w:proofErr w:type="spellStart"/>
      <w:r w:rsidRPr="00BB211C">
        <w:rPr>
          <w:rFonts w:ascii="Times New Roman" w:hAnsi="Times New Roman" w:cs="Times New Roman"/>
          <w:color w:val="1D1F20"/>
          <w:sz w:val="21"/>
          <w:szCs w:val="24"/>
        </w:rPr>
        <w:t>Project_Yolanda</w:t>
      </w:r>
      <w:proofErr w:type="spellEnd"/>
      <w:r w:rsidRPr="00BB211C">
        <w:rPr>
          <w:rFonts w:ascii="Times New Roman" w:hAnsi="Times New Roman" w:cs="Times New Roman"/>
          <w:color w:val="1D1F20"/>
          <w:sz w:val="21"/>
          <w:szCs w:val="24"/>
        </w:rPr>
        <w:t xml:space="preserve">. Please contact Claire </w:t>
      </w:r>
      <w:proofErr w:type="spellStart"/>
      <w:r w:rsidRPr="00BB211C">
        <w:rPr>
          <w:rFonts w:ascii="Times New Roman" w:hAnsi="Times New Roman" w:cs="Times New Roman"/>
          <w:color w:val="1D1F20"/>
          <w:sz w:val="21"/>
          <w:szCs w:val="24"/>
        </w:rPr>
        <w:t>Berja</w:t>
      </w:r>
      <w:proofErr w:type="spellEnd"/>
      <w:r w:rsidRPr="00BB211C">
        <w:rPr>
          <w:rFonts w:ascii="Times New Roman" w:hAnsi="Times New Roman" w:cs="Times New Roman"/>
          <w:color w:val="1D1F20"/>
          <w:sz w:val="21"/>
          <w:szCs w:val="24"/>
        </w:rPr>
        <w:t xml:space="preserve"> through email: claire.berja@gmail.com, University of the Philippines with any queries on the data.</w:t>
      </w:r>
    </w:p>
    <w:p w:rsidR="007B39C5" w:rsidRDefault="007B39C5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30"/>
    <w:rsid w:val="000314AF"/>
    <w:rsid w:val="001C091B"/>
    <w:rsid w:val="00241E6D"/>
    <w:rsid w:val="00480DC8"/>
    <w:rsid w:val="00507D47"/>
    <w:rsid w:val="006F58A0"/>
    <w:rsid w:val="007B39C5"/>
    <w:rsid w:val="00AD2F4B"/>
    <w:rsid w:val="00BB211C"/>
    <w:rsid w:val="00BE4A2B"/>
    <w:rsid w:val="00E409D6"/>
    <w:rsid w:val="00E63730"/>
    <w:rsid w:val="00F5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EFAC87"/>
  <w15:chartTrackingRefBased/>
  <w15:docId w15:val="{686E0437-95AC-794C-9D81-2A4F5613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3730"/>
    <w:pPr>
      <w:widowControl w:val="0"/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E63730"/>
  </w:style>
  <w:style w:type="paragraph" w:styleId="Header">
    <w:name w:val="header"/>
    <w:basedOn w:val="Normal"/>
    <w:link w:val="HeaderChar"/>
    <w:uiPriority w:val="99"/>
    <w:unhideWhenUsed/>
    <w:rsid w:val="00E63730"/>
    <w:pPr>
      <w:widowControl/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PH"/>
    </w:rPr>
  </w:style>
  <w:style w:type="character" w:customStyle="1" w:styleId="FooterChar">
    <w:name w:val="Footer Char"/>
    <w:basedOn w:val="DefaultParagraphFont"/>
    <w:link w:val="Footer"/>
    <w:uiPriority w:val="99"/>
    <w:rsid w:val="00E63730"/>
  </w:style>
  <w:style w:type="paragraph" w:styleId="Footer">
    <w:name w:val="footer"/>
    <w:basedOn w:val="Normal"/>
    <w:link w:val="FooterChar"/>
    <w:uiPriority w:val="99"/>
    <w:unhideWhenUsed/>
    <w:rsid w:val="00E63730"/>
    <w:pPr>
      <w:widowControl/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P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211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211C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B21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Clarinda Berja</dc:creator>
  <cp:keywords/>
  <dc:description/>
  <cp:lastModifiedBy>Clarinda Berja</cp:lastModifiedBy>
  <cp:revision>2</cp:revision>
  <dcterms:created xsi:type="dcterms:W3CDTF">2018-04-23T02:56:00Z</dcterms:created>
  <dcterms:modified xsi:type="dcterms:W3CDTF">2018-04-23T02:56:00Z</dcterms:modified>
</cp:coreProperties>
</file>