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4365C" w14:textId="77777777" w:rsidR="002E7E19" w:rsidRPr="008103AA" w:rsidRDefault="002E7E19" w:rsidP="002E7E19">
      <w:pPr>
        <w:keepNext/>
        <w:keepLines/>
        <w:spacing w:before="200" w:after="0"/>
        <w:outlineLvl w:val="1"/>
        <w:rPr>
          <w:rFonts w:ascii="Cambria" w:eastAsiaTheme="majorEastAsia" w:hAnsi="Cambria" w:cs="Arial"/>
          <w:b/>
          <w:bCs/>
          <w:sz w:val="24"/>
          <w:szCs w:val="24"/>
          <w:lang w:val="en-GB" w:eastAsia="ja-JP" w:bidi="he-IL"/>
        </w:rPr>
      </w:pPr>
      <w:bookmarkStart w:id="0" w:name="_Toc409104012"/>
      <w:r w:rsidRPr="008103AA">
        <w:rPr>
          <w:rFonts w:ascii="Cambria" w:eastAsiaTheme="majorEastAsia" w:hAnsi="Cambria" w:cs="Arial"/>
          <w:b/>
          <w:bCs/>
          <w:sz w:val="24"/>
          <w:szCs w:val="24"/>
          <w:lang w:val="en-GB" w:eastAsia="ja-JP" w:bidi="he-IL"/>
        </w:rPr>
        <w:t>Interview guide</w:t>
      </w:r>
      <w:bookmarkEnd w:id="0"/>
      <w:r w:rsidRPr="008103AA">
        <w:rPr>
          <w:rFonts w:ascii="Cambria" w:eastAsiaTheme="majorEastAsia" w:hAnsi="Cambria" w:cs="Arial"/>
          <w:b/>
          <w:bCs/>
          <w:sz w:val="24"/>
          <w:szCs w:val="24"/>
          <w:lang w:val="en-GB" w:eastAsia="ja-JP" w:bidi="he-IL"/>
        </w:rPr>
        <w:t xml:space="preserve">: Policy </w:t>
      </w:r>
    </w:p>
    <w:p w14:paraId="58B8CDB0" w14:textId="77777777" w:rsidR="008103AA" w:rsidRPr="008103AA" w:rsidRDefault="008103AA" w:rsidP="002E7E19">
      <w:pPr>
        <w:keepNext/>
        <w:keepLines/>
        <w:spacing w:before="200" w:after="0"/>
        <w:outlineLvl w:val="1"/>
        <w:rPr>
          <w:rFonts w:ascii="Cambria" w:eastAsiaTheme="majorEastAsia" w:hAnsi="Cambria" w:cs="Arial"/>
          <w:b/>
          <w:bCs/>
          <w:sz w:val="24"/>
          <w:szCs w:val="24"/>
          <w:lang w:val="en-GB" w:eastAsia="ja-JP" w:bidi="he-IL"/>
        </w:rPr>
      </w:pPr>
    </w:p>
    <w:p w14:paraId="4A8A30EB" w14:textId="3E5EDFB4" w:rsidR="003B358B" w:rsidRPr="008103AA" w:rsidRDefault="008103AA" w:rsidP="002E7E19">
      <w:pPr>
        <w:rPr>
          <w:rFonts w:ascii="Cambria" w:hAnsi="Cambria" w:cs="Arial"/>
          <w:b/>
          <w:bCs/>
          <w:sz w:val="24"/>
          <w:szCs w:val="24"/>
          <w:lang w:val="en-GB" w:eastAsia="ja-JP" w:bidi="he-IL"/>
        </w:rPr>
      </w:pPr>
      <w:r w:rsidRPr="008103AA">
        <w:rPr>
          <w:rFonts w:ascii="Cambria" w:hAnsi="Cambria" w:cs="Arial"/>
          <w:b/>
          <w:sz w:val="24"/>
          <w:szCs w:val="24"/>
        </w:rPr>
        <w:t>3.2.1.2</w:t>
      </w:r>
      <w:r w:rsidR="003B358B" w:rsidRPr="008103AA">
        <w:rPr>
          <w:rFonts w:ascii="Cambria" w:hAnsi="Cambria" w:cs="Arial"/>
          <w:b/>
          <w:sz w:val="24"/>
          <w:szCs w:val="24"/>
        </w:rPr>
        <w:t xml:space="preserve"> </w:t>
      </w:r>
      <w:r w:rsidRPr="008103AA">
        <w:rPr>
          <w:rFonts w:ascii="Cambria" w:hAnsi="Cambria" w:cs="Arial"/>
          <w:b/>
          <w:sz w:val="24"/>
          <w:szCs w:val="24"/>
        </w:rPr>
        <w:t>Overview of key education policies</w:t>
      </w:r>
    </w:p>
    <w:p w14:paraId="328384BC" w14:textId="77777777" w:rsidR="003B358B" w:rsidRPr="008103AA" w:rsidRDefault="003B358B" w:rsidP="002E7E19">
      <w:pPr>
        <w:rPr>
          <w:rFonts w:ascii="Cambria" w:hAnsi="Cambria"/>
          <w:sz w:val="24"/>
          <w:szCs w:val="24"/>
        </w:rPr>
      </w:pPr>
      <w:r w:rsidRPr="008103AA">
        <w:rPr>
          <w:rFonts w:ascii="Cambria" w:hAnsi="Cambria"/>
          <w:sz w:val="24"/>
          <w:szCs w:val="24"/>
        </w:rPr>
        <w:t>Interviewee:</w:t>
      </w: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2144"/>
        <w:gridCol w:w="2409"/>
        <w:gridCol w:w="2741"/>
      </w:tblGrid>
      <w:tr w:rsidR="00B44100" w:rsidRPr="00C93F81" w14:paraId="3583CDC8" w14:textId="77777777" w:rsidTr="000F2B75">
        <w:trPr>
          <w:trHeight w:val="614"/>
        </w:trPr>
        <w:tc>
          <w:tcPr>
            <w:tcW w:w="2359" w:type="dxa"/>
          </w:tcPr>
          <w:p w14:paraId="7A87E035" w14:textId="0C36E7C9" w:rsidR="00B44100" w:rsidRPr="00C93F81" w:rsidRDefault="00B44100" w:rsidP="000F2B75">
            <w:pPr>
              <w:spacing w:after="0" w:line="240" w:lineRule="auto"/>
              <w:rPr>
                <w:rFonts w:ascii="Cambria" w:hAnsi="Cambria" w:cs="Times New Roman"/>
                <w:sz w:val="24"/>
                <w:szCs w:val="24"/>
                <w:lang w:val="en-ZA"/>
              </w:rPr>
            </w:pPr>
            <w:bookmarkStart w:id="1" w:name="_GoBack"/>
            <w:bookmarkEnd w:id="1"/>
          </w:p>
        </w:tc>
        <w:tc>
          <w:tcPr>
            <w:tcW w:w="2144" w:type="dxa"/>
          </w:tcPr>
          <w:p w14:paraId="3235AB30" w14:textId="27DE0A1E" w:rsidR="00B44100" w:rsidRPr="00C93F81" w:rsidRDefault="00B44100" w:rsidP="000F2B75">
            <w:pPr>
              <w:spacing w:after="0" w:line="240" w:lineRule="auto"/>
              <w:rPr>
                <w:rFonts w:ascii="Cambria" w:hAnsi="Cambria" w:cs="Times New Roman"/>
                <w:sz w:val="24"/>
                <w:szCs w:val="24"/>
                <w:lang w:val="en-ZA"/>
              </w:rPr>
            </w:pPr>
          </w:p>
        </w:tc>
        <w:tc>
          <w:tcPr>
            <w:tcW w:w="2409" w:type="dxa"/>
          </w:tcPr>
          <w:p w14:paraId="4FF51020" w14:textId="06AFF887" w:rsidR="003967F6" w:rsidRPr="00C93F81" w:rsidRDefault="003967F6" w:rsidP="003967F6">
            <w:pPr>
              <w:spacing w:after="0" w:line="240" w:lineRule="auto"/>
              <w:rPr>
                <w:rFonts w:ascii="Cambria" w:hAnsi="Cambria"/>
                <w:sz w:val="24"/>
                <w:szCs w:val="24"/>
              </w:rPr>
            </w:pPr>
          </w:p>
        </w:tc>
        <w:tc>
          <w:tcPr>
            <w:tcW w:w="2741" w:type="dxa"/>
          </w:tcPr>
          <w:p w14:paraId="0778849A" w14:textId="55A1972D" w:rsidR="00B44100" w:rsidRPr="00C93F81" w:rsidRDefault="00B44100" w:rsidP="000F2B75">
            <w:pPr>
              <w:spacing w:after="0" w:line="240" w:lineRule="auto"/>
              <w:rPr>
                <w:rFonts w:ascii="Cambria" w:hAnsi="Cambria" w:cs="Times New Roman"/>
                <w:sz w:val="24"/>
                <w:szCs w:val="24"/>
                <w:lang w:val="en-ZA"/>
              </w:rPr>
            </w:pPr>
          </w:p>
        </w:tc>
      </w:tr>
      <w:tr w:rsidR="00C93F81" w:rsidRPr="00C93F81" w14:paraId="65E26037" w14:textId="77777777" w:rsidTr="000F2B75">
        <w:trPr>
          <w:trHeight w:val="614"/>
        </w:trPr>
        <w:tc>
          <w:tcPr>
            <w:tcW w:w="2359" w:type="dxa"/>
          </w:tcPr>
          <w:p w14:paraId="7DE4B77D" w14:textId="3166B70D" w:rsidR="00C93F81" w:rsidRPr="00C93F81" w:rsidRDefault="00C93F81" w:rsidP="000F2B75">
            <w:pPr>
              <w:spacing w:after="0" w:line="240" w:lineRule="auto"/>
              <w:rPr>
                <w:rFonts w:ascii="Cambria" w:hAnsi="Cambria" w:cs="Times New Roman"/>
                <w:sz w:val="24"/>
                <w:szCs w:val="24"/>
                <w:lang w:val="en-ZA"/>
              </w:rPr>
            </w:pPr>
          </w:p>
        </w:tc>
        <w:tc>
          <w:tcPr>
            <w:tcW w:w="2144" w:type="dxa"/>
          </w:tcPr>
          <w:p w14:paraId="4A60430D" w14:textId="77777777" w:rsidR="00C93F81" w:rsidRPr="00C93F81" w:rsidRDefault="00C93F81" w:rsidP="000F2B75">
            <w:pPr>
              <w:spacing w:after="0" w:line="240" w:lineRule="auto"/>
              <w:rPr>
                <w:rFonts w:ascii="Cambria" w:hAnsi="Cambria"/>
                <w:sz w:val="24"/>
                <w:szCs w:val="24"/>
              </w:rPr>
            </w:pPr>
          </w:p>
        </w:tc>
        <w:tc>
          <w:tcPr>
            <w:tcW w:w="2409" w:type="dxa"/>
          </w:tcPr>
          <w:p w14:paraId="69F92150" w14:textId="77777777" w:rsidR="00C93F81" w:rsidRPr="00C93F81" w:rsidRDefault="00C93F81" w:rsidP="003967F6">
            <w:pPr>
              <w:spacing w:after="0" w:line="240" w:lineRule="auto"/>
              <w:rPr>
                <w:rFonts w:ascii="Cambria" w:hAnsi="Cambria"/>
                <w:sz w:val="24"/>
                <w:szCs w:val="24"/>
              </w:rPr>
            </w:pPr>
          </w:p>
        </w:tc>
        <w:tc>
          <w:tcPr>
            <w:tcW w:w="2741" w:type="dxa"/>
          </w:tcPr>
          <w:p w14:paraId="157FE0DE" w14:textId="77777777" w:rsidR="00C93F81" w:rsidRPr="00C93F81" w:rsidRDefault="00C93F81" w:rsidP="000F2B75">
            <w:pPr>
              <w:spacing w:after="0" w:line="240" w:lineRule="auto"/>
              <w:rPr>
                <w:rFonts w:ascii="Cambria" w:hAnsi="Cambria" w:cs="Times New Roman"/>
                <w:sz w:val="24"/>
                <w:szCs w:val="24"/>
                <w:lang w:val="en-ZA"/>
              </w:rPr>
            </w:pPr>
          </w:p>
        </w:tc>
      </w:tr>
      <w:tr w:rsidR="00C93F81" w:rsidRPr="00C93F81" w14:paraId="58B2EDF1" w14:textId="77777777" w:rsidTr="000F2B75">
        <w:trPr>
          <w:trHeight w:val="614"/>
        </w:trPr>
        <w:tc>
          <w:tcPr>
            <w:tcW w:w="2359" w:type="dxa"/>
          </w:tcPr>
          <w:p w14:paraId="24B801A5" w14:textId="194435A5" w:rsidR="00C93F81" w:rsidRPr="00C93F81" w:rsidRDefault="00C93F81" w:rsidP="000F2B75">
            <w:pPr>
              <w:spacing w:after="0" w:line="240" w:lineRule="auto"/>
              <w:rPr>
                <w:rFonts w:ascii="Cambria" w:hAnsi="Cambria" w:cs="Times New Roman"/>
                <w:sz w:val="24"/>
                <w:szCs w:val="24"/>
                <w:lang w:val="en-ZA"/>
              </w:rPr>
            </w:pPr>
          </w:p>
        </w:tc>
        <w:tc>
          <w:tcPr>
            <w:tcW w:w="2144" w:type="dxa"/>
          </w:tcPr>
          <w:p w14:paraId="4223D296" w14:textId="4A7F85FE" w:rsidR="00C93F81" w:rsidRPr="00C93F81" w:rsidRDefault="00C93F81" w:rsidP="000F2B75">
            <w:pPr>
              <w:spacing w:after="0" w:line="240" w:lineRule="auto"/>
              <w:rPr>
                <w:rFonts w:ascii="Cambria" w:hAnsi="Cambria"/>
                <w:sz w:val="24"/>
                <w:szCs w:val="24"/>
              </w:rPr>
            </w:pPr>
          </w:p>
        </w:tc>
        <w:tc>
          <w:tcPr>
            <w:tcW w:w="2409" w:type="dxa"/>
          </w:tcPr>
          <w:p w14:paraId="73528E72" w14:textId="4C894DEE" w:rsidR="00C93F81" w:rsidRPr="00C93F81" w:rsidRDefault="00C93F81" w:rsidP="003967F6">
            <w:pPr>
              <w:spacing w:after="0" w:line="240" w:lineRule="auto"/>
              <w:rPr>
                <w:rFonts w:ascii="Cambria" w:hAnsi="Cambria"/>
                <w:sz w:val="24"/>
                <w:szCs w:val="24"/>
              </w:rPr>
            </w:pPr>
          </w:p>
        </w:tc>
        <w:tc>
          <w:tcPr>
            <w:tcW w:w="2741" w:type="dxa"/>
          </w:tcPr>
          <w:p w14:paraId="412F8FF8" w14:textId="77777777" w:rsidR="00C93F81" w:rsidRPr="00C93F81" w:rsidRDefault="00C93F81" w:rsidP="000F2B75">
            <w:pPr>
              <w:spacing w:after="0" w:line="240" w:lineRule="auto"/>
              <w:rPr>
                <w:rFonts w:ascii="Cambria" w:hAnsi="Cambria" w:cs="Times New Roman"/>
                <w:sz w:val="24"/>
                <w:szCs w:val="24"/>
                <w:lang w:val="en-ZA"/>
              </w:rPr>
            </w:pPr>
          </w:p>
        </w:tc>
      </w:tr>
    </w:tbl>
    <w:p w14:paraId="1C7A3039" w14:textId="77777777" w:rsidR="002E7E19" w:rsidRPr="008103AA" w:rsidRDefault="002E7E19" w:rsidP="002E7E19">
      <w:pPr>
        <w:rPr>
          <w:rFonts w:ascii="Cambria" w:hAnsi="Cambria" w:cs="Arial"/>
          <w:b/>
          <w:bCs/>
          <w:sz w:val="24"/>
          <w:szCs w:val="24"/>
          <w:lang w:val="en-GB" w:eastAsia="ja-JP" w:bidi="he-IL"/>
        </w:rPr>
      </w:pPr>
    </w:p>
    <w:p w14:paraId="1698C7E3" w14:textId="77777777" w:rsidR="002E7E19" w:rsidRPr="008103AA" w:rsidRDefault="002E7E19" w:rsidP="002E7E19">
      <w:pPr>
        <w:rPr>
          <w:rFonts w:ascii="Cambria" w:hAnsi="Cambria" w:cs="Arial"/>
          <w:b/>
          <w:bCs/>
          <w:sz w:val="24"/>
          <w:szCs w:val="24"/>
          <w:lang w:val="en-GB" w:eastAsia="ja-JP" w:bidi="he-IL"/>
        </w:rPr>
      </w:pPr>
      <w:r w:rsidRPr="008103AA">
        <w:rPr>
          <w:rFonts w:ascii="Cambria" w:hAnsi="Cambria" w:cs="Arial"/>
          <w:b/>
          <w:bCs/>
          <w:sz w:val="24"/>
          <w:szCs w:val="24"/>
          <w:lang w:val="en-GB" w:eastAsia="ja-JP" w:bidi="he-IL"/>
        </w:rPr>
        <w:t>Biographical questions:</w:t>
      </w:r>
    </w:p>
    <w:p w14:paraId="7E390662" w14:textId="77777777" w:rsidR="002E7E19" w:rsidRPr="008103AA" w:rsidRDefault="002E7E19" w:rsidP="002E7E19">
      <w:pPr>
        <w:numPr>
          <w:ilvl w:val="0"/>
          <w:numId w:val="1"/>
        </w:numPr>
        <w:contextualSpacing/>
        <w:rPr>
          <w:rFonts w:ascii="Cambria" w:hAnsi="Cambria" w:cs="Arial"/>
          <w:sz w:val="24"/>
          <w:szCs w:val="24"/>
          <w:lang w:val="en-GB" w:eastAsia="ja-JP" w:bidi="he-IL"/>
        </w:rPr>
      </w:pPr>
      <w:r w:rsidRPr="008103AA">
        <w:rPr>
          <w:rFonts w:ascii="Cambria" w:hAnsi="Cambria" w:cs="Arial"/>
          <w:sz w:val="24"/>
          <w:szCs w:val="24"/>
          <w:lang w:val="en-GB" w:eastAsia="ja-JP" w:bidi="he-IL"/>
        </w:rPr>
        <w:t>Gender of the interviewee</w:t>
      </w:r>
    </w:p>
    <w:p w14:paraId="6CB6E345" w14:textId="77777777" w:rsidR="002E7E19" w:rsidRPr="008103AA" w:rsidRDefault="002E7E19" w:rsidP="002E7E19">
      <w:pPr>
        <w:numPr>
          <w:ilvl w:val="0"/>
          <w:numId w:val="1"/>
        </w:numPr>
        <w:contextualSpacing/>
        <w:rPr>
          <w:rFonts w:ascii="Cambria" w:hAnsi="Cambria" w:cs="Arial"/>
          <w:sz w:val="24"/>
          <w:szCs w:val="24"/>
          <w:lang w:val="en-GB" w:eastAsia="ja-JP" w:bidi="he-IL"/>
        </w:rPr>
      </w:pPr>
      <w:r w:rsidRPr="008103AA">
        <w:rPr>
          <w:rFonts w:ascii="Cambria" w:hAnsi="Cambria" w:cs="Arial"/>
          <w:sz w:val="24"/>
          <w:szCs w:val="24"/>
          <w:lang w:val="en-GB" w:eastAsia="ja-JP" w:bidi="he-IL"/>
        </w:rPr>
        <w:t xml:space="preserve">Post/title of the interviewee </w:t>
      </w:r>
    </w:p>
    <w:p w14:paraId="3F39D011" w14:textId="77777777" w:rsidR="002E7E19" w:rsidRPr="008103AA" w:rsidRDefault="002E7E19" w:rsidP="002E7E19">
      <w:pPr>
        <w:numPr>
          <w:ilvl w:val="0"/>
          <w:numId w:val="1"/>
        </w:numPr>
        <w:contextualSpacing/>
        <w:rPr>
          <w:rFonts w:ascii="Cambria" w:hAnsi="Cambria" w:cs="Arial"/>
          <w:sz w:val="24"/>
          <w:szCs w:val="24"/>
          <w:lang w:val="en-GB" w:eastAsia="ja-JP" w:bidi="he-IL"/>
        </w:rPr>
      </w:pPr>
      <w:r w:rsidRPr="008103AA">
        <w:rPr>
          <w:rFonts w:ascii="Cambria" w:hAnsi="Cambria" w:cs="Arial"/>
          <w:sz w:val="24"/>
          <w:szCs w:val="24"/>
          <w:lang w:val="en-GB" w:eastAsia="ja-JP" w:bidi="he-IL"/>
        </w:rPr>
        <w:t>How long have you been in this post?</w:t>
      </w:r>
    </w:p>
    <w:p w14:paraId="27EFFBB6" w14:textId="77777777" w:rsidR="002E7E19" w:rsidRPr="008103AA" w:rsidRDefault="002E7E19" w:rsidP="002E7E19">
      <w:pPr>
        <w:numPr>
          <w:ilvl w:val="0"/>
          <w:numId w:val="1"/>
        </w:numPr>
        <w:contextualSpacing/>
        <w:rPr>
          <w:rFonts w:ascii="Cambria" w:hAnsi="Cambria" w:cs="Arial"/>
          <w:sz w:val="24"/>
          <w:szCs w:val="24"/>
          <w:lang w:val="en-GB" w:eastAsia="ja-JP" w:bidi="he-IL"/>
        </w:rPr>
      </w:pPr>
      <w:r w:rsidRPr="008103AA">
        <w:rPr>
          <w:rFonts w:ascii="Cambria" w:hAnsi="Cambria" w:cs="Arial"/>
          <w:sz w:val="24"/>
          <w:szCs w:val="24"/>
          <w:lang w:val="en-GB" w:eastAsia="ja-JP" w:bidi="he-IL"/>
        </w:rPr>
        <w:t xml:space="preserve">Linguistic group </w:t>
      </w:r>
    </w:p>
    <w:p w14:paraId="3C983F4C" w14:textId="77777777" w:rsidR="002E7E19" w:rsidRPr="008103AA" w:rsidRDefault="002E7E19" w:rsidP="002E7E19">
      <w:pPr>
        <w:numPr>
          <w:ilvl w:val="0"/>
          <w:numId w:val="1"/>
        </w:numPr>
        <w:contextualSpacing/>
        <w:rPr>
          <w:rFonts w:ascii="Cambria" w:hAnsi="Cambria" w:cs="Arial"/>
          <w:sz w:val="24"/>
          <w:szCs w:val="24"/>
          <w:lang w:val="en-GB" w:eastAsia="ja-JP" w:bidi="he-IL"/>
        </w:rPr>
      </w:pPr>
      <w:r w:rsidRPr="008103AA">
        <w:rPr>
          <w:rFonts w:ascii="Cambria" w:hAnsi="Cambria" w:cs="Arial"/>
          <w:sz w:val="24"/>
          <w:szCs w:val="24"/>
          <w:lang w:val="en-GB" w:eastAsia="ja-JP" w:bidi="he-IL"/>
        </w:rPr>
        <w:t>Religious belonging</w:t>
      </w:r>
    </w:p>
    <w:p w14:paraId="37C119B5" w14:textId="77777777" w:rsidR="007F44F2" w:rsidRPr="008103AA" w:rsidRDefault="007F44F2">
      <w:pPr>
        <w:rPr>
          <w:rFonts w:ascii="Cambria" w:hAnsi="Cambria"/>
          <w:sz w:val="24"/>
          <w:szCs w:val="24"/>
        </w:rPr>
      </w:pPr>
    </w:p>
    <w:p w14:paraId="6177B401" w14:textId="2A09BF9B" w:rsidR="002E7E19" w:rsidRPr="008103AA" w:rsidRDefault="00B44100" w:rsidP="002E7E19">
      <w:pPr>
        <w:rPr>
          <w:rFonts w:ascii="Cambria" w:hAnsi="Cambria" w:cs="Arial"/>
          <w:b/>
          <w:sz w:val="24"/>
          <w:szCs w:val="24"/>
          <w:lang w:val="en-GB" w:eastAsia="ja-JP" w:bidi="he-IL"/>
        </w:rPr>
      </w:pPr>
      <w:r w:rsidRPr="008103AA">
        <w:rPr>
          <w:rFonts w:ascii="Cambria" w:hAnsi="Cambria" w:cs="Arial"/>
          <w:b/>
          <w:sz w:val="24"/>
          <w:szCs w:val="24"/>
          <w:lang w:val="en-GB" w:eastAsia="ja-JP" w:bidi="he-IL"/>
        </w:rPr>
        <w:t>Opening question</w:t>
      </w:r>
      <w:r w:rsidR="00752946" w:rsidRPr="008103AA">
        <w:rPr>
          <w:rFonts w:ascii="Cambria" w:hAnsi="Cambria" w:cs="Arial"/>
          <w:b/>
          <w:sz w:val="24"/>
          <w:szCs w:val="24"/>
          <w:lang w:val="en-GB" w:eastAsia="ja-JP" w:bidi="he-IL"/>
        </w:rPr>
        <w:t>:</w:t>
      </w:r>
    </w:p>
    <w:p w14:paraId="6CCA82D1" w14:textId="27A55FBA" w:rsidR="008103AA" w:rsidRPr="008103AA" w:rsidRDefault="002E7E19" w:rsidP="002E7E19">
      <w:pPr>
        <w:pStyle w:val="ListParagraph"/>
        <w:numPr>
          <w:ilvl w:val="0"/>
          <w:numId w:val="2"/>
        </w:numPr>
        <w:rPr>
          <w:rFonts w:ascii="Cambria" w:hAnsi="Cambria" w:cs="Arial"/>
          <w:sz w:val="24"/>
          <w:szCs w:val="24"/>
          <w:lang w:val="en-GB" w:eastAsia="ja-JP" w:bidi="he-IL"/>
        </w:rPr>
      </w:pPr>
      <w:r w:rsidRPr="008103AA">
        <w:rPr>
          <w:rFonts w:ascii="Cambria" w:hAnsi="Cambria" w:cs="Arial"/>
          <w:sz w:val="24"/>
          <w:szCs w:val="24"/>
          <w:lang w:val="en-GB" w:eastAsia="ja-JP" w:bidi="he-IL"/>
        </w:rPr>
        <w:t>Please tell me/us a bit about your current post and responsibilities</w:t>
      </w:r>
    </w:p>
    <w:p w14:paraId="30096FA8" w14:textId="77777777" w:rsidR="008103AA" w:rsidRDefault="008103AA" w:rsidP="002E7E19">
      <w:pPr>
        <w:rPr>
          <w:rFonts w:ascii="Cambria" w:hAnsi="Cambria" w:cs="Arial"/>
          <w:sz w:val="24"/>
          <w:szCs w:val="24"/>
          <w:lang w:val="en-GB" w:eastAsia="ja-JP" w:bidi="he-IL"/>
        </w:rPr>
      </w:pPr>
    </w:p>
    <w:p w14:paraId="6A360CD1" w14:textId="7462A230" w:rsidR="00C93F81" w:rsidRDefault="00C93F81" w:rsidP="002E7E19">
      <w:pPr>
        <w:rPr>
          <w:rFonts w:ascii="Cambria" w:hAnsi="Cambria" w:cs="Arial"/>
          <w:b/>
          <w:sz w:val="24"/>
          <w:szCs w:val="24"/>
          <w:lang w:val="en-GB" w:eastAsia="ja-JP" w:bidi="he-IL"/>
        </w:rPr>
      </w:pPr>
      <w:r>
        <w:rPr>
          <w:rFonts w:ascii="Cambria" w:hAnsi="Cambria" w:cs="Arial"/>
          <w:b/>
          <w:sz w:val="24"/>
          <w:szCs w:val="24"/>
          <w:lang w:val="en-GB" w:eastAsia="ja-JP" w:bidi="he-IL"/>
        </w:rPr>
        <w:t>Overview of education policy and social cohesion</w:t>
      </w:r>
    </w:p>
    <w:p w14:paraId="09194F68" w14:textId="77777777" w:rsidR="00ED2217" w:rsidRPr="00C93F81" w:rsidRDefault="00ED2217" w:rsidP="002E7E19">
      <w:pPr>
        <w:rPr>
          <w:rFonts w:ascii="Cambria" w:hAnsi="Cambria" w:cs="Arial"/>
          <w:b/>
          <w:sz w:val="24"/>
          <w:szCs w:val="24"/>
          <w:lang w:val="en-GB" w:eastAsia="ja-JP" w:bidi="he-IL"/>
        </w:rPr>
      </w:pPr>
    </w:p>
    <w:p w14:paraId="3EA55080" w14:textId="77777777" w:rsidR="008103AA" w:rsidRPr="008103AA" w:rsidRDefault="008103AA" w:rsidP="008103AA">
      <w:pPr>
        <w:pStyle w:val="ListParagraph"/>
        <w:widowControl w:val="0"/>
        <w:numPr>
          <w:ilvl w:val="0"/>
          <w:numId w:val="13"/>
        </w:numPr>
        <w:tabs>
          <w:tab w:val="left" w:pos="220"/>
          <w:tab w:val="left" w:pos="720"/>
        </w:tabs>
        <w:autoSpaceDE w:val="0"/>
        <w:autoSpaceDN w:val="0"/>
        <w:adjustRightInd w:val="0"/>
        <w:spacing w:after="0" w:line="240" w:lineRule="auto"/>
        <w:contextualSpacing w:val="0"/>
        <w:jc w:val="both"/>
        <w:rPr>
          <w:rFonts w:ascii="Cambria" w:hAnsi="Cambria" w:cs="Arial"/>
          <w:b/>
          <w:sz w:val="24"/>
          <w:szCs w:val="24"/>
        </w:rPr>
      </w:pPr>
      <w:r w:rsidRPr="008103AA">
        <w:rPr>
          <w:rFonts w:ascii="Cambria" w:hAnsi="Cambria" w:cs="Arial"/>
          <w:b/>
          <w:sz w:val="24"/>
          <w:szCs w:val="24"/>
        </w:rPr>
        <w:t>Confirmation of factual information</w:t>
      </w:r>
    </w:p>
    <w:p w14:paraId="670E22C1" w14:textId="77777777" w:rsidR="008103AA" w:rsidRPr="008103AA" w:rsidRDefault="008103AA" w:rsidP="008103AA">
      <w:pPr>
        <w:pStyle w:val="ListParagraph"/>
        <w:widowControl w:val="0"/>
        <w:numPr>
          <w:ilvl w:val="1"/>
          <w:numId w:val="14"/>
        </w:numPr>
        <w:spacing w:after="0" w:line="240" w:lineRule="auto"/>
        <w:contextualSpacing w:val="0"/>
        <w:jc w:val="both"/>
        <w:rPr>
          <w:rStyle w:val="CommentReference"/>
          <w:rFonts w:ascii="Cambria" w:hAnsi="Cambria" w:cs="Arial"/>
          <w:sz w:val="24"/>
          <w:szCs w:val="24"/>
        </w:rPr>
      </w:pPr>
      <w:r w:rsidRPr="008103AA">
        <w:rPr>
          <w:rFonts w:ascii="Cambria" w:hAnsi="Cambria" w:cs="Arial"/>
          <w:sz w:val="24"/>
          <w:szCs w:val="24"/>
        </w:rPr>
        <w:t>We read that ‘Directorate for Social Cohesion and Equity in Education’ was reorganised from the Directorate for Race and Values. When was it and why?</w:t>
      </w:r>
    </w:p>
    <w:p w14:paraId="2458214E" w14:textId="77777777" w:rsidR="008103AA" w:rsidRPr="008103AA" w:rsidRDefault="008103AA" w:rsidP="008103AA">
      <w:pPr>
        <w:pStyle w:val="ListParagraph"/>
        <w:widowControl w:val="0"/>
        <w:numPr>
          <w:ilvl w:val="1"/>
          <w:numId w:val="14"/>
        </w:numPr>
        <w:spacing w:after="0" w:line="240" w:lineRule="auto"/>
        <w:contextualSpacing w:val="0"/>
        <w:jc w:val="both"/>
        <w:rPr>
          <w:rStyle w:val="CommentReference"/>
          <w:rFonts w:ascii="Cambria" w:hAnsi="Cambria" w:cs="Arial"/>
          <w:sz w:val="24"/>
          <w:szCs w:val="24"/>
        </w:rPr>
      </w:pPr>
      <w:r w:rsidRPr="008103AA">
        <w:rPr>
          <w:rStyle w:val="CommentReference"/>
          <w:rFonts w:ascii="Cambria" w:hAnsi="Cambria" w:cs="Arial"/>
          <w:sz w:val="24"/>
          <w:szCs w:val="24"/>
        </w:rPr>
        <w:t xml:space="preserve">We are not very clear about the key standing education policies and relations. Please confirm. Is there any other key policy? </w:t>
      </w:r>
    </w:p>
    <w:p w14:paraId="640262FC" w14:textId="77777777" w:rsidR="008103AA" w:rsidRPr="008103AA" w:rsidRDefault="008103AA" w:rsidP="008103AA">
      <w:pPr>
        <w:ind w:firstLine="380"/>
        <w:rPr>
          <w:rFonts w:ascii="Cambria" w:hAnsi="Cambria" w:cs="Arial"/>
          <w:sz w:val="24"/>
          <w:szCs w:val="24"/>
        </w:rPr>
      </w:pPr>
      <w:r w:rsidRPr="008103AA">
        <w:rPr>
          <w:rFonts w:ascii="Cambria" w:hAnsi="Cambria" w:cs="Arial"/>
          <w:sz w:val="24"/>
          <w:szCs w:val="24"/>
        </w:rPr>
        <w:t xml:space="preserve">i) Long-term plan: </w:t>
      </w:r>
    </w:p>
    <w:p w14:paraId="4A9C397C" w14:textId="77777777" w:rsidR="008103AA" w:rsidRPr="008103AA" w:rsidRDefault="008103AA" w:rsidP="008103AA">
      <w:pPr>
        <w:pStyle w:val="ListParagraph"/>
        <w:ind w:left="1100"/>
        <w:rPr>
          <w:rFonts w:ascii="Cambria" w:hAnsi="Cambria" w:cs="Arial"/>
          <w:sz w:val="24"/>
          <w:szCs w:val="24"/>
        </w:rPr>
      </w:pPr>
      <w:r w:rsidRPr="008103AA">
        <w:rPr>
          <w:rFonts w:ascii="Cambria" w:hAnsi="Cambria" w:cs="Arial"/>
          <w:sz w:val="24"/>
          <w:szCs w:val="24"/>
        </w:rPr>
        <w:t xml:space="preserve">Does “Schooling 2025” still stand as long-term policy? If so please share the copy. Or is it going to be revised as plan for 2030 to be aligned with the NDP?   </w:t>
      </w:r>
    </w:p>
    <w:p w14:paraId="66561F03" w14:textId="77777777" w:rsidR="008103AA" w:rsidRPr="008103AA" w:rsidRDefault="008103AA" w:rsidP="008103AA">
      <w:pPr>
        <w:ind w:left="380"/>
        <w:rPr>
          <w:rFonts w:ascii="Cambria" w:hAnsi="Cambria" w:cs="Arial"/>
          <w:sz w:val="24"/>
          <w:szCs w:val="24"/>
        </w:rPr>
      </w:pPr>
      <w:r w:rsidRPr="008103AA">
        <w:rPr>
          <w:rFonts w:ascii="Cambria" w:hAnsi="Cambria" w:cs="Arial"/>
          <w:sz w:val="24"/>
          <w:szCs w:val="24"/>
        </w:rPr>
        <w:t xml:space="preserve">ii) Mid-term plan: </w:t>
      </w:r>
    </w:p>
    <w:p w14:paraId="10F0B58C" w14:textId="77777777" w:rsidR="008103AA" w:rsidRPr="008103AA" w:rsidRDefault="008103AA" w:rsidP="008103AA">
      <w:pPr>
        <w:ind w:left="380" w:firstLine="580"/>
        <w:rPr>
          <w:rFonts w:ascii="Cambria" w:hAnsi="Cambria" w:cs="Arial"/>
          <w:sz w:val="24"/>
          <w:szCs w:val="24"/>
        </w:rPr>
      </w:pPr>
      <w:r w:rsidRPr="008103AA">
        <w:rPr>
          <w:rFonts w:ascii="Cambria" w:hAnsi="Cambria" w:cs="Arial"/>
          <w:sz w:val="24"/>
          <w:szCs w:val="24"/>
        </w:rPr>
        <w:t xml:space="preserve">(1) Action plan to 2019 – please share the copy </w:t>
      </w:r>
    </w:p>
    <w:p w14:paraId="7D716E35" w14:textId="77777777" w:rsidR="008103AA" w:rsidRPr="008103AA" w:rsidRDefault="008103AA" w:rsidP="008103AA">
      <w:pPr>
        <w:ind w:left="380" w:firstLine="580"/>
        <w:rPr>
          <w:rFonts w:ascii="Cambria" w:hAnsi="Cambria" w:cs="Arial"/>
          <w:sz w:val="24"/>
          <w:szCs w:val="24"/>
        </w:rPr>
      </w:pPr>
      <w:r w:rsidRPr="008103AA">
        <w:rPr>
          <w:rFonts w:ascii="Cambria" w:hAnsi="Cambria" w:cs="Arial"/>
          <w:sz w:val="24"/>
          <w:szCs w:val="24"/>
        </w:rPr>
        <w:t>(2) Mid-term strategic plan (available on the net)</w:t>
      </w:r>
    </w:p>
    <w:p w14:paraId="039DE9DC" w14:textId="77777777" w:rsidR="008103AA" w:rsidRPr="008103AA" w:rsidRDefault="008103AA" w:rsidP="008103AA">
      <w:pPr>
        <w:ind w:left="960"/>
        <w:rPr>
          <w:rFonts w:ascii="Cambria" w:hAnsi="Cambria" w:cs="Arial"/>
          <w:sz w:val="24"/>
          <w:szCs w:val="24"/>
        </w:rPr>
      </w:pPr>
      <w:r w:rsidRPr="008103AA">
        <w:rPr>
          <w:rFonts w:ascii="Cambria" w:hAnsi="Cambria" w:cs="Arial"/>
          <w:sz w:val="24"/>
          <w:szCs w:val="24"/>
        </w:rPr>
        <w:lastRenderedPageBreak/>
        <w:t>What are the differences between the two plans? Is the former for education sector as a whole, and the latter for the DBE?</w:t>
      </w:r>
    </w:p>
    <w:p w14:paraId="5C21411C" w14:textId="77777777" w:rsidR="008103AA" w:rsidRPr="008103AA" w:rsidRDefault="008103AA" w:rsidP="008103AA">
      <w:pPr>
        <w:ind w:firstLine="380"/>
        <w:rPr>
          <w:rFonts w:ascii="Cambria" w:hAnsi="Cambria" w:cs="Arial"/>
          <w:sz w:val="24"/>
          <w:szCs w:val="24"/>
        </w:rPr>
      </w:pPr>
      <w:r w:rsidRPr="008103AA">
        <w:rPr>
          <w:rFonts w:ascii="Cambria" w:hAnsi="Cambria" w:cs="Arial"/>
          <w:sz w:val="24"/>
          <w:szCs w:val="24"/>
        </w:rPr>
        <w:t>iii) Annual plan: (available on the net)</w:t>
      </w:r>
    </w:p>
    <w:p w14:paraId="02CBC51D" w14:textId="77777777" w:rsidR="008103AA" w:rsidRPr="008103AA" w:rsidRDefault="008103AA" w:rsidP="008103AA">
      <w:pPr>
        <w:pStyle w:val="ListParagraph"/>
        <w:ind w:left="380" w:firstLine="580"/>
        <w:rPr>
          <w:rStyle w:val="CommentReference"/>
          <w:rFonts w:ascii="Cambria" w:hAnsi="Cambria" w:cs="Arial"/>
          <w:sz w:val="24"/>
          <w:szCs w:val="24"/>
        </w:rPr>
      </w:pPr>
    </w:p>
    <w:p w14:paraId="5E559943" w14:textId="77777777" w:rsidR="008103AA" w:rsidRPr="008103AA" w:rsidRDefault="008103AA" w:rsidP="008103AA">
      <w:pPr>
        <w:pStyle w:val="ListParagraph"/>
        <w:widowControl w:val="0"/>
        <w:numPr>
          <w:ilvl w:val="0"/>
          <w:numId w:val="13"/>
        </w:numPr>
        <w:tabs>
          <w:tab w:val="left" w:pos="220"/>
          <w:tab w:val="left" w:pos="720"/>
        </w:tabs>
        <w:autoSpaceDE w:val="0"/>
        <w:autoSpaceDN w:val="0"/>
        <w:adjustRightInd w:val="0"/>
        <w:spacing w:after="0" w:line="240" w:lineRule="auto"/>
        <w:contextualSpacing w:val="0"/>
        <w:jc w:val="both"/>
        <w:rPr>
          <w:rFonts w:ascii="Cambria" w:hAnsi="Cambria" w:cs="Arial"/>
          <w:b/>
          <w:sz w:val="24"/>
          <w:szCs w:val="24"/>
        </w:rPr>
      </w:pPr>
      <w:r w:rsidRPr="008103AA">
        <w:rPr>
          <w:rFonts w:ascii="Cambria" w:hAnsi="Cambria" w:cs="Arial"/>
          <w:b/>
          <w:sz w:val="24"/>
          <w:szCs w:val="24"/>
        </w:rPr>
        <w:t>MTSF</w:t>
      </w:r>
    </w:p>
    <w:p w14:paraId="14E5943C" w14:textId="77777777" w:rsidR="008103AA" w:rsidRPr="008103AA" w:rsidRDefault="008103AA" w:rsidP="008103AA">
      <w:pPr>
        <w:pStyle w:val="ListParagraph"/>
        <w:widowControl w:val="0"/>
        <w:numPr>
          <w:ilvl w:val="1"/>
          <w:numId w:val="10"/>
        </w:numPr>
        <w:spacing w:after="0" w:line="240" w:lineRule="auto"/>
        <w:contextualSpacing w:val="0"/>
        <w:jc w:val="both"/>
        <w:rPr>
          <w:rStyle w:val="CommentReference"/>
          <w:rFonts w:ascii="Cambria" w:hAnsi="Cambria" w:cs="Arial"/>
          <w:sz w:val="24"/>
          <w:szCs w:val="24"/>
        </w:rPr>
      </w:pPr>
      <w:r w:rsidRPr="008103AA">
        <w:rPr>
          <w:rStyle w:val="CommentReference"/>
          <w:rFonts w:ascii="Cambria" w:hAnsi="Cambria" w:cs="Arial"/>
          <w:sz w:val="24"/>
          <w:szCs w:val="24"/>
        </w:rPr>
        <w:t>Is the DBE going to implement all the activities assigned to the DBE in MTSF outcome 14?</w:t>
      </w:r>
    </w:p>
    <w:p w14:paraId="467473B3" w14:textId="77777777" w:rsidR="008103AA" w:rsidRPr="008103AA" w:rsidRDefault="008103AA" w:rsidP="008103AA">
      <w:pPr>
        <w:pStyle w:val="ListParagraph"/>
        <w:widowControl w:val="0"/>
        <w:numPr>
          <w:ilvl w:val="1"/>
          <w:numId w:val="10"/>
        </w:numPr>
        <w:spacing w:after="0" w:line="240" w:lineRule="auto"/>
        <w:contextualSpacing w:val="0"/>
        <w:jc w:val="both"/>
        <w:rPr>
          <w:rStyle w:val="CommentReference"/>
          <w:rFonts w:ascii="Cambria" w:hAnsi="Cambria" w:cs="Arial"/>
          <w:sz w:val="24"/>
          <w:szCs w:val="24"/>
        </w:rPr>
      </w:pPr>
      <w:r w:rsidRPr="008103AA">
        <w:rPr>
          <w:rStyle w:val="CommentReference"/>
          <w:rFonts w:ascii="Cambria" w:hAnsi="Cambria" w:cs="Arial"/>
          <w:sz w:val="24"/>
          <w:szCs w:val="24"/>
        </w:rPr>
        <w:t>If that involves provincial departments of education, what are their roles?</w:t>
      </w:r>
    </w:p>
    <w:p w14:paraId="7C8772D0" w14:textId="77777777" w:rsidR="008103AA" w:rsidRPr="008103AA" w:rsidRDefault="008103AA" w:rsidP="008103AA">
      <w:pPr>
        <w:pStyle w:val="ListParagraph"/>
        <w:widowControl w:val="0"/>
        <w:numPr>
          <w:ilvl w:val="1"/>
          <w:numId w:val="10"/>
        </w:numPr>
        <w:spacing w:after="0" w:line="240" w:lineRule="auto"/>
        <w:contextualSpacing w:val="0"/>
        <w:jc w:val="both"/>
        <w:rPr>
          <w:rStyle w:val="CommentReference"/>
          <w:rFonts w:ascii="Cambria" w:hAnsi="Cambria" w:cs="Arial"/>
          <w:sz w:val="24"/>
          <w:szCs w:val="24"/>
        </w:rPr>
      </w:pPr>
      <w:r w:rsidRPr="008103AA">
        <w:rPr>
          <w:rStyle w:val="CommentReference"/>
          <w:rFonts w:ascii="Cambria" w:hAnsi="Cambria" w:cs="Arial"/>
          <w:sz w:val="24"/>
          <w:szCs w:val="24"/>
        </w:rPr>
        <w:t>Is ‘National Stakeholder Forum’ already established? Who are the members and what is their TOR?</w:t>
      </w:r>
    </w:p>
    <w:p w14:paraId="734C9F21" w14:textId="77777777" w:rsidR="008103AA" w:rsidRPr="008103AA" w:rsidRDefault="008103AA" w:rsidP="008103AA">
      <w:pPr>
        <w:pStyle w:val="ListParagraph"/>
        <w:widowControl w:val="0"/>
        <w:numPr>
          <w:ilvl w:val="1"/>
          <w:numId w:val="10"/>
        </w:numPr>
        <w:spacing w:after="0" w:line="240" w:lineRule="auto"/>
        <w:contextualSpacing w:val="0"/>
        <w:jc w:val="both"/>
        <w:rPr>
          <w:rStyle w:val="CommentReference"/>
          <w:rFonts w:ascii="Cambria" w:hAnsi="Cambria" w:cs="Arial"/>
          <w:sz w:val="24"/>
          <w:szCs w:val="24"/>
        </w:rPr>
      </w:pPr>
      <w:r w:rsidRPr="008103AA">
        <w:rPr>
          <w:rStyle w:val="CommentReference"/>
          <w:rFonts w:ascii="Cambria" w:hAnsi="Cambria" w:cs="Arial"/>
          <w:sz w:val="24"/>
          <w:szCs w:val="24"/>
        </w:rPr>
        <w:t xml:space="preserve">What is the status of ‘National Action Plan against Racism, Xenophobia, Sexism and Related Intolerances’?  </w:t>
      </w:r>
    </w:p>
    <w:p w14:paraId="5D81A1B5" w14:textId="77777777" w:rsidR="008103AA" w:rsidRPr="008103AA" w:rsidRDefault="008103AA" w:rsidP="008103AA">
      <w:pPr>
        <w:pStyle w:val="ListParagraph"/>
        <w:ind w:left="360"/>
        <w:rPr>
          <w:rFonts w:ascii="Cambria" w:hAnsi="Cambria" w:cs="Arial"/>
          <w:sz w:val="24"/>
          <w:szCs w:val="24"/>
        </w:rPr>
      </w:pPr>
    </w:p>
    <w:p w14:paraId="51258C2C" w14:textId="77777777" w:rsidR="008103AA" w:rsidRPr="008103AA" w:rsidRDefault="008103AA" w:rsidP="008103AA">
      <w:pPr>
        <w:pStyle w:val="ListParagraph"/>
        <w:widowControl w:val="0"/>
        <w:numPr>
          <w:ilvl w:val="0"/>
          <w:numId w:val="13"/>
        </w:numPr>
        <w:tabs>
          <w:tab w:val="left" w:pos="220"/>
          <w:tab w:val="left" w:pos="720"/>
        </w:tabs>
        <w:autoSpaceDE w:val="0"/>
        <w:autoSpaceDN w:val="0"/>
        <w:adjustRightInd w:val="0"/>
        <w:spacing w:after="0" w:line="240" w:lineRule="auto"/>
        <w:contextualSpacing w:val="0"/>
        <w:jc w:val="both"/>
        <w:rPr>
          <w:rFonts w:ascii="Cambria" w:hAnsi="Cambria" w:cs="Arial"/>
          <w:b/>
          <w:sz w:val="24"/>
          <w:szCs w:val="24"/>
        </w:rPr>
      </w:pPr>
      <w:r w:rsidRPr="008103AA">
        <w:rPr>
          <w:rFonts w:ascii="Cambria" w:hAnsi="Cambria" w:cs="Arial"/>
          <w:b/>
          <w:sz w:val="24"/>
          <w:szCs w:val="24"/>
        </w:rPr>
        <w:t>Social Cohesion Programme Guide</w:t>
      </w:r>
    </w:p>
    <w:p w14:paraId="287F51A6" w14:textId="77777777" w:rsidR="008103AA" w:rsidRPr="008103AA" w:rsidRDefault="008103AA" w:rsidP="008103AA">
      <w:pPr>
        <w:rPr>
          <w:rStyle w:val="CommentReference"/>
          <w:rFonts w:ascii="Cambria" w:hAnsi="Cambria" w:cs="Arial"/>
          <w:color w:val="FF0000"/>
          <w:sz w:val="24"/>
          <w:szCs w:val="24"/>
        </w:rPr>
      </w:pPr>
      <w:r w:rsidRPr="008103AA">
        <w:rPr>
          <w:rStyle w:val="CommentReference"/>
          <w:rFonts w:ascii="Cambria" w:hAnsi="Cambria" w:cs="Arial"/>
          <w:color w:val="FF0000"/>
          <w:sz w:val="24"/>
          <w:szCs w:val="24"/>
        </w:rPr>
        <w:t>Note: we have draft Social Cohesion Programme guide shared by the DBE</w:t>
      </w:r>
    </w:p>
    <w:p w14:paraId="376C02BB" w14:textId="77777777" w:rsidR="008103AA" w:rsidRPr="008103AA" w:rsidRDefault="008103AA" w:rsidP="008103AA">
      <w:pPr>
        <w:pStyle w:val="ListParagraph"/>
        <w:tabs>
          <w:tab w:val="left" w:pos="220"/>
          <w:tab w:val="left" w:pos="720"/>
        </w:tabs>
        <w:autoSpaceDE w:val="0"/>
        <w:autoSpaceDN w:val="0"/>
        <w:adjustRightInd w:val="0"/>
        <w:ind w:left="360"/>
        <w:rPr>
          <w:rFonts w:ascii="Cambria" w:hAnsi="Cambria" w:cs="Arial"/>
          <w:b/>
          <w:sz w:val="24"/>
          <w:szCs w:val="24"/>
        </w:rPr>
      </w:pPr>
    </w:p>
    <w:p w14:paraId="45B186F7" w14:textId="77777777" w:rsidR="008103AA" w:rsidRPr="008103AA" w:rsidRDefault="008103AA" w:rsidP="008103AA">
      <w:pPr>
        <w:pStyle w:val="ListParagraph"/>
        <w:widowControl w:val="0"/>
        <w:numPr>
          <w:ilvl w:val="1"/>
          <w:numId w:val="11"/>
        </w:numPr>
        <w:spacing w:after="0" w:line="240" w:lineRule="auto"/>
        <w:contextualSpacing w:val="0"/>
        <w:jc w:val="both"/>
        <w:rPr>
          <w:rStyle w:val="CommentReference"/>
          <w:rFonts w:ascii="Cambria" w:hAnsi="Cambria" w:cs="Arial"/>
          <w:sz w:val="24"/>
          <w:szCs w:val="24"/>
        </w:rPr>
      </w:pPr>
      <w:r w:rsidRPr="008103AA">
        <w:rPr>
          <w:rStyle w:val="CommentReference"/>
          <w:rFonts w:ascii="Cambria" w:hAnsi="Cambria" w:cs="Arial"/>
          <w:sz w:val="24"/>
          <w:szCs w:val="24"/>
        </w:rPr>
        <w:t xml:space="preserve">What would be the expected outcome from implementing Social Cohesion Programme at </w:t>
      </w:r>
      <w:r w:rsidRPr="008103AA">
        <w:rPr>
          <w:rStyle w:val="CommentReference"/>
          <w:rFonts w:ascii="Cambria" w:hAnsi="Cambria" w:cs="Arial"/>
          <w:sz w:val="24"/>
          <w:szCs w:val="24"/>
          <w:u w:val="single"/>
        </w:rPr>
        <w:t>school level</w:t>
      </w:r>
      <w:r w:rsidRPr="008103AA">
        <w:rPr>
          <w:rStyle w:val="CommentReference"/>
          <w:rFonts w:ascii="Cambria" w:hAnsi="Cambria" w:cs="Arial"/>
          <w:sz w:val="24"/>
          <w:szCs w:val="24"/>
        </w:rPr>
        <w:t>? What would be the mechanism to generate that outcome?</w:t>
      </w:r>
    </w:p>
    <w:p w14:paraId="46939310" w14:textId="77777777" w:rsidR="008103AA" w:rsidRPr="008103AA" w:rsidRDefault="008103AA" w:rsidP="008103AA">
      <w:pPr>
        <w:pStyle w:val="ListParagraph"/>
        <w:widowControl w:val="0"/>
        <w:numPr>
          <w:ilvl w:val="1"/>
          <w:numId w:val="11"/>
        </w:numPr>
        <w:spacing w:after="0" w:line="240" w:lineRule="auto"/>
        <w:contextualSpacing w:val="0"/>
        <w:jc w:val="both"/>
        <w:rPr>
          <w:rStyle w:val="CommentReference"/>
          <w:rFonts w:ascii="Cambria" w:hAnsi="Cambria" w:cs="Arial"/>
          <w:sz w:val="24"/>
          <w:szCs w:val="24"/>
        </w:rPr>
      </w:pPr>
      <w:r w:rsidRPr="008103AA">
        <w:rPr>
          <w:rStyle w:val="CommentReference"/>
          <w:rFonts w:ascii="Cambria" w:hAnsi="Cambria" w:cs="Arial"/>
          <w:sz w:val="24"/>
          <w:szCs w:val="24"/>
        </w:rPr>
        <w:t xml:space="preserve">What would be the expected outcome from implementing Social Cohesion Programme for </w:t>
      </w:r>
      <w:r w:rsidRPr="008103AA">
        <w:rPr>
          <w:rStyle w:val="CommentReference"/>
          <w:rFonts w:ascii="Cambria" w:hAnsi="Cambria" w:cs="Arial"/>
          <w:sz w:val="24"/>
          <w:szCs w:val="24"/>
          <w:u w:val="single"/>
        </w:rPr>
        <w:t>society at large</w:t>
      </w:r>
      <w:r w:rsidRPr="008103AA">
        <w:rPr>
          <w:rStyle w:val="CommentReference"/>
          <w:rFonts w:ascii="Cambria" w:hAnsi="Cambria" w:cs="Arial"/>
          <w:sz w:val="24"/>
          <w:szCs w:val="24"/>
        </w:rPr>
        <w:t>? What would be the mechanism to generate that outcome?</w:t>
      </w:r>
    </w:p>
    <w:p w14:paraId="267DA4C8" w14:textId="77777777" w:rsidR="008103AA" w:rsidRPr="008103AA" w:rsidRDefault="008103AA" w:rsidP="008103AA">
      <w:pPr>
        <w:pStyle w:val="ListParagraph"/>
        <w:widowControl w:val="0"/>
        <w:numPr>
          <w:ilvl w:val="1"/>
          <w:numId w:val="11"/>
        </w:numPr>
        <w:spacing w:after="0" w:line="240" w:lineRule="auto"/>
        <w:contextualSpacing w:val="0"/>
        <w:jc w:val="both"/>
        <w:rPr>
          <w:rStyle w:val="CommentReference"/>
          <w:rFonts w:ascii="Cambria" w:hAnsi="Cambria" w:cs="Arial"/>
          <w:sz w:val="24"/>
          <w:szCs w:val="24"/>
        </w:rPr>
      </w:pPr>
      <w:r w:rsidRPr="008103AA">
        <w:rPr>
          <w:rStyle w:val="CommentReference"/>
          <w:rFonts w:ascii="Cambria" w:hAnsi="Cambria" w:cs="Arial"/>
          <w:sz w:val="24"/>
          <w:szCs w:val="24"/>
        </w:rPr>
        <w:t>What is the relationship between social cohesion and equity (as in sub title of the document)?</w:t>
      </w:r>
    </w:p>
    <w:p w14:paraId="3D274993" w14:textId="77777777" w:rsidR="008103AA" w:rsidRPr="008103AA" w:rsidRDefault="008103AA" w:rsidP="008103AA">
      <w:pPr>
        <w:pStyle w:val="ListParagraph"/>
        <w:ind w:left="360"/>
        <w:rPr>
          <w:rStyle w:val="CommentReference"/>
          <w:rFonts w:ascii="Cambria" w:hAnsi="Cambria" w:cs="Arial"/>
          <w:color w:val="FF0000"/>
          <w:sz w:val="24"/>
          <w:szCs w:val="24"/>
        </w:rPr>
      </w:pPr>
    </w:p>
    <w:p w14:paraId="273E59BB" w14:textId="77777777" w:rsidR="008103AA" w:rsidRPr="008103AA" w:rsidRDefault="008103AA" w:rsidP="008103AA">
      <w:pPr>
        <w:pStyle w:val="ListParagraph"/>
        <w:widowControl w:val="0"/>
        <w:numPr>
          <w:ilvl w:val="0"/>
          <w:numId w:val="13"/>
        </w:numPr>
        <w:tabs>
          <w:tab w:val="left" w:pos="220"/>
          <w:tab w:val="left" w:pos="720"/>
        </w:tabs>
        <w:autoSpaceDE w:val="0"/>
        <w:autoSpaceDN w:val="0"/>
        <w:adjustRightInd w:val="0"/>
        <w:spacing w:after="0" w:line="240" w:lineRule="auto"/>
        <w:contextualSpacing w:val="0"/>
        <w:jc w:val="both"/>
        <w:rPr>
          <w:rFonts w:ascii="Cambria" w:hAnsi="Cambria" w:cs="Arial"/>
          <w:b/>
          <w:sz w:val="24"/>
          <w:szCs w:val="24"/>
        </w:rPr>
      </w:pPr>
      <w:r w:rsidRPr="008103AA">
        <w:rPr>
          <w:rFonts w:ascii="Cambria" w:hAnsi="Cambria" w:cs="Arial"/>
          <w:b/>
          <w:sz w:val="24"/>
          <w:szCs w:val="24"/>
        </w:rPr>
        <w:t>Social Cohesion and Equality</w:t>
      </w:r>
    </w:p>
    <w:p w14:paraId="1E051FCC" w14:textId="77777777" w:rsidR="008103AA" w:rsidRPr="008103AA" w:rsidRDefault="008103AA" w:rsidP="008103AA">
      <w:pPr>
        <w:pStyle w:val="ListParagraph"/>
        <w:widowControl w:val="0"/>
        <w:numPr>
          <w:ilvl w:val="1"/>
          <w:numId w:val="12"/>
        </w:numPr>
        <w:spacing w:after="100" w:afterAutospacing="1" w:line="240" w:lineRule="auto"/>
        <w:contextualSpacing w:val="0"/>
        <w:jc w:val="both"/>
        <w:rPr>
          <w:rFonts w:ascii="Cambria" w:hAnsi="Cambria" w:cs="Arial"/>
          <w:sz w:val="24"/>
          <w:szCs w:val="24"/>
        </w:rPr>
      </w:pPr>
      <w:r w:rsidRPr="008103AA">
        <w:rPr>
          <w:rStyle w:val="CommentReference"/>
          <w:rFonts w:ascii="Cambria" w:hAnsi="Cambria" w:cs="Arial"/>
          <w:sz w:val="24"/>
          <w:szCs w:val="24"/>
        </w:rPr>
        <w:t xml:space="preserve">Andy Green’s study suggests that </w:t>
      </w:r>
      <w:r w:rsidRPr="008103AA">
        <w:rPr>
          <w:rFonts w:ascii="Cambria" w:hAnsi="Cambria" w:cs="Arial"/>
          <w:sz w:val="24"/>
          <w:szCs w:val="24"/>
        </w:rPr>
        <w:t>inequality within a schooling system has the effect of undermining social cohesion. Equitable distribution of education (measured by more equal outcomes), rather than isolated high standards of education, is the key for social cohesion. In this regard, South African schooling system seems stratified with unequal learning environment and unequal outcomes. What would you think about his argument?</w:t>
      </w:r>
    </w:p>
    <w:p w14:paraId="45A185D0" w14:textId="77777777" w:rsidR="008103AA" w:rsidRPr="008103AA" w:rsidRDefault="008103AA" w:rsidP="008103AA">
      <w:pPr>
        <w:pStyle w:val="ListParagraph"/>
        <w:widowControl w:val="0"/>
        <w:numPr>
          <w:ilvl w:val="1"/>
          <w:numId w:val="12"/>
        </w:numPr>
        <w:spacing w:after="0" w:line="240" w:lineRule="auto"/>
        <w:ind w:left="357" w:hanging="357"/>
        <w:contextualSpacing w:val="0"/>
        <w:jc w:val="both"/>
        <w:rPr>
          <w:rFonts w:ascii="Cambria" w:hAnsi="Cambria" w:cs="Arial"/>
          <w:sz w:val="24"/>
          <w:szCs w:val="24"/>
        </w:rPr>
      </w:pPr>
      <w:r w:rsidRPr="008103AA">
        <w:rPr>
          <w:rFonts w:ascii="Cambria" w:hAnsi="Cambria" w:cs="Arial"/>
          <w:sz w:val="24"/>
          <w:szCs w:val="24"/>
        </w:rPr>
        <w:t xml:space="preserve">No-fee school is one intervention to address unequal public education system. Do you have other strategies to achieve more equitable education system?   </w:t>
      </w:r>
    </w:p>
    <w:p w14:paraId="609758F3" w14:textId="77777777" w:rsidR="008103AA" w:rsidRPr="008103AA" w:rsidRDefault="008103AA" w:rsidP="008103AA">
      <w:pPr>
        <w:tabs>
          <w:tab w:val="left" w:pos="220"/>
          <w:tab w:val="left" w:pos="720"/>
        </w:tabs>
        <w:autoSpaceDE w:val="0"/>
        <w:autoSpaceDN w:val="0"/>
        <w:adjustRightInd w:val="0"/>
        <w:rPr>
          <w:rFonts w:ascii="Cambria" w:hAnsi="Cambria" w:cs="Arial"/>
          <w:b/>
          <w:color w:val="FF6600"/>
          <w:sz w:val="24"/>
          <w:szCs w:val="24"/>
        </w:rPr>
      </w:pPr>
    </w:p>
    <w:p w14:paraId="02CE998B" w14:textId="77777777" w:rsidR="009E6B58" w:rsidRPr="008103AA" w:rsidRDefault="009E6B58">
      <w:pPr>
        <w:rPr>
          <w:rFonts w:ascii="Cambria" w:hAnsi="Cambria"/>
          <w:sz w:val="24"/>
          <w:szCs w:val="24"/>
        </w:rPr>
      </w:pPr>
    </w:p>
    <w:sectPr w:rsidR="009E6B58" w:rsidRPr="008103A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04807" w14:textId="77777777" w:rsidR="007C4CA9" w:rsidRDefault="007C4CA9" w:rsidP="006E480B">
      <w:pPr>
        <w:spacing w:after="0" w:line="240" w:lineRule="auto"/>
      </w:pPr>
      <w:r>
        <w:separator/>
      </w:r>
    </w:p>
  </w:endnote>
  <w:endnote w:type="continuationSeparator" w:id="0">
    <w:p w14:paraId="1F76B66D" w14:textId="77777777" w:rsidR="007C4CA9" w:rsidRDefault="007C4CA9" w:rsidP="006E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18A45" w14:textId="77777777" w:rsidR="007C4CA9" w:rsidRDefault="007C4CA9" w:rsidP="006E480B">
      <w:pPr>
        <w:spacing w:after="0" w:line="240" w:lineRule="auto"/>
      </w:pPr>
      <w:r>
        <w:separator/>
      </w:r>
    </w:p>
  </w:footnote>
  <w:footnote w:type="continuationSeparator" w:id="0">
    <w:p w14:paraId="26266B56" w14:textId="77777777" w:rsidR="007C4CA9" w:rsidRDefault="007C4CA9" w:rsidP="006E48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23FD0"/>
    <w:multiLevelType w:val="multilevel"/>
    <w:tmpl w:val="C8DC27E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BC6028"/>
    <w:multiLevelType w:val="hybridMultilevel"/>
    <w:tmpl w:val="6E309362"/>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B334C43"/>
    <w:multiLevelType w:val="multilevel"/>
    <w:tmpl w:val="0B947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7959E7"/>
    <w:multiLevelType w:val="multilevel"/>
    <w:tmpl w:val="6772E8F8"/>
    <w:lvl w:ilvl="0">
      <w:start w:val="1"/>
      <w:numFmt w:val="decimal"/>
      <w:lvlText w:val="%1"/>
      <w:lvlJc w:val="left"/>
      <w:pPr>
        <w:ind w:left="380" w:hanging="380"/>
      </w:pPr>
      <w:rPr>
        <w:rFonts w:ascii="Times New Roman" w:hAnsi="Times New Roman" w:cs="Times New Roman" w:hint="default"/>
        <w:sz w:val="24"/>
      </w:rPr>
    </w:lvl>
    <w:lvl w:ilvl="1">
      <w:start w:val="1"/>
      <w:numFmt w:val="decimal"/>
      <w:lvlText w:val="%1.%2"/>
      <w:lvlJc w:val="left"/>
      <w:pPr>
        <w:ind w:left="380" w:hanging="380"/>
      </w:pPr>
      <w:rPr>
        <w:rFonts w:ascii="Times New Roman" w:hAnsi="Times New Roman" w:cs="Times New Roman" w:hint="default"/>
        <w:sz w:val="24"/>
      </w:rPr>
    </w:lvl>
    <w:lvl w:ilvl="2">
      <w:start w:val="1"/>
      <w:numFmt w:val="decimal"/>
      <w:lvlText w:val="%1.%2.%3"/>
      <w:lvlJc w:val="left"/>
      <w:pPr>
        <w:ind w:left="380" w:hanging="38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720" w:hanging="72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080" w:hanging="1080"/>
      </w:pPr>
      <w:rPr>
        <w:rFonts w:ascii="Times New Roman" w:hAnsi="Times New Roman" w:cs="Times New Roman" w:hint="default"/>
        <w:sz w:val="24"/>
      </w:rPr>
    </w:lvl>
    <w:lvl w:ilvl="7">
      <w:start w:val="1"/>
      <w:numFmt w:val="decimal"/>
      <w:lvlText w:val="%1.%2.%3.%4.%5.%6.%7.%8"/>
      <w:lvlJc w:val="left"/>
      <w:pPr>
        <w:ind w:left="1080" w:hanging="108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D8D6445"/>
    <w:multiLevelType w:val="multilevel"/>
    <w:tmpl w:val="0B9476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0A0FBC"/>
    <w:multiLevelType w:val="hybridMultilevel"/>
    <w:tmpl w:val="AC500284"/>
    <w:lvl w:ilvl="0" w:tplc="9F3A23F0">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654CC8"/>
    <w:multiLevelType w:val="multilevel"/>
    <w:tmpl w:val="B3380A8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2FB6659"/>
    <w:multiLevelType w:val="multilevel"/>
    <w:tmpl w:val="B3380A8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3430205"/>
    <w:multiLevelType w:val="hybridMultilevel"/>
    <w:tmpl w:val="589CB4A4"/>
    <w:lvl w:ilvl="0" w:tplc="07E42B44">
      <w:start w:val="1"/>
      <w:numFmt w:val="bullet"/>
      <w:lvlText w:val=""/>
      <w:lvlJc w:val="left"/>
      <w:pPr>
        <w:ind w:left="860" w:hanging="480"/>
      </w:pPr>
      <w:rPr>
        <w:rFonts w:ascii="Symbol" w:hAnsi="Symbol" w:hint="default"/>
        <w:color w:val="auto"/>
      </w:rPr>
    </w:lvl>
    <w:lvl w:ilvl="1" w:tplc="0409000B" w:tentative="1">
      <w:start w:val="1"/>
      <w:numFmt w:val="bullet"/>
      <w:lvlText w:val=""/>
      <w:lvlJc w:val="left"/>
      <w:pPr>
        <w:ind w:left="1340" w:hanging="480"/>
      </w:pPr>
      <w:rPr>
        <w:rFonts w:ascii="Wingdings" w:hAnsi="Wingdings" w:hint="default"/>
      </w:rPr>
    </w:lvl>
    <w:lvl w:ilvl="2" w:tplc="0409000D" w:tentative="1">
      <w:start w:val="1"/>
      <w:numFmt w:val="bullet"/>
      <w:lvlText w:val=""/>
      <w:lvlJc w:val="left"/>
      <w:pPr>
        <w:ind w:left="1820" w:hanging="480"/>
      </w:pPr>
      <w:rPr>
        <w:rFonts w:ascii="Wingdings" w:hAnsi="Wingdings" w:hint="default"/>
      </w:rPr>
    </w:lvl>
    <w:lvl w:ilvl="3" w:tplc="04090001" w:tentative="1">
      <w:start w:val="1"/>
      <w:numFmt w:val="bullet"/>
      <w:lvlText w:val=""/>
      <w:lvlJc w:val="left"/>
      <w:pPr>
        <w:ind w:left="2300" w:hanging="480"/>
      </w:pPr>
      <w:rPr>
        <w:rFonts w:ascii="Wingdings" w:hAnsi="Wingdings" w:hint="default"/>
      </w:rPr>
    </w:lvl>
    <w:lvl w:ilvl="4" w:tplc="0409000B" w:tentative="1">
      <w:start w:val="1"/>
      <w:numFmt w:val="bullet"/>
      <w:lvlText w:val=""/>
      <w:lvlJc w:val="left"/>
      <w:pPr>
        <w:ind w:left="2780" w:hanging="480"/>
      </w:pPr>
      <w:rPr>
        <w:rFonts w:ascii="Wingdings" w:hAnsi="Wingdings" w:hint="default"/>
      </w:rPr>
    </w:lvl>
    <w:lvl w:ilvl="5" w:tplc="0409000D" w:tentative="1">
      <w:start w:val="1"/>
      <w:numFmt w:val="bullet"/>
      <w:lvlText w:val=""/>
      <w:lvlJc w:val="left"/>
      <w:pPr>
        <w:ind w:left="3260" w:hanging="480"/>
      </w:pPr>
      <w:rPr>
        <w:rFonts w:ascii="Wingdings" w:hAnsi="Wingdings" w:hint="default"/>
      </w:rPr>
    </w:lvl>
    <w:lvl w:ilvl="6" w:tplc="04090001" w:tentative="1">
      <w:start w:val="1"/>
      <w:numFmt w:val="bullet"/>
      <w:lvlText w:val=""/>
      <w:lvlJc w:val="left"/>
      <w:pPr>
        <w:ind w:left="3740" w:hanging="480"/>
      </w:pPr>
      <w:rPr>
        <w:rFonts w:ascii="Wingdings" w:hAnsi="Wingdings" w:hint="default"/>
      </w:rPr>
    </w:lvl>
    <w:lvl w:ilvl="7" w:tplc="0409000B" w:tentative="1">
      <w:start w:val="1"/>
      <w:numFmt w:val="bullet"/>
      <w:lvlText w:val=""/>
      <w:lvlJc w:val="left"/>
      <w:pPr>
        <w:ind w:left="4220" w:hanging="480"/>
      </w:pPr>
      <w:rPr>
        <w:rFonts w:ascii="Wingdings" w:hAnsi="Wingdings" w:hint="default"/>
      </w:rPr>
    </w:lvl>
    <w:lvl w:ilvl="8" w:tplc="0409000D" w:tentative="1">
      <w:start w:val="1"/>
      <w:numFmt w:val="bullet"/>
      <w:lvlText w:val=""/>
      <w:lvlJc w:val="left"/>
      <w:pPr>
        <w:ind w:left="4700" w:hanging="480"/>
      </w:pPr>
      <w:rPr>
        <w:rFonts w:ascii="Wingdings" w:hAnsi="Wingdings" w:hint="default"/>
      </w:rPr>
    </w:lvl>
  </w:abstractNum>
  <w:abstractNum w:abstractNumId="9" w15:restartNumberingAfterBreak="0">
    <w:nsid w:val="67876807"/>
    <w:multiLevelType w:val="hybridMultilevel"/>
    <w:tmpl w:val="1E7A9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83195D"/>
    <w:multiLevelType w:val="hybridMultilevel"/>
    <w:tmpl w:val="58AEA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3153331"/>
    <w:multiLevelType w:val="hybridMultilevel"/>
    <w:tmpl w:val="4978F5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3E86C5D"/>
    <w:multiLevelType w:val="multilevel"/>
    <w:tmpl w:val="0B9476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EAE3DD9"/>
    <w:multiLevelType w:val="hybridMultilevel"/>
    <w:tmpl w:val="8E68CBB6"/>
    <w:lvl w:ilvl="0" w:tplc="CAB662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9"/>
  </w:num>
  <w:num w:numId="3">
    <w:abstractNumId w:val="10"/>
  </w:num>
  <w:num w:numId="4">
    <w:abstractNumId w:val="11"/>
  </w:num>
  <w:num w:numId="5">
    <w:abstractNumId w:val="1"/>
  </w:num>
  <w:num w:numId="6">
    <w:abstractNumId w:val="0"/>
  </w:num>
  <w:num w:numId="7">
    <w:abstractNumId w:val="13"/>
  </w:num>
  <w:num w:numId="8">
    <w:abstractNumId w:val="7"/>
  </w:num>
  <w:num w:numId="9">
    <w:abstractNumId w:val="8"/>
  </w:num>
  <w:num w:numId="10">
    <w:abstractNumId w:val="12"/>
  </w:num>
  <w:num w:numId="11">
    <w:abstractNumId w:val="2"/>
  </w:num>
  <w:num w:numId="12">
    <w:abstractNumId w:val="4"/>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E19"/>
    <w:rsid w:val="0023301F"/>
    <w:rsid w:val="00254335"/>
    <w:rsid w:val="00260C7D"/>
    <w:rsid w:val="00280C24"/>
    <w:rsid w:val="002E7E19"/>
    <w:rsid w:val="003967F6"/>
    <w:rsid w:val="003B358B"/>
    <w:rsid w:val="004D40E3"/>
    <w:rsid w:val="004D7AF2"/>
    <w:rsid w:val="00597F00"/>
    <w:rsid w:val="006E480B"/>
    <w:rsid w:val="00752946"/>
    <w:rsid w:val="007C4CA9"/>
    <w:rsid w:val="007F44F2"/>
    <w:rsid w:val="008103AA"/>
    <w:rsid w:val="00846E47"/>
    <w:rsid w:val="008A093F"/>
    <w:rsid w:val="008E2CFC"/>
    <w:rsid w:val="00930AA9"/>
    <w:rsid w:val="009E6B58"/>
    <w:rsid w:val="00A431BF"/>
    <w:rsid w:val="00B44100"/>
    <w:rsid w:val="00C02378"/>
    <w:rsid w:val="00C445DA"/>
    <w:rsid w:val="00C821D6"/>
    <w:rsid w:val="00C93F81"/>
    <w:rsid w:val="00D92410"/>
    <w:rsid w:val="00E314DB"/>
    <w:rsid w:val="00E914E8"/>
    <w:rsid w:val="00ED2217"/>
    <w:rsid w:val="00EE253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0F63DD7"/>
  <w15:docId w15:val="{BB05FFCE-5A65-4405-8243-F39C3788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7E1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7E1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7E19"/>
    <w:rPr>
      <w:color w:val="0000FF" w:themeColor="hyperlink"/>
      <w:u w:val="single"/>
    </w:rPr>
  </w:style>
  <w:style w:type="paragraph" w:styleId="ListParagraph">
    <w:name w:val="List Paragraph"/>
    <w:basedOn w:val="Normal"/>
    <w:link w:val="ListParagraphChar"/>
    <w:uiPriority w:val="34"/>
    <w:qFormat/>
    <w:rsid w:val="002E7E19"/>
    <w:pPr>
      <w:ind w:left="720"/>
      <w:contextualSpacing/>
    </w:pPr>
  </w:style>
  <w:style w:type="character" w:customStyle="1" w:styleId="ListParagraphChar">
    <w:name w:val="List Paragraph Char"/>
    <w:link w:val="ListParagraph"/>
    <w:uiPriority w:val="34"/>
    <w:rsid w:val="002E7E19"/>
    <w:rPr>
      <w:rFonts w:eastAsiaTheme="minorEastAsia"/>
      <w:lang w:val="en-US"/>
    </w:rPr>
  </w:style>
  <w:style w:type="character" w:styleId="CommentReference">
    <w:name w:val="annotation reference"/>
    <w:basedOn w:val="DefaultParagraphFont"/>
    <w:uiPriority w:val="99"/>
    <w:semiHidden/>
    <w:unhideWhenUsed/>
    <w:rsid w:val="002E7E19"/>
    <w:rPr>
      <w:sz w:val="16"/>
      <w:szCs w:val="16"/>
    </w:rPr>
  </w:style>
  <w:style w:type="paragraph" w:styleId="CommentText">
    <w:name w:val="annotation text"/>
    <w:basedOn w:val="Normal"/>
    <w:link w:val="CommentTextChar"/>
    <w:uiPriority w:val="99"/>
    <w:semiHidden/>
    <w:unhideWhenUsed/>
    <w:rsid w:val="002E7E19"/>
    <w:pPr>
      <w:spacing w:line="240" w:lineRule="auto"/>
    </w:pPr>
    <w:rPr>
      <w:sz w:val="20"/>
      <w:szCs w:val="20"/>
    </w:rPr>
  </w:style>
  <w:style w:type="character" w:customStyle="1" w:styleId="CommentTextChar">
    <w:name w:val="Comment Text Char"/>
    <w:basedOn w:val="DefaultParagraphFont"/>
    <w:link w:val="CommentText"/>
    <w:uiPriority w:val="99"/>
    <w:semiHidden/>
    <w:rsid w:val="002E7E19"/>
    <w:rPr>
      <w:rFonts w:eastAsiaTheme="minorEastAsia"/>
      <w:sz w:val="20"/>
      <w:szCs w:val="20"/>
      <w:lang w:val="en-US"/>
    </w:rPr>
  </w:style>
  <w:style w:type="paragraph" w:styleId="BalloonText">
    <w:name w:val="Balloon Text"/>
    <w:basedOn w:val="Normal"/>
    <w:link w:val="BalloonTextChar"/>
    <w:uiPriority w:val="99"/>
    <w:semiHidden/>
    <w:unhideWhenUsed/>
    <w:rsid w:val="002E7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19"/>
    <w:rPr>
      <w:rFonts w:ascii="Tahoma" w:eastAsiaTheme="minorEastAsia" w:hAnsi="Tahoma" w:cs="Tahoma"/>
      <w:sz w:val="16"/>
      <w:szCs w:val="16"/>
      <w:lang w:val="en-US"/>
    </w:rPr>
  </w:style>
  <w:style w:type="paragraph" w:styleId="FootnoteText">
    <w:name w:val="footnote text"/>
    <w:basedOn w:val="Normal"/>
    <w:link w:val="FootnoteTextChar"/>
    <w:uiPriority w:val="99"/>
    <w:semiHidden/>
    <w:unhideWhenUsed/>
    <w:rsid w:val="006E480B"/>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6E480B"/>
    <w:rPr>
      <w:rFonts w:eastAsiaTheme="minorEastAsia"/>
      <w:sz w:val="20"/>
      <w:szCs w:val="20"/>
      <w:lang w:val="en-GB"/>
    </w:rPr>
  </w:style>
  <w:style w:type="character" w:styleId="FootnoteReference">
    <w:name w:val="footnote reference"/>
    <w:basedOn w:val="DefaultParagraphFont"/>
    <w:uiPriority w:val="99"/>
    <w:semiHidden/>
    <w:unhideWhenUsed/>
    <w:rsid w:val="006E48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Zahraa McDonald</dc:creator>
  <cp:lastModifiedBy>Thomas Salmon</cp:lastModifiedBy>
  <cp:revision>6</cp:revision>
  <dcterms:created xsi:type="dcterms:W3CDTF">2015-05-16T10:42:00Z</dcterms:created>
  <dcterms:modified xsi:type="dcterms:W3CDTF">2018-02-18T08:55:00Z</dcterms:modified>
</cp:coreProperties>
</file>