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515" w:type="dxa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5161"/>
        <w:gridCol w:w="968"/>
        <w:gridCol w:w="967"/>
        <w:gridCol w:w="2097"/>
        <w:gridCol w:w="1452"/>
      </w:tblGrid>
      <w:tr w:rsidR="00AF3BD1" w14:paraId="1ABFF377" w14:textId="77777777" w:rsidTr="00AE534D">
        <w:trPr>
          <w:jc w:val="center"/>
        </w:trPr>
        <w:tc>
          <w:tcPr>
            <w:tcW w:w="3402" w:type="dxa"/>
          </w:tcPr>
          <w:p w14:paraId="09DD70BF" w14:textId="77777777" w:rsidR="00AF3BD1" w:rsidRDefault="00AF3BD1" w:rsidP="00AE53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Finding 6: Continuous</w:t>
            </w:r>
            <w:r w:rsidRPr="00F03E30">
              <w:rPr>
                <w:rFonts w:cstheme="minorHAnsi"/>
                <w:sz w:val="18"/>
                <w:szCs w:val="18"/>
              </w:rPr>
              <w:t xml:space="preserve"> professional development</w:t>
            </w:r>
          </w:p>
        </w:tc>
        <w:tc>
          <w:tcPr>
            <w:tcW w:w="4536" w:type="dxa"/>
          </w:tcPr>
          <w:p w14:paraId="0F3AFC92" w14:textId="77777777" w:rsidR="00AF3BD1" w:rsidRPr="00F03E30" w:rsidRDefault="00AF3BD1" w:rsidP="00AE534D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Analyse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how teachers in the selected subjects are trained for social cohesion</w:t>
            </w:r>
          </w:p>
        </w:tc>
        <w:tc>
          <w:tcPr>
            <w:tcW w:w="851" w:type="dxa"/>
            <w:vAlign w:val="center"/>
          </w:tcPr>
          <w:p w14:paraId="64F834D2" w14:textId="77777777" w:rsidR="00AF3BD1" w:rsidRPr="00F03E30" w:rsidRDefault="00AF3BD1" w:rsidP="00AE53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3E30">
              <w:rPr>
                <w:rFonts w:cstheme="minorHAnsi"/>
                <w:sz w:val="18"/>
                <w:szCs w:val="18"/>
              </w:rPr>
              <w:t>Teacher (RQ 4)</w:t>
            </w:r>
          </w:p>
        </w:tc>
        <w:tc>
          <w:tcPr>
            <w:tcW w:w="850" w:type="dxa"/>
            <w:vAlign w:val="center"/>
          </w:tcPr>
          <w:p w14:paraId="210F3694" w14:textId="77777777" w:rsidR="00AF3BD1" w:rsidRDefault="00AF3BD1" w:rsidP="00AE534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4-5</w:t>
            </w:r>
          </w:p>
        </w:tc>
        <w:tc>
          <w:tcPr>
            <w:tcW w:w="1843" w:type="dxa"/>
            <w:vAlign w:val="center"/>
          </w:tcPr>
          <w:p w14:paraId="5FADA0E2" w14:textId="77777777" w:rsidR="00AF3BD1" w:rsidRDefault="00AF3BD1" w:rsidP="00AE53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TBD</w:t>
            </w:r>
          </w:p>
        </w:tc>
        <w:tc>
          <w:tcPr>
            <w:tcW w:w="1276" w:type="dxa"/>
            <w:vAlign w:val="center"/>
          </w:tcPr>
          <w:p w14:paraId="2301E521" w14:textId="0B91DEB7" w:rsidR="00AF3BD1" w:rsidRDefault="00AF3BD1" w:rsidP="00AE534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0EBD2DA" w14:textId="77777777" w:rsidR="00AF3BD1" w:rsidRDefault="00AF3BD1" w:rsidP="00AF3BD1"/>
    <w:p w14:paraId="0204DF00" w14:textId="4098FE2E" w:rsidR="00AF3BD1" w:rsidRDefault="00877658" w:rsidP="00AF3BD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CPD</w:t>
      </w:r>
      <w:bookmarkStart w:id="0" w:name="_GoBack"/>
      <w:bookmarkEnd w:id="0"/>
      <w:r w:rsidR="00AF3BD1">
        <w:rPr>
          <w:rFonts w:ascii="Arial" w:hAnsi="Arial" w:cs="Arial"/>
          <w:b/>
          <w:sz w:val="24"/>
        </w:rPr>
        <w:t xml:space="preserve"> Methodology:</w:t>
      </w:r>
    </w:p>
    <w:p w14:paraId="0FEBA266" w14:textId="77777777" w:rsidR="00AF3BD1" w:rsidRPr="00F52357" w:rsidRDefault="00AF3BD1" w:rsidP="00AF3BD1">
      <w:pPr>
        <w:ind w:left="720" w:hanging="720"/>
        <w:rPr>
          <w:rFonts w:ascii="Arial" w:hAnsi="Arial" w:cs="Arial"/>
          <w:sz w:val="24"/>
        </w:rPr>
      </w:pPr>
      <w:r w:rsidRPr="00F52357">
        <w:rPr>
          <w:rFonts w:ascii="Arial" w:hAnsi="Arial" w:cs="Arial"/>
          <w:b/>
          <w:sz w:val="24"/>
        </w:rPr>
        <w:t>RQ4.</w:t>
      </w:r>
      <w:r w:rsidRPr="00F52357">
        <w:rPr>
          <w:rFonts w:ascii="Arial" w:hAnsi="Arial" w:cs="Arial"/>
          <w:sz w:val="24"/>
        </w:rPr>
        <w:t xml:space="preserve"> </w:t>
      </w:r>
      <w:r w:rsidRPr="00F52357">
        <w:rPr>
          <w:rFonts w:ascii="Arial" w:hAnsi="Arial" w:cs="Arial"/>
          <w:sz w:val="24"/>
        </w:rPr>
        <w:tab/>
        <w:t>How have the selected interventions attempted to ensure that teachers are trained for peacebuilding,</w:t>
      </w:r>
    </w:p>
    <w:p w14:paraId="5DC1DAA7" w14:textId="77777777" w:rsidR="00AF3BD1" w:rsidRPr="00AF3BD1" w:rsidRDefault="00AF3BD1" w:rsidP="00AF3BD1">
      <w:pPr>
        <w:numPr>
          <w:ilvl w:val="0"/>
          <w:numId w:val="1"/>
        </w:numPr>
        <w:rPr>
          <w:rFonts w:ascii="Arial" w:hAnsi="Arial" w:cs="Arial"/>
          <w:bCs/>
          <w:sz w:val="24"/>
        </w:rPr>
      </w:pPr>
      <w:r w:rsidRPr="00F52357">
        <w:rPr>
          <w:rFonts w:ascii="Arial" w:hAnsi="Arial" w:cs="Arial"/>
          <w:b/>
          <w:i/>
          <w:iCs/>
          <w:sz w:val="24"/>
        </w:rPr>
        <w:t>Teacher professional development:</w:t>
      </w:r>
      <w:r w:rsidRPr="00F52357">
        <w:rPr>
          <w:rFonts w:ascii="Arial" w:hAnsi="Arial" w:cs="Arial"/>
          <w:bCs/>
          <w:sz w:val="24"/>
        </w:rPr>
        <w:t xml:space="preserve"> Describe the teacher training processes, esp. how are teachers trained for peacebuilding? Describe the professional development processes. What facilities, programmatic interventions, policies, are in place? How are </w:t>
      </w:r>
      <w:proofErr w:type="gramStart"/>
      <w:r w:rsidRPr="00F52357">
        <w:rPr>
          <w:rFonts w:ascii="Arial" w:hAnsi="Arial" w:cs="Arial"/>
          <w:bCs/>
          <w:sz w:val="24"/>
        </w:rPr>
        <w:t>teachers’</w:t>
      </w:r>
      <w:proofErr w:type="gramEnd"/>
      <w:r w:rsidRPr="00F52357">
        <w:rPr>
          <w:rFonts w:ascii="Arial" w:hAnsi="Arial" w:cs="Arial"/>
          <w:bCs/>
          <w:sz w:val="24"/>
        </w:rPr>
        <w:t xml:space="preserve"> taught to deal with conflict on an on-going basis? How has violence impacted teacher training and CPD? What are the policies in relation to teachers based on gender/ethnicity/conflict-affected zones/rural areas as far as teachers’ professional development is concerned?</w:t>
      </w:r>
    </w:p>
    <w:p w14:paraId="70EE20F7" w14:textId="77777777" w:rsidR="00AF3BD1" w:rsidRPr="00F52357" w:rsidRDefault="00AF3BD1" w:rsidP="00AF3BD1">
      <w:pPr>
        <w:pStyle w:val="Heading3"/>
        <w:numPr>
          <w:ilvl w:val="2"/>
          <w:numId w:val="3"/>
        </w:numPr>
        <w:rPr>
          <w:rFonts w:cs="Arial"/>
          <w:szCs w:val="24"/>
          <w:lang w:val="en-GB"/>
        </w:rPr>
      </w:pPr>
      <w:r w:rsidRPr="00F52357">
        <w:rPr>
          <w:rFonts w:cs="Arial"/>
          <w:szCs w:val="24"/>
          <w:lang w:val="en-GB"/>
        </w:rPr>
        <w:t xml:space="preserve">Dimension Five (RQ4): Teacher Preparation </w:t>
      </w:r>
    </w:p>
    <w:p w14:paraId="7A739DEF" w14:textId="77777777" w:rsidR="00AF3BD1" w:rsidRPr="00F52357" w:rsidRDefault="00AF3BD1" w:rsidP="00AF3BD1">
      <w:pPr>
        <w:rPr>
          <w:rFonts w:ascii="Arial" w:hAnsi="Arial" w:cs="Arial"/>
          <w:sz w:val="24"/>
        </w:rPr>
      </w:pPr>
      <w:r w:rsidRPr="00F52357">
        <w:rPr>
          <w:rFonts w:ascii="Arial" w:hAnsi="Arial" w:cs="Arial"/>
          <w:bCs/>
          <w:sz w:val="24"/>
        </w:rPr>
        <w:t>We will focus on</w:t>
      </w:r>
      <w:r w:rsidRPr="00F52357">
        <w:rPr>
          <w:rFonts w:ascii="Arial" w:hAnsi="Arial" w:cs="Arial"/>
          <w:b/>
          <w:sz w:val="24"/>
        </w:rPr>
        <w:t xml:space="preserve"> </w:t>
      </w:r>
      <w:r w:rsidRPr="00F52357">
        <w:rPr>
          <w:rFonts w:ascii="Arial" w:hAnsi="Arial" w:cs="Arial"/>
          <w:sz w:val="24"/>
        </w:rPr>
        <w:t xml:space="preserve">how teachers </w:t>
      </w:r>
      <w:r w:rsidRPr="00DE25C7">
        <w:rPr>
          <w:rFonts w:ascii="Arial" w:hAnsi="Arial" w:cs="Arial"/>
          <w:sz w:val="24"/>
        </w:rPr>
        <w:t xml:space="preserve">are educated both </w:t>
      </w:r>
      <w:r w:rsidRPr="00AF3BD1">
        <w:rPr>
          <w:rFonts w:ascii="Arial" w:hAnsi="Arial" w:cs="Arial"/>
          <w:b/>
          <w:sz w:val="24"/>
        </w:rPr>
        <w:t>pre-service</w:t>
      </w:r>
      <w:r w:rsidRPr="00DE25C7">
        <w:rPr>
          <w:rFonts w:ascii="Arial" w:hAnsi="Arial" w:cs="Arial"/>
          <w:sz w:val="24"/>
        </w:rPr>
        <w:t xml:space="preserve"> and </w:t>
      </w:r>
      <w:r w:rsidRPr="00AF3BD1">
        <w:rPr>
          <w:rFonts w:ascii="Arial" w:hAnsi="Arial" w:cs="Arial"/>
          <w:b/>
          <w:sz w:val="24"/>
        </w:rPr>
        <w:t>in-service</w:t>
      </w:r>
      <w:r w:rsidRPr="00DE25C7">
        <w:rPr>
          <w:rFonts w:ascii="Arial" w:hAnsi="Arial" w:cs="Arial"/>
          <w:sz w:val="24"/>
        </w:rPr>
        <w:t xml:space="preserve">, </w:t>
      </w:r>
      <w:r w:rsidRPr="00F52357">
        <w:rPr>
          <w:rFonts w:ascii="Arial" w:hAnsi="Arial" w:cs="Arial"/>
          <w:sz w:val="24"/>
        </w:rPr>
        <w:t>concen</w:t>
      </w:r>
      <w:r>
        <w:rPr>
          <w:rFonts w:ascii="Arial" w:hAnsi="Arial" w:cs="Arial"/>
          <w:sz w:val="24"/>
        </w:rPr>
        <w:t>trating</w:t>
      </w:r>
      <w:r w:rsidRPr="00F52357">
        <w:rPr>
          <w:rFonts w:ascii="Arial" w:hAnsi="Arial" w:cs="Arial"/>
          <w:sz w:val="24"/>
        </w:rPr>
        <w:t xml:space="preserve"> on teacher professional development, innovative modalities of training teachers where there is a shortage, and how teachers are equipped for peacebui</w:t>
      </w:r>
      <w:r>
        <w:rPr>
          <w:rFonts w:ascii="Arial" w:hAnsi="Arial" w:cs="Arial"/>
          <w:sz w:val="24"/>
        </w:rPr>
        <w:t>lding pedagogies and curricula in initial and continuing professional development programmes.</w:t>
      </w:r>
    </w:p>
    <w:p w14:paraId="407EE3EB" w14:textId="77777777" w:rsidR="00AF3BD1" w:rsidRPr="00F52357" w:rsidRDefault="00AF3BD1" w:rsidP="00AF3BD1">
      <w:pPr>
        <w:pStyle w:val="Subtitle"/>
        <w:rPr>
          <w:lang w:val="en-GB"/>
        </w:rPr>
      </w:pPr>
      <w:r w:rsidRPr="00F52357">
        <w:rPr>
          <w:lang w:val="en-GB"/>
        </w:rPr>
        <w:t>Methods:</w:t>
      </w:r>
    </w:p>
    <w:p w14:paraId="5EFA7F38" w14:textId="77777777" w:rsidR="00AF3BD1" w:rsidRDefault="00AF3BD1" w:rsidP="00AF3BD1">
      <w:pPr>
        <w:rPr>
          <w:rFonts w:ascii="Arial" w:hAnsi="Arial" w:cs="Arial"/>
          <w:sz w:val="24"/>
        </w:rPr>
      </w:pPr>
      <w:r w:rsidRPr="00F52357">
        <w:rPr>
          <w:rFonts w:ascii="Arial" w:hAnsi="Arial" w:cs="Arial"/>
          <w:sz w:val="24"/>
        </w:rPr>
        <w:t>One teacher training institution will be sampled in each city/region included in the study</w:t>
      </w:r>
      <w:r>
        <w:rPr>
          <w:rFonts w:ascii="Arial" w:hAnsi="Arial" w:cs="Arial"/>
          <w:sz w:val="24"/>
        </w:rPr>
        <w:t xml:space="preserve"> (a total of 3 – see research sites below)</w:t>
      </w:r>
      <w:r w:rsidRPr="00F52357">
        <w:rPr>
          <w:rFonts w:ascii="Arial" w:hAnsi="Arial" w:cs="Arial"/>
          <w:sz w:val="24"/>
        </w:rPr>
        <w:t>, selected to cover a range of primary, preservice/</w:t>
      </w:r>
      <w:proofErr w:type="spellStart"/>
      <w:r w:rsidRPr="00F52357">
        <w:rPr>
          <w:rFonts w:ascii="Arial" w:hAnsi="Arial" w:cs="Arial"/>
          <w:sz w:val="24"/>
        </w:rPr>
        <w:t>inservice</w:t>
      </w:r>
      <w:proofErr w:type="spellEnd"/>
      <w:r w:rsidRPr="00F52357">
        <w:rPr>
          <w:rFonts w:ascii="Arial" w:hAnsi="Arial" w:cs="Arial"/>
          <w:sz w:val="24"/>
        </w:rPr>
        <w:t xml:space="preserve">, residential/distance teacher education courses. </w:t>
      </w:r>
    </w:p>
    <w:p w14:paraId="4AEF60CF" w14:textId="77777777" w:rsidR="00AF3BD1" w:rsidRDefault="00AF3BD1" w:rsidP="00AF3BD1">
      <w:pPr>
        <w:pStyle w:val="Subtitle"/>
        <w:rPr>
          <w:rFonts w:ascii="Arial" w:eastAsiaTheme="minorEastAsia" w:hAnsi="Arial" w:cs="Arial"/>
          <w:b/>
          <w:color w:val="auto"/>
          <w:u w:val="single"/>
          <w:lang w:val="en-GB"/>
        </w:rPr>
      </w:pPr>
      <w:r>
        <w:rPr>
          <w:lang w:val="en-GB"/>
        </w:rPr>
        <w:t>Indicative questions</w:t>
      </w:r>
    </w:p>
    <w:p w14:paraId="5C61BA64" w14:textId="77777777" w:rsidR="00AF3BD1" w:rsidRDefault="00AF3BD1" w:rsidP="00AF3BD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Arial" w:hAnsi="Arial" w:cs="Arial"/>
          <w:sz w:val="24"/>
          <w:szCs w:val="24"/>
          <w:lang w:val="en-GB"/>
        </w:rPr>
      </w:pPr>
      <w:r w:rsidRPr="009254BE">
        <w:rPr>
          <w:rFonts w:ascii="Arial" w:hAnsi="Arial" w:cs="Arial"/>
          <w:sz w:val="24"/>
          <w:szCs w:val="24"/>
          <w:lang w:val="en-GB"/>
        </w:rPr>
        <w:t>How are teachers trained for peacebuilding?</w:t>
      </w:r>
    </w:p>
    <w:p w14:paraId="2C387C53" w14:textId="77777777" w:rsidR="00AF3BD1" w:rsidRPr="00DE25C7" w:rsidRDefault="00AF3BD1" w:rsidP="00AF3BD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Arial" w:hAnsi="Arial" w:cs="Arial"/>
          <w:sz w:val="24"/>
          <w:szCs w:val="24"/>
          <w:lang w:val="en-GB"/>
        </w:rPr>
      </w:pPr>
      <w:r w:rsidRPr="00DE25C7">
        <w:rPr>
          <w:rFonts w:ascii="Arial" w:hAnsi="Arial" w:cs="Arial"/>
          <w:sz w:val="24"/>
          <w:szCs w:val="24"/>
          <w:lang w:val="en-GB"/>
        </w:rPr>
        <w:t>What role does training have in embedding new peace-orientated educational initiatives? How does it achieve this?</w:t>
      </w:r>
    </w:p>
    <w:p w14:paraId="0E064882" w14:textId="77777777" w:rsidR="00AF3BD1" w:rsidRPr="00DE25C7" w:rsidRDefault="00AF3BD1" w:rsidP="00AF3BD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Arial" w:hAnsi="Arial" w:cs="Arial"/>
          <w:sz w:val="24"/>
          <w:szCs w:val="24"/>
          <w:lang w:val="en-GB"/>
        </w:rPr>
      </w:pPr>
      <w:r w:rsidRPr="00DE25C7">
        <w:rPr>
          <w:rFonts w:ascii="Arial" w:hAnsi="Arial" w:cs="Arial"/>
          <w:sz w:val="24"/>
          <w:szCs w:val="24"/>
          <w:lang w:val="en-GB"/>
        </w:rPr>
        <w:t xml:space="preserve">Does teacher education curriculum content account for its post-conflict context, e.g. through inclusion of conflict sensitive education approaches and new curriculum topics? </w:t>
      </w:r>
    </w:p>
    <w:p w14:paraId="22185A3A" w14:textId="77777777" w:rsidR="00AF3BD1" w:rsidRPr="00AF3BD1" w:rsidRDefault="00AF3BD1" w:rsidP="00AF3BD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Arial" w:hAnsi="Arial" w:cs="Arial"/>
          <w:b/>
          <w:sz w:val="24"/>
          <w:szCs w:val="24"/>
          <w:lang w:val="en-GB"/>
        </w:rPr>
      </w:pPr>
      <w:r w:rsidRPr="00AF3BD1">
        <w:rPr>
          <w:rFonts w:ascii="Arial" w:hAnsi="Arial" w:cs="Arial"/>
          <w:b/>
          <w:sz w:val="24"/>
          <w:szCs w:val="24"/>
          <w:lang w:val="en-GB"/>
        </w:rPr>
        <w:t xml:space="preserve">Are teachers formally afforded time in their teaching schedule for continued professional development, collaboration, reflection post initial training? </w:t>
      </w:r>
    </w:p>
    <w:p w14:paraId="1B4A22FD" w14:textId="77777777" w:rsidR="00AF3BD1" w:rsidRPr="00AF3BD1" w:rsidRDefault="00AF3BD1" w:rsidP="00AF3BD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Arial" w:hAnsi="Arial" w:cs="Arial"/>
          <w:b/>
          <w:sz w:val="24"/>
          <w:szCs w:val="24"/>
          <w:lang w:val="en-GB"/>
        </w:rPr>
      </w:pPr>
      <w:r w:rsidRPr="00AF3BD1">
        <w:rPr>
          <w:rFonts w:ascii="Arial" w:hAnsi="Arial" w:cs="Arial"/>
          <w:b/>
          <w:sz w:val="24"/>
          <w:szCs w:val="24"/>
          <w:lang w:val="en-GB"/>
        </w:rPr>
        <w:t xml:space="preserve">Is there continuity or difference between pre/in service, distance/direct, school-based/institution-based teacher education? </w:t>
      </w:r>
    </w:p>
    <w:p w14:paraId="1EAB89F2" w14:textId="13A066BB" w:rsidR="00A319F1" w:rsidRPr="00877658" w:rsidRDefault="00AF3BD1" w:rsidP="00E9286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lang w:val="en-GB"/>
        </w:rPr>
      </w:pPr>
      <w:r w:rsidRPr="00DE25C7">
        <w:rPr>
          <w:rFonts w:ascii="Arial" w:hAnsi="Arial" w:cs="Arial"/>
          <w:sz w:val="24"/>
          <w:szCs w:val="24"/>
          <w:lang w:val="en-GB"/>
        </w:rPr>
        <w:t>How does teacher education</w:t>
      </w:r>
      <w:r w:rsidRPr="00DE25C7">
        <w:rPr>
          <w:rFonts w:ascii="Arial" w:hAnsi="Arial" w:cs="Arial"/>
          <w:sz w:val="24"/>
          <w:lang w:val="en-GB"/>
        </w:rPr>
        <w:t xml:space="preserve"> influence teacher understandings of their role in peacebuilding and mitigating gender, ethnic, and social inequalities and exclusions?</w:t>
      </w:r>
    </w:p>
    <w:p w14:paraId="33E6D186" w14:textId="77777777" w:rsidR="00A319F1" w:rsidRPr="00A319F1" w:rsidRDefault="00A319F1" w:rsidP="00A319F1">
      <w:pPr>
        <w:pStyle w:val="NormalWeb"/>
      </w:pPr>
    </w:p>
    <w:p w14:paraId="3900C32B" w14:textId="77777777" w:rsidR="00A319F1" w:rsidRPr="00A319F1" w:rsidRDefault="00A319F1">
      <w:pPr>
        <w:rPr>
          <w:b/>
          <w:sz w:val="26"/>
        </w:rPr>
      </w:pPr>
    </w:p>
    <w:p w14:paraId="6D4C1904" w14:textId="77777777" w:rsidR="00A319F1" w:rsidRDefault="00A319F1"/>
    <w:sectPr w:rsidR="00A319F1" w:rsidSect="00AF3B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324B"/>
    <w:multiLevelType w:val="hybridMultilevel"/>
    <w:tmpl w:val="5F9C71E6"/>
    <w:lvl w:ilvl="0" w:tplc="1D3CD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18F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9AFF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AB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820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122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185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3C0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7E7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A0B56"/>
    <w:multiLevelType w:val="multilevel"/>
    <w:tmpl w:val="183E5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A0E76F2"/>
    <w:multiLevelType w:val="hybridMultilevel"/>
    <w:tmpl w:val="08CE138C"/>
    <w:lvl w:ilvl="0" w:tplc="4300D5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BD1"/>
    <w:rsid w:val="00700935"/>
    <w:rsid w:val="00877658"/>
    <w:rsid w:val="00A319F1"/>
    <w:rsid w:val="00AF3BD1"/>
    <w:rsid w:val="00E76686"/>
    <w:rsid w:val="00E92863"/>
    <w:rsid w:val="00ED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E9B4D"/>
  <w15:docId w15:val="{F38516E2-4BF5-46DA-90C9-35FF0C53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B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BD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F3BD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ListParagraph">
    <w:name w:val="List Paragraph"/>
    <w:basedOn w:val="Normal"/>
    <w:uiPriority w:val="34"/>
    <w:qFormat/>
    <w:rsid w:val="00AF3BD1"/>
    <w:pPr>
      <w:ind w:left="720"/>
      <w:contextualSpacing/>
    </w:pPr>
    <w:rPr>
      <w:rFonts w:eastAsiaTheme="minorEastAsia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3B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F3B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31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31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fishytom</dc:creator>
  <cp:lastModifiedBy>Thomas Salmon</cp:lastModifiedBy>
  <cp:revision>3</cp:revision>
  <dcterms:created xsi:type="dcterms:W3CDTF">2015-05-03T13:17:00Z</dcterms:created>
  <dcterms:modified xsi:type="dcterms:W3CDTF">2018-02-16T05:11:00Z</dcterms:modified>
</cp:coreProperties>
</file>