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Interview schedule: Policy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3. Overview of key education policies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3.6 Refugee, IDP and migrant education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bookmarkStart w:colFirst="0" w:colLast="0" w:name="h.30j0zll" w:id="0"/>
      <w:bookmarkEnd w:id="0"/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Biographical questions: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Gender of the interviewee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Post/title of the interviewee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How long have you been in this post?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Linguistic group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Religious belonging</w:t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Opening question</w:t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Please tell me/us a bit about your current post and responsibilities</w:t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Refugees and migrant education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200"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Do you think there is any relationship between arrangements for refugees and/or internally displaced persons (IDPs) and peace in South Africa? If so, what are the linkages and why are they important?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200"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What policies and practices are currently in place for the education of refugees and IDPs? What are the legal responsibilities, who are the key agencies?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200"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Are there any gaps between legal responsibilities, education policies and practice? What are the inconsistencies and why?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200"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Are there any agencies or organisations that serve the linguistic, financial and political needs of educating refugee children? What are the limitations, if any, placed on them by the state?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200"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What would be required to improve the situation of refugees and IDPs refugees through educational reforms? What are the arguments for and against changes?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200"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How does the problem of statelessness of African refugees affect refugee education reforms?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200" w:line="276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What are the implications of the South African state’s attitude towards refugees?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200" w:line="276" w:lineRule="auto"/>
        <w:ind w:left="216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How can this best be remedied?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200" w:line="276" w:lineRule="auto"/>
        <w:ind w:left="216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What is the role of education in this?</w:t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8. What is the role of education in dealing with xenophobia and promoting tolerance? Are these issues being appropriately managed?</w:t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9. How does the DHA work with the DBE to secure the education rights of refugees? What are the challenges? Where have there been successes?</w:t>
      </w:r>
    </w:p>
    <w:p w:rsidR="00000000" w:rsidDel="00000000" w:rsidP="00000000" w:rsidRDefault="00000000" w:rsidRPr="00000000">
      <w:pPr>
        <w:spacing w:after="200" w:line="276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10. What does the South African state’s ratification of the AU Convention on Refugees mean for its obligations towards refugees in the country? Are these being met?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>
    <w:embedRegular r:id="rId1" w:subsetted="0"/>
    <w:embedBold r:id="rId2" w:subsetted="0"/>
    <w:embedItalic r:id="rId3" w:subsetted="0"/>
    <w:embedBoldItalic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abstractNum w:abstractNumId="3">
    <w:lvl w:ilvl="0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-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-"/>
      <w:lvlJc w:val="left"/>
      <w:pPr>
        <w:ind w:left="7920" w:firstLine="75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-regular.ttf"/><Relationship Id="rId2" Type="http://schemas.openxmlformats.org/officeDocument/2006/relationships/font" Target="fonts/Cambria-bold.ttf"/><Relationship Id="rId3" Type="http://schemas.openxmlformats.org/officeDocument/2006/relationships/font" Target="fonts/Cambria-italic.ttf"/><Relationship Id="rId4" Type="http://schemas.openxmlformats.org/officeDocument/2006/relationships/font" Target="fonts/Cambria-boldItalic.ttf"/></Relationships>
</file>