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94" w:rsidRDefault="00175894" w:rsidP="00175894">
      <w:pPr>
        <w:spacing w:after="0"/>
        <w:jc w:val="center"/>
        <w:rPr>
          <w:b/>
        </w:rPr>
      </w:pPr>
      <w:r>
        <w:rPr>
          <w:b/>
        </w:rPr>
        <w:t>Method description</w:t>
      </w:r>
    </w:p>
    <w:p w:rsidR="00175894" w:rsidRDefault="00175894" w:rsidP="00175894">
      <w:pPr>
        <w:spacing w:after="0"/>
        <w:rPr>
          <w:b/>
        </w:rPr>
      </w:pPr>
    </w:p>
    <w:p w:rsidR="009962CA" w:rsidRDefault="00A62A9F" w:rsidP="00175894">
      <w:pPr>
        <w:spacing w:after="0"/>
        <w:rPr>
          <w:b/>
        </w:rPr>
      </w:pPr>
      <w:r>
        <w:rPr>
          <w:b/>
        </w:rPr>
        <w:t>Longitudinal study</w:t>
      </w:r>
    </w:p>
    <w:p w:rsidR="00175894" w:rsidRDefault="00175894" w:rsidP="00175894">
      <w:pPr>
        <w:spacing w:after="0"/>
      </w:pPr>
    </w:p>
    <w:p w:rsidR="00A62A9F" w:rsidRDefault="00A62A9F" w:rsidP="00175894">
      <w:pPr>
        <w:spacing w:after="0"/>
      </w:pPr>
      <w:r>
        <w:t xml:space="preserve">This study tracked </w:t>
      </w:r>
      <w:r w:rsidR="008C5A20">
        <w:t xml:space="preserve">oral </w:t>
      </w:r>
      <w:r>
        <w:t>voc</w:t>
      </w:r>
      <w:r w:rsidR="008C5A20">
        <w:t>abulary and reading abilities longitudinally across three phases. For Phase 1, pupils were aged 11-12 years (Year 7), for Phase 2, 12-13 years (Year 8), and for Phase 3, 13-14 years (Year 9). The initial sample size was 210 in Phase 1, with minimal attrition resulting in 195 pupils in Phase 2 and a final sample size of 186 in Phase 3.</w:t>
      </w:r>
    </w:p>
    <w:p w:rsidR="00175894" w:rsidRDefault="00175894" w:rsidP="00175894">
      <w:pPr>
        <w:spacing w:after="0"/>
      </w:pPr>
    </w:p>
    <w:p w:rsidR="008C5A20" w:rsidRDefault="008C5A20" w:rsidP="00175894">
      <w:pPr>
        <w:spacing w:after="0"/>
      </w:pPr>
      <w:r>
        <w:t>A battery of standardised assessments of oral vocabulary and reading were administered annually during two sessions of approximately 1 hour each. The battery also included a measure of nonverbal reasoning. We followed manual instructions. Where there were parallel forms, we used the same form each year. For the reading comprehension task, participants read the same passages each year.</w:t>
      </w:r>
    </w:p>
    <w:p w:rsidR="00175894" w:rsidRDefault="00175894" w:rsidP="00175894">
      <w:pPr>
        <w:spacing w:after="0"/>
      </w:pPr>
    </w:p>
    <w:p w:rsidR="008C5A20" w:rsidRDefault="008C5A20" w:rsidP="00175894">
      <w:pPr>
        <w:spacing w:after="0"/>
        <w:rPr>
          <w:rFonts w:cs="Times New Roman"/>
        </w:rPr>
      </w:pPr>
      <w:r>
        <w:t xml:space="preserve">Oral vocabulary: </w:t>
      </w:r>
      <w:r>
        <w:rPr>
          <w:rFonts w:cs="Times New Roman"/>
        </w:rPr>
        <w:t xml:space="preserve">the British Picture Vocabulary Scale – Third Edition </w:t>
      </w:r>
      <w:r>
        <w:rPr>
          <w:rFonts w:cs="Times New Roman"/>
        </w:rPr>
        <w:fldChar w:fldCharType="begin"/>
      </w:r>
      <w:r>
        <w:rPr>
          <w:rFonts w:cs="Times New Roman"/>
        </w:rPr>
        <w:instrText xml:space="preserve"> ADDIN EN.CITE &lt;EndNote&gt;&lt;Cite&gt;&lt;Author&gt;Dunn&lt;/Author&gt;&lt;Year&gt;2009&lt;/Year&gt;&lt;RecNum&gt;594&lt;/RecNum&gt;&lt;Prefix&gt;BPVS-3`; &lt;/Prefix&gt;&lt;DisplayText&gt;(BPVS-3; Dunn, Dunn, &amp;amp; NFER, 2009)&lt;/DisplayText&gt;&lt;record&gt;&lt;rec-number&gt;594&lt;/rec-number&gt;&lt;foreign-keys&gt;&lt;key app="EN" db-id="f5f5w9xroatev4exw9qx22r0pvewx925vfee" timestamp="0"&gt;594&lt;/key&gt;&lt;key app="ENWeb" db-id="T5fG8grtqhYAACoohPw"&gt;559&lt;/key&gt;&lt;/foreign-keys&gt;&lt;ref-type name="Book"&gt;6&lt;/ref-type&gt;&lt;contributors&gt;&lt;authors&gt;&lt;author&gt;Dunn, L. M.&lt;/author&gt;&lt;author&gt;Dunn, D. M.&lt;/author&gt;&lt;author&gt;NFER&lt;/author&gt;&lt;/authors&gt;&lt;/contributors&gt;&lt;titles&gt;&lt;title&gt;British Picture Vocabulary Scale - Third Edition&lt;/title&gt;&lt;/titles&gt;&lt;edition&gt;3rd&lt;/edition&gt;&lt;dates&gt;&lt;year&gt;2009&lt;/year&gt;&lt;/dates&gt;&lt;pub-location&gt;London&lt;/pub-location&gt;&lt;publisher&gt;GL Assessment Ltd&lt;/publisher&gt;&lt;urls&gt;&lt;/urls&gt;&lt;/record&gt;&lt;/Cite&gt;&lt;/EndNote&gt;</w:instrText>
      </w:r>
      <w:r>
        <w:rPr>
          <w:rFonts w:cs="Times New Roman"/>
        </w:rPr>
        <w:fldChar w:fldCharType="separate"/>
      </w:r>
      <w:r>
        <w:rPr>
          <w:rFonts w:cs="Times New Roman"/>
          <w:noProof/>
        </w:rPr>
        <w:t>(</w:t>
      </w:r>
      <w:r w:rsidRPr="008C5A20">
        <w:rPr>
          <w:rFonts w:cs="Times New Roman"/>
          <w:noProof/>
        </w:rPr>
        <w:t>BPVS-3; Dunn, Dunn, &amp; NFER, 2009</w:t>
      </w:r>
      <w:r>
        <w:rPr>
          <w:rFonts w:cs="Times New Roman"/>
          <w:noProof/>
        </w:rPr>
        <w:t>)</w:t>
      </w:r>
      <w:r>
        <w:rPr>
          <w:rFonts w:cs="Times New Roman"/>
        </w:rPr>
        <w:fldChar w:fldCharType="end"/>
      </w:r>
      <w:r>
        <w:rPr>
          <w:rFonts w:cs="Times New Roman"/>
        </w:rPr>
        <w:t xml:space="preserve"> and the Vocabulary subtest of the Wechsler Abbreviated Scale of Intelligence – Second Edition </w:t>
      </w:r>
      <w:r>
        <w:rPr>
          <w:rFonts w:cs="Times New Roman"/>
        </w:rPr>
        <w:fldChar w:fldCharType="begin"/>
      </w:r>
      <w:r>
        <w:rPr>
          <w:rFonts w:cs="Times New Roman"/>
        </w:rPr>
        <w:instrText xml:space="preserve"> ADDIN EN.CITE &lt;EndNote&gt;&lt;Cite&gt;&lt;Author&gt;Wechsler&lt;/Author&gt;&lt;Year&gt;2011&lt;/Year&gt;&lt;RecNum&gt;640&lt;/RecNum&gt;&lt;Prefix&gt;WASI-II`; &lt;/Prefix&gt;&lt;DisplayText&gt;(WASI-II; Wechsler, 2011)&lt;/DisplayText&gt;&lt;record&gt;&lt;rec-number&gt;640&lt;/rec-number&gt;&lt;foreign-keys&gt;&lt;key app="EN" db-id="f5f5w9xroatev4exw9qx22r0pvewx925vfee" timestamp="1347034050"&gt;640&lt;/key&gt;&lt;/foreign-keys&gt;&lt;ref-type name="Book"&gt;6&lt;/ref-type&gt;&lt;contributors&gt;&lt;authors&gt;&lt;author&gt;Wechsler, D&lt;/author&gt;&lt;/authors&gt;&lt;/contributors&gt;&lt;titles&gt;&lt;title&gt;Wechsler Abbreviated Scale of Intelligence - Second Edition (WASI-II)&lt;/title&gt;&lt;/titles&gt;&lt;dates&gt;&lt;year&gt;2011&lt;/year&gt;&lt;/dates&gt;&lt;pub-location&gt;San Antonio, TX &lt;/pub-location&gt;&lt;publisher&gt;Pearson&lt;/publisher&gt;&lt;urls&gt;&lt;/urls&gt;&lt;/record&gt;&lt;/Cite&gt;&lt;/EndNote&gt;</w:instrText>
      </w:r>
      <w:r>
        <w:rPr>
          <w:rFonts w:cs="Times New Roman"/>
        </w:rPr>
        <w:fldChar w:fldCharType="separate"/>
      </w:r>
      <w:r>
        <w:rPr>
          <w:rFonts w:cs="Times New Roman"/>
          <w:noProof/>
        </w:rPr>
        <w:t>(WASI-II; Wechsler, 2011)</w:t>
      </w:r>
      <w:r>
        <w:rPr>
          <w:rFonts w:cs="Times New Roman"/>
        </w:rPr>
        <w:fldChar w:fldCharType="end"/>
      </w:r>
      <w:r>
        <w:rPr>
          <w:rFonts w:cs="Times New Roman"/>
        </w:rPr>
        <w:t>.</w:t>
      </w:r>
    </w:p>
    <w:p w:rsidR="00175894" w:rsidRDefault="00175894" w:rsidP="00175894">
      <w:pPr>
        <w:spacing w:after="0"/>
        <w:rPr>
          <w:rFonts w:cs="Times New Roman"/>
        </w:rPr>
      </w:pPr>
    </w:p>
    <w:p w:rsidR="00175894" w:rsidRDefault="008C5A20" w:rsidP="00175894">
      <w:pPr>
        <w:spacing w:after="0"/>
        <w:rPr>
          <w:rFonts w:ascii="Times New Roman" w:hAnsi="Times New Roman" w:cs="Times New Roman"/>
          <w:lang w:eastAsia="en-GB"/>
        </w:rPr>
      </w:pPr>
      <w:r>
        <w:rPr>
          <w:rFonts w:cs="Times New Roman"/>
        </w:rPr>
        <w:t xml:space="preserve">Word-level reading: </w:t>
      </w:r>
      <w:r w:rsidR="00175894">
        <w:rPr>
          <w:rFonts w:cs="Times New Roman"/>
        </w:rPr>
        <w:t>the Test of Word Read</w:t>
      </w:r>
      <w:r w:rsidR="00175894" w:rsidRPr="00175894">
        <w:rPr>
          <w:rFonts w:cs="Times New Roman"/>
        </w:rPr>
        <w:t xml:space="preserve">ing Efficiency – Second Edition </w:t>
      </w:r>
      <w:r w:rsidR="00175894" w:rsidRPr="00175894">
        <w:rPr>
          <w:rFonts w:cs="Times New Roman"/>
        </w:rPr>
        <w:fldChar w:fldCharType="begin"/>
      </w:r>
      <w:r w:rsidR="00175894" w:rsidRPr="00175894">
        <w:rPr>
          <w:rFonts w:cs="Times New Roman"/>
        </w:rPr>
        <w:instrText xml:space="preserve"> ADDIN EN.CITE &lt;EndNote&gt;&lt;Cite&gt;&lt;Author&gt;Wagner&lt;/Author&gt;&lt;Year&gt;2011&lt;/Year&gt;&lt;RecNum&gt;684&lt;/RecNum&gt;&lt;Prefix&gt;TOWRE-2`; &lt;/Prefix&gt;&lt;DisplayText&gt;(TOWRE-2; Wagner, Torgesen, &amp;amp; Rashotte, 2011)&lt;/DisplayText&gt;&lt;record&gt;&lt;rec-number&gt;684&lt;/rec-number&gt;&lt;foreign-keys&gt;&lt;key app="EN" db-id="f5f5w9xroatev4exw9qx22r0pvewx925vfee" timestamp="1368038618"&gt;684&lt;/key&gt;&lt;/foreign-keys&gt;&lt;ref-type name="Book"&gt;6&lt;/ref-type&gt;&lt;contributors&gt;&lt;authors&gt;&lt;author&gt;Wagner, Richard K&lt;/author&gt;&lt;author&gt;Torgesen, Joseph K&lt;/author&gt;&lt;author&gt;Rashotte, Carol A&lt;/author&gt;&lt;/authors&gt;&lt;/contributors&gt;&lt;titles&gt;&lt;title&gt;Test of Word Reading Efficiency - Second Edition (TOWRE-2)&lt;/title&gt;&lt;/titles&gt;&lt;dates&gt;&lt;year&gt;2011&lt;/year&gt;&lt;/dates&gt;&lt;pub-location&gt;Austin, TX&lt;/pub-location&gt;&lt;publisher&gt;Pro-Ed&lt;/publisher&gt;&lt;urls&gt;&lt;/urls&gt;&lt;/record&gt;&lt;/Cite&gt;&lt;/EndNote&gt;</w:instrText>
      </w:r>
      <w:r w:rsidR="00175894" w:rsidRPr="00175894">
        <w:rPr>
          <w:rFonts w:cs="Times New Roman"/>
        </w:rPr>
        <w:fldChar w:fldCharType="separate"/>
      </w:r>
      <w:r w:rsidR="00175894" w:rsidRPr="00175894">
        <w:rPr>
          <w:rFonts w:cs="Times New Roman"/>
          <w:noProof/>
        </w:rPr>
        <w:t>(</w:t>
      </w:r>
      <w:r w:rsidR="00175894" w:rsidRPr="00175894">
        <w:rPr>
          <w:rFonts w:cs="Times New Roman"/>
          <w:noProof/>
        </w:rPr>
        <w:t>TOWRE-2; Wagner, Torgesen, &amp; Rashotte, 2011</w:t>
      </w:r>
      <w:r w:rsidR="00175894" w:rsidRPr="00175894">
        <w:rPr>
          <w:rFonts w:cs="Times New Roman"/>
          <w:noProof/>
        </w:rPr>
        <w:t>)</w:t>
      </w:r>
      <w:r w:rsidR="00175894" w:rsidRPr="00175894">
        <w:rPr>
          <w:rFonts w:cs="Times New Roman"/>
        </w:rPr>
        <w:fldChar w:fldCharType="end"/>
      </w:r>
      <w:r w:rsidR="00175894" w:rsidRPr="00175894">
        <w:rPr>
          <w:rFonts w:cs="Times New Roman"/>
        </w:rPr>
        <w:t xml:space="preserve">, the revised Castles and Coltheart test </w:t>
      </w:r>
      <w:r w:rsidR="00175894" w:rsidRPr="00175894">
        <w:rPr>
          <w:rFonts w:cs="Times New Roman"/>
        </w:rPr>
        <w:fldChar w:fldCharType="begin"/>
      </w:r>
      <w:r w:rsidR="00175894" w:rsidRPr="00175894">
        <w:rPr>
          <w:rFonts w:cs="Times New Roman"/>
        </w:rPr>
        <w:instrText xml:space="preserve"> ADDIN EN.CITE &lt;EndNote&gt;&lt;Cite&gt;&lt;Author&gt;Castles&lt;/Author&gt;&lt;Year&gt;2009&lt;/Year&gt;&lt;RecNum&gt;630&lt;/RecNum&gt;&lt;Prefix&gt;CC2`; &lt;/Prefix&gt;&lt;DisplayText&gt;(CC2; Castles et al., 2009)&lt;/DisplayText&gt;&lt;record&gt;&lt;rec-number&gt;630&lt;/rec-number&gt;&lt;foreign-keys&gt;&lt;key app="EN" db-id="f5f5w9xroatev4exw9qx22r0pvewx925vfee" timestamp="1337003035"&gt;630&lt;/key&gt;&lt;key app="ENWeb" db-id="T5fG8grtqhYAACoohPw"&gt;594&lt;/key&gt;&lt;/foreign-keys&gt;&lt;ref-type name="Journal Article"&gt;17&lt;/ref-type&gt;&lt;contributors&gt;&lt;authors&gt;&lt;author&gt;Castles, Anne&lt;/author&gt;&lt;author&gt;Coltheart, Max&lt;/author&gt;&lt;author&gt;Larsen, Linda&lt;/author&gt;&lt;author&gt;Jones, Pip&lt;/author&gt;&lt;author&gt;Saunders, Steven&lt;/author&gt;&lt;author&gt;McArthur, Genevieve&lt;/author&gt;&lt;/authors&gt;&lt;/contributors&gt;&lt;titles&gt;&lt;title&gt;&lt;style face="normal" font="default" size="11"&gt;Assessing the basic components of reading: A revision of the Castles and Coltheart test with new norms&lt;/style&gt;&lt;/title&gt;&lt;secondary-title&gt;&lt;style face="normal" font="default" size="11"&gt;Australian Journal of Learning Difficulties&lt;/style&gt;&lt;/secondary-title&gt;&lt;/titles&gt;&lt;periodical&gt;&lt;full-title&gt;Australian Journal of Learning Difficulties&lt;/full-title&gt;&lt;/periodical&gt;&lt;pages&gt;67-88&lt;/pages&gt;&lt;volume&gt;14&lt;/volume&gt;&lt;number&gt;1&lt;/number&gt;&lt;dates&gt;&lt;year&gt;2009&lt;/year&gt;&lt;/dates&gt;&lt;urls&gt;&lt;/urls&gt;&lt;/record&gt;&lt;/Cite&gt;&lt;/EndNote&gt;</w:instrText>
      </w:r>
      <w:r w:rsidR="00175894" w:rsidRPr="00175894">
        <w:rPr>
          <w:rFonts w:cs="Times New Roman"/>
        </w:rPr>
        <w:fldChar w:fldCharType="separate"/>
      </w:r>
      <w:r w:rsidR="00175894" w:rsidRPr="00175894">
        <w:rPr>
          <w:rFonts w:cs="Times New Roman"/>
          <w:noProof/>
        </w:rPr>
        <w:t>(</w:t>
      </w:r>
      <w:r w:rsidR="00175894" w:rsidRPr="00175894">
        <w:rPr>
          <w:rFonts w:cs="Times New Roman"/>
          <w:noProof/>
        </w:rPr>
        <w:t>CC2; Castles et al., 2009</w:t>
      </w:r>
      <w:r w:rsidR="00175894" w:rsidRPr="00175894">
        <w:rPr>
          <w:rFonts w:cs="Times New Roman"/>
          <w:noProof/>
        </w:rPr>
        <w:t>)</w:t>
      </w:r>
      <w:r w:rsidR="00175894" w:rsidRPr="00175894">
        <w:rPr>
          <w:rFonts w:cs="Times New Roman"/>
        </w:rPr>
        <w:fldChar w:fldCharType="end"/>
      </w:r>
      <w:r w:rsidR="00175894" w:rsidRPr="00175894">
        <w:rPr>
          <w:rFonts w:cs="Times New Roman"/>
        </w:rPr>
        <w:t xml:space="preserve"> and the Single Word Reading Test (SWRT) published within the York Assessment of Reading Comprehension </w:t>
      </w:r>
      <w:r w:rsidR="00175894" w:rsidRPr="00175894">
        <w:rPr>
          <w:rFonts w:cs="Times New Roman"/>
        </w:rPr>
        <w:fldChar w:fldCharType="begin"/>
      </w:r>
      <w:r w:rsidR="00175894" w:rsidRPr="00175894">
        <w:rPr>
          <w:rFonts w:cs="Times New Roman"/>
        </w:rPr>
        <w:instrText xml:space="preserve"> ADDIN EN.CITE &lt;EndNote&gt;&lt;Cite&gt;&lt;Author&gt;Stothard&lt;/Author&gt;&lt;Year&gt;2010&lt;/Year&gt;&lt;RecNum&gt;611&lt;/RecNum&gt;&lt;DisplayText&gt;(Stothard, Hulme, Clarke, Barnby, &amp;amp; Snowling, 2010)&lt;/DisplayText&gt;&lt;record&gt;&lt;rec-number&gt;611&lt;/rec-number&gt;&lt;foreign-keys&gt;&lt;key app="EN" db-id="f5f5w9xroatev4exw9qx22r0pvewx925vfee" timestamp="0"&gt;611&lt;/key&gt;&lt;key app="ENWeb" db-id="T5fG8grtqhYAACoohPw"&gt;575&lt;/key&gt;&lt;/foreign-keys&gt;&lt;ref-type name="Book"&gt;6&lt;/ref-type&gt;&lt;contributors&gt;&lt;authors&gt;&lt;author&gt;Stothard, SE&lt;/author&gt;&lt;author&gt;Hulme, C&lt;/author&gt;&lt;author&gt;Clarke, Paula J&lt;/author&gt;&lt;author&gt;Barnby, P&lt;/author&gt;&lt;author&gt;Snowling, M&lt;/author&gt;&lt;/authors&gt;&lt;/contributors&gt;&lt;titles&gt;&lt;title&gt;The York Assessment of Reading for Comprehension (YARC): Passage Reading Secondary&lt;/title&gt;&lt;/titles&gt;&lt;dates&gt;&lt;year&gt;2010&lt;/year&gt;&lt;/dates&gt;&lt;pub-location&gt;London&lt;/pub-location&gt;&lt;publisher&gt;GL Assessment&lt;/publisher&gt;&lt;urls&gt;&lt;/urls&gt;&lt;/record&gt;&lt;/Cite&gt;&lt;/EndNote&gt;</w:instrText>
      </w:r>
      <w:r w:rsidR="00175894" w:rsidRPr="00175894">
        <w:rPr>
          <w:rFonts w:cs="Times New Roman"/>
        </w:rPr>
        <w:fldChar w:fldCharType="separate"/>
      </w:r>
      <w:r w:rsidR="00175894" w:rsidRPr="00175894">
        <w:rPr>
          <w:rFonts w:cs="Times New Roman"/>
          <w:noProof/>
        </w:rPr>
        <w:t>(</w:t>
      </w:r>
      <w:r w:rsidR="00175894" w:rsidRPr="00175894">
        <w:rPr>
          <w:rFonts w:cs="Times New Roman"/>
          <w:noProof/>
        </w:rPr>
        <w:t>Stothard, Hulme, Clarke, Barnby, &amp; Snowling, 2010</w:t>
      </w:r>
      <w:r w:rsidR="00175894" w:rsidRPr="00175894">
        <w:rPr>
          <w:rFonts w:cs="Times New Roman"/>
          <w:noProof/>
        </w:rPr>
        <w:t>)</w:t>
      </w:r>
      <w:r w:rsidR="00175894" w:rsidRPr="00175894">
        <w:rPr>
          <w:rFonts w:cs="Times New Roman"/>
        </w:rPr>
        <w:fldChar w:fldCharType="end"/>
      </w:r>
      <w:r w:rsidR="00175894">
        <w:rPr>
          <w:rFonts w:ascii="Times New Roman" w:hAnsi="Times New Roman" w:cs="Times New Roman"/>
          <w:lang w:eastAsia="en-GB"/>
        </w:rPr>
        <w:t>.</w:t>
      </w:r>
    </w:p>
    <w:p w:rsidR="00175894" w:rsidRDefault="00175894" w:rsidP="00175894">
      <w:pPr>
        <w:spacing w:after="0"/>
        <w:rPr>
          <w:rFonts w:ascii="Times New Roman" w:hAnsi="Times New Roman" w:cs="Times New Roman"/>
          <w:lang w:eastAsia="en-GB"/>
        </w:rPr>
      </w:pPr>
    </w:p>
    <w:p w:rsidR="008C5A20" w:rsidRDefault="008C5A20" w:rsidP="00175894">
      <w:pPr>
        <w:spacing w:after="0"/>
        <w:rPr>
          <w:rFonts w:cs="Times New Roman"/>
        </w:rPr>
      </w:pPr>
      <w:r>
        <w:rPr>
          <w:rFonts w:cs="Times New Roman"/>
        </w:rPr>
        <w:t xml:space="preserve">Reading comprehension: </w:t>
      </w:r>
      <w:r>
        <w:rPr>
          <w:rFonts w:cs="Times New Roman"/>
        </w:rPr>
        <w:t xml:space="preserve">four passages from the secondary version of the York Assessment of Reading for Comprehension </w:t>
      </w:r>
      <w:r>
        <w:rPr>
          <w:rFonts w:cs="Times New Roman"/>
        </w:rPr>
        <w:fldChar w:fldCharType="begin"/>
      </w:r>
      <w:r w:rsidR="00175894">
        <w:rPr>
          <w:rFonts w:cs="Times New Roman"/>
        </w:rPr>
        <w:instrText xml:space="preserve"> ADDIN EN.CITE &lt;EndNote&gt;&lt;Cite&gt;&lt;Author&gt;Stothard&lt;/Author&gt;&lt;Year&gt;2010&lt;/Year&gt;&lt;RecNum&gt;611&lt;/RecNum&gt;&lt;Prefix&gt;YARC`; &lt;/Prefix&gt;&lt;DisplayText&gt;(YARC; Stothard et al., 2010)&lt;/DisplayText&gt;&lt;record&gt;&lt;rec-number&gt;611&lt;/rec-number&gt;&lt;foreign-keys&gt;&lt;key app="EN" db-id="f5f5w9xroatev4exw9qx22r0pvewx925vfee" timestamp="0"&gt;611&lt;/key&gt;&lt;key app="ENWeb" db-id="T5fG8grtqhYAACoohPw"&gt;575&lt;/key&gt;&lt;/foreign-keys&gt;&lt;ref-type name="Book"&gt;6&lt;/ref-type&gt;&lt;contributors&gt;&lt;authors&gt;&lt;author&gt;Stothard, SE&lt;/author&gt;&lt;author&gt;Hulme, C&lt;/author&gt;&lt;author&gt;Clarke, Paula J&lt;/author&gt;&lt;author&gt;Barnby, P&lt;/author&gt;&lt;author&gt;Snowling, M&lt;/author&gt;&lt;/authors&gt;&lt;/contributors&gt;&lt;titles&gt;&lt;title&gt;The York Assessment of Reading for Comprehension (YARC): Passage Reading Secondary&lt;/title&gt;&lt;/titles&gt;&lt;dates&gt;&lt;year&gt;2010&lt;/year&gt;&lt;/dates&gt;&lt;pub-location&gt;London&lt;/pub-location&gt;&lt;publisher&gt;GL Assessment&lt;/publisher&gt;&lt;urls&gt;&lt;/urls&gt;&lt;/record&gt;&lt;/Cite&gt;&lt;/EndNote&gt;</w:instrText>
      </w:r>
      <w:r>
        <w:rPr>
          <w:rFonts w:cs="Times New Roman"/>
        </w:rPr>
        <w:fldChar w:fldCharType="separate"/>
      </w:r>
      <w:r w:rsidR="00175894">
        <w:rPr>
          <w:rFonts w:cs="Times New Roman"/>
          <w:noProof/>
        </w:rPr>
        <w:t>(YARC; Stothard et al., 2010)</w:t>
      </w:r>
      <w:r>
        <w:rPr>
          <w:rFonts w:cs="Times New Roman"/>
        </w:rPr>
        <w:fldChar w:fldCharType="end"/>
      </w:r>
      <w:r w:rsidR="00175894">
        <w:rPr>
          <w:rFonts w:cs="Times New Roman"/>
        </w:rPr>
        <w:t>.</w:t>
      </w:r>
    </w:p>
    <w:p w:rsidR="00175894" w:rsidRPr="00175894" w:rsidRDefault="00175894" w:rsidP="00175894">
      <w:pPr>
        <w:spacing w:after="0"/>
        <w:rPr>
          <w:rFonts w:ascii="Times New Roman" w:hAnsi="Times New Roman" w:cs="Times New Roman"/>
          <w:lang w:eastAsia="en-GB"/>
        </w:rPr>
      </w:pPr>
    </w:p>
    <w:p w:rsidR="008C5A20" w:rsidRDefault="008C5A20" w:rsidP="00175894">
      <w:pPr>
        <w:spacing w:after="0"/>
        <w:rPr>
          <w:rFonts w:cs="Times New Roman"/>
        </w:rPr>
      </w:pPr>
      <w:r>
        <w:rPr>
          <w:rFonts w:cs="Times New Roman"/>
        </w:rPr>
        <w:t xml:space="preserve">Nonverbal reasoning: </w:t>
      </w:r>
      <w:r>
        <w:rPr>
          <w:rFonts w:cs="Times New Roman"/>
        </w:rPr>
        <w:t xml:space="preserve">the Matrix Reasoning subtest of the </w:t>
      </w:r>
      <w:r>
        <w:rPr>
          <w:rFonts w:cs="Times New Roman"/>
        </w:rPr>
        <w:t>WASI-II</w:t>
      </w:r>
      <w:r w:rsidRPr="008C5A20">
        <w:rPr>
          <w:rFonts w:cs="Times New Roman"/>
        </w:rPr>
        <w:t xml:space="preserve"> </w:t>
      </w:r>
      <w:r>
        <w:rPr>
          <w:rFonts w:cs="Times New Roman"/>
        </w:rPr>
        <w:fldChar w:fldCharType="begin"/>
      </w:r>
      <w:r>
        <w:rPr>
          <w:rFonts w:cs="Times New Roman"/>
        </w:rPr>
        <w:instrText xml:space="preserve"> ADDIN EN.CITE &lt;EndNote&gt;&lt;Cite&gt;&lt;Author&gt;Wechsler&lt;/Author&gt;&lt;Year&gt;2011&lt;/Year&gt;&lt;RecNum&gt;640&lt;/RecNum&gt;&lt;DisplayText&gt;(Wechsler, 2011)&lt;/DisplayText&gt;&lt;record&gt;&lt;rec-number&gt;640&lt;/rec-number&gt;&lt;foreign-keys&gt;&lt;key app="EN" db-id="f5f5w9xroatev4exw9qx22r0pvewx925vfee" timestamp="1347034050"&gt;640&lt;/key&gt;&lt;/foreign-keys&gt;&lt;ref-type name="Book"&gt;6&lt;/ref-type&gt;&lt;contributors&gt;&lt;authors&gt;&lt;author&gt;Wechsler, D&lt;/author&gt;&lt;/authors&gt;&lt;/contributors&gt;&lt;titles&gt;&lt;title&gt;Wechsler Abbreviated Scale of Intelligence - Second Edition (WASI-II)&lt;/title&gt;&lt;/titles&gt;&lt;dates&gt;&lt;year&gt;2011&lt;/year&gt;&lt;/dates&gt;&lt;pub-location&gt;San Antonio, TX &lt;/pub-location&gt;&lt;publisher&gt;Pearson&lt;/publisher&gt;&lt;urls&gt;&lt;/urls&gt;&lt;/record&gt;&lt;/Cite&gt;&lt;/EndNote&gt;</w:instrText>
      </w:r>
      <w:r>
        <w:rPr>
          <w:rFonts w:cs="Times New Roman"/>
        </w:rPr>
        <w:fldChar w:fldCharType="separate"/>
      </w:r>
      <w:r>
        <w:rPr>
          <w:rFonts w:cs="Times New Roman"/>
          <w:noProof/>
        </w:rPr>
        <w:t>(Wechsler, 2011)</w:t>
      </w:r>
      <w:r>
        <w:rPr>
          <w:rFonts w:cs="Times New Roman"/>
        </w:rPr>
        <w:fldChar w:fldCharType="end"/>
      </w:r>
      <w:r>
        <w:rPr>
          <w:rFonts w:cs="Times New Roman"/>
        </w:rPr>
        <w:t>.</w:t>
      </w:r>
    </w:p>
    <w:p w:rsidR="00175894" w:rsidRDefault="00175894" w:rsidP="00175894">
      <w:pPr>
        <w:spacing w:after="0"/>
        <w:rPr>
          <w:rFonts w:cs="Times New Roman"/>
        </w:rPr>
      </w:pPr>
    </w:p>
    <w:p w:rsidR="00175894" w:rsidRDefault="00175894" w:rsidP="00175894">
      <w:pPr>
        <w:spacing w:after="0"/>
        <w:rPr>
          <w:rFonts w:cs="Times New Roman"/>
        </w:rPr>
      </w:pPr>
      <w:r>
        <w:rPr>
          <w:rFonts w:cs="Times New Roman"/>
        </w:rPr>
        <w:t>Schools provided information about gender, date of birth (translated into birth year to protect child identities), free school meals eligibility, special educational needs and English as an additional language.</w:t>
      </w:r>
    </w:p>
    <w:p w:rsidR="00175894" w:rsidRDefault="00175894" w:rsidP="00175894">
      <w:pPr>
        <w:spacing w:after="0"/>
        <w:rPr>
          <w:rFonts w:cs="Times New Roman"/>
        </w:rPr>
      </w:pPr>
    </w:p>
    <w:p w:rsidR="00175894" w:rsidRDefault="00175894" w:rsidP="00175894">
      <w:pPr>
        <w:spacing w:after="0"/>
        <w:rPr>
          <w:rFonts w:cs="Times New Roman"/>
          <w:b/>
        </w:rPr>
      </w:pPr>
      <w:r>
        <w:rPr>
          <w:rFonts w:cs="Times New Roman"/>
          <w:b/>
        </w:rPr>
        <w:t>Experiment 1</w:t>
      </w:r>
    </w:p>
    <w:p w:rsidR="008F08B1" w:rsidRDefault="008F08B1" w:rsidP="00175894">
      <w:pPr>
        <w:spacing w:after="0"/>
        <w:rPr>
          <w:rFonts w:cs="Times New Roman"/>
        </w:rPr>
      </w:pPr>
    </w:p>
    <w:p w:rsidR="001D191D" w:rsidRDefault="008F08B1" w:rsidP="00175894">
      <w:pPr>
        <w:spacing w:after="0"/>
        <w:rPr>
          <w:rFonts w:cs="Times New Roman"/>
          <w:b/>
        </w:rPr>
      </w:pPr>
      <w:r>
        <w:rPr>
          <w:rFonts w:cs="Times New Roman"/>
        </w:rPr>
        <w:t>Participants took part in an experiment in which they learned words.</w:t>
      </w:r>
    </w:p>
    <w:p w:rsidR="008F08B1" w:rsidRDefault="008F08B1" w:rsidP="008F08B1">
      <w:pPr>
        <w:spacing w:after="0"/>
        <w:rPr>
          <w:rFonts w:cs="Times New Roman"/>
        </w:rPr>
      </w:pPr>
    </w:p>
    <w:p w:rsidR="008F08B1" w:rsidRDefault="008F08B1" w:rsidP="008F08B1">
      <w:pPr>
        <w:spacing w:after="0"/>
        <w:rPr>
          <w:rFonts w:cs="Times New Roman"/>
        </w:rPr>
      </w:pPr>
      <w:r>
        <w:rPr>
          <w:rFonts w:cs="Times New Roman"/>
        </w:rPr>
        <w:t xml:space="preserve">Participants: </w:t>
      </w:r>
      <w:r>
        <w:rPr>
          <w:rFonts w:cs="Times New Roman"/>
        </w:rPr>
        <w:t>Seventy-four children took part: 33 formed an older age group and 41 formed a younger age group. Participants in the older age group also took part in the longitudinal study described above. Older participants completed Time 1 only. Younger participants were invited to take part in Time 2.</w:t>
      </w:r>
    </w:p>
    <w:p w:rsidR="008F08B1" w:rsidRDefault="008F08B1" w:rsidP="008F08B1">
      <w:pPr>
        <w:spacing w:after="0"/>
        <w:rPr>
          <w:rFonts w:cs="Times New Roman"/>
        </w:rPr>
      </w:pPr>
    </w:p>
    <w:p w:rsidR="001D191D" w:rsidRDefault="008F08B1" w:rsidP="00175894">
      <w:pPr>
        <w:spacing w:after="0"/>
        <w:rPr>
          <w:rFonts w:cs="Times New Roman"/>
        </w:rPr>
      </w:pPr>
      <w:r>
        <w:rPr>
          <w:rFonts w:cs="Times New Roman"/>
        </w:rPr>
        <w:t>Procedure: At Time 1, participants</w:t>
      </w:r>
      <w:r w:rsidR="001D191D">
        <w:rPr>
          <w:rFonts w:cs="Times New Roman"/>
        </w:rPr>
        <w:t xml:space="preserve"> were taught spoken forms and meanings for each word. The presence of orthography during teaching was manipulated within participants: h</w:t>
      </w:r>
      <w:r w:rsidR="001D191D">
        <w:rPr>
          <w:rFonts w:cs="Times New Roman"/>
        </w:rPr>
        <w:t xml:space="preserve">alf of the words appeared with orthography present and half without orthography. </w:t>
      </w:r>
      <w:r w:rsidR="001D191D">
        <w:rPr>
          <w:rFonts w:cs="Times New Roman"/>
        </w:rPr>
        <w:t>Instructions was manipulated between participants: i</w:t>
      </w:r>
      <w:r w:rsidR="001D191D">
        <w:rPr>
          <w:rFonts w:cs="Times New Roman"/>
        </w:rPr>
        <w:t>nstructions were used to alert half of the children to the presence of orthography; for remaining children the presence of orthography was incidental.</w:t>
      </w:r>
      <w:r w:rsidR="001D191D">
        <w:rPr>
          <w:rFonts w:cs="Times New Roman"/>
        </w:rPr>
        <w:t xml:space="preserve"> </w:t>
      </w:r>
      <w:r w:rsidR="001D191D">
        <w:rPr>
          <w:rFonts w:cs="Times New Roman"/>
        </w:rPr>
        <w:t>Post-tests indexed newly learned knowledge of word meanings and orthographic forms one week after training.</w:t>
      </w:r>
      <w:r w:rsidR="001D191D">
        <w:rPr>
          <w:rFonts w:cs="Times New Roman"/>
        </w:rPr>
        <w:t xml:space="preserve"> </w:t>
      </w:r>
      <w:r w:rsidR="001D191D">
        <w:rPr>
          <w:rFonts w:cs="Times New Roman"/>
        </w:rPr>
        <w:t>A subsample repeated t</w:t>
      </w:r>
      <w:r w:rsidR="001D191D">
        <w:rPr>
          <w:rFonts w:cs="Times New Roman"/>
        </w:rPr>
        <w:t>he post-tests nine months later at Time 2.</w:t>
      </w:r>
    </w:p>
    <w:p w:rsidR="003C20DA" w:rsidRPr="001D191D" w:rsidRDefault="003C20DA" w:rsidP="003C20DA">
      <w:pPr>
        <w:spacing w:after="0"/>
        <w:rPr>
          <w:rFonts w:cs="Times New Roman"/>
        </w:rPr>
      </w:pPr>
      <w:r>
        <w:rPr>
          <w:rFonts w:cs="Times New Roman"/>
        </w:rPr>
        <w:lastRenderedPageBreak/>
        <w:t>Experimental stimuli</w:t>
      </w:r>
      <w:r>
        <w:t xml:space="preserve"> (words and definitions learned):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3319"/>
      </w:tblGrid>
      <w:tr w:rsidR="003C20DA" w:rsidRPr="00540338" w:rsidTr="00F66655">
        <w:trPr>
          <w:tblHeader/>
        </w:trPr>
        <w:tc>
          <w:tcPr>
            <w:tcW w:w="1501" w:type="dxa"/>
            <w:tcBorders>
              <w:top w:val="single" w:sz="4" w:space="0" w:color="auto"/>
              <w:left w:val="nil"/>
              <w:bottom w:val="single" w:sz="4" w:space="0" w:color="auto"/>
              <w:right w:val="nil"/>
            </w:tcBorders>
            <w:hideMark/>
          </w:tcPr>
          <w:p w:rsidR="003C20DA" w:rsidRPr="00540338" w:rsidRDefault="003C20DA" w:rsidP="00F66655">
            <w:pPr>
              <w:spacing w:line="259" w:lineRule="auto"/>
              <w:rPr>
                <w:i/>
              </w:rPr>
            </w:pPr>
            <w:r w:rsidRPr="00540338">
              <w:rPr>
                <w:i/>
              </w:rPr>
              <w:t>Stimuli</w:t>
            </w:r>
          </w:p>
        </w:tc>
        <w:tc>
          <w:tcPr>
            <w:tcW w:w="3319" w:type="dxa"/>
            <w:tcBorders>
              <w:top w:val="single" w:sz="4" w:space="0" w:color="auto"/>
              <w:left w:val="nil"/>
              <w:bottom w:val="single" w:sz="4" w:space="0" w:color="auto"/>
              <w:right w:val="nil"/>
            </w:tcBorders>
            <w:hideMark/>
          </w:tcPr>
          <w:p w:rsidR="003C20DA" w:rsidRPr="00540338" w:rsidRDefault="003C20DA" w:rsidP="00F66655">
            <w:pPr>
              <w:spacing w:line="259" w:lineRule="auto"/>
              <w:rPr>
                <w:i/>
              </w:rPr>
            </w:pPr>
            <w:r w:rsidRPr="00540338">
              <w:rPr>
                <w:i/>
              </w:rPr>
              <w:t>Definitions</w:t>
            </w:r>
          </w:p>
        </w:tc>
      </w:tr>
      <w:tr w:rsidR="003C20DA" w:rsidRPr="00540338" w:rsidTr="00F66655">
        <w:tc>
          <w:tcPr>
            <w:tcW w:w="1501" w:type="dxa"/>
            <w:tcBorders>
              <w:top w:val="single" w:sz="4" w:space="0" w:color="auto"/>
              <w:left w:val="nil"/>
              <w:bottom w:val="nil"/>
              <w:right w:val="nil"/>
            </w:tcBorders>
            <w:hideMark/>
          </w:tcPr>
          <w:p w:rsidR="003C20DA" w:rsidRPr="00540338" w:rsidRDefault="003C20DA" w:rsidP="00F66655">
            <w:pPr>
              <w:spacing w:line="259" w:lineRule="auto"/>
            </w:pPr>
            <w:r w:rsidRPr="00540338">
              <w:t>accolade</w:t>
            </w:r>
          </w:p>
        </w:tc>
        <w:tc>
          <w:tcPr>
            <w:tcW w:w="3319" w:type="dxa"/>
            <w:tcBorders>
              <w:top w:val="single" w:sz="4" w:space="0" w:color="auto"/>
              <w:left w:val="nil"/>
              <w:bottom w:val="nil"/>
              <w:right w:val="nil"/>
            </w:tcBorders>
            <w:hideMark/>
          </w:tcPr>
          <w:p w:rsidR="003C20DA" w:rsidRPr="00540338" w:rsidRDefault="003C20DA" w:rsidP="00F66655">
            <w:pPr>
              <w:spacing w:line="259" w:lineRule="auto"/>
            </w:pPr>
            <w:r w:rsidRPr="00540338">
              <w:t>a strong compliment</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cataclysm</w:t>
            </w:r>
          </w:p>
        </w:tc>
        <w:tc>
          <w:tcPr>
            <w:tcW w:w="3319" w:type="dxa"/>
            <w:tcBorders>
              <w:top w:val="nil"/>
              <w:left w:val="nil"/>
              <w:bottom w:val="nil"/>
              <w:right w:val="nil"/>
            </w:tcBorders>
            <w:hideMark/>
          </w:tcPr>
          <w:p w:rsidR="003C20DA" w:rsidRPr="00540338" w:rsidRDefault="003C20DA" w:rsidP="00F66655">
            <w:pPr>
              <w:spacing w:line="259" w:lineRule="auto"/>
            </w:pPr>
            <w:r w:rsidRPr="00540338">
              <w:t>a violent event</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contrition</w:t>
            </w:r>
          </w:p>
        </w:tc>
        <w:tc>
          <w:tcPr>
            <w:tcW w:w="3319" w:type="dxa"/>
            <w:tcBorders>
              <w:top w:val="nil"/>
              <w:left w:val="nil"/>
              <w:bottom w:val="nil"/>
              <w:right w:val="nil"/>
            </w:tcBorders>
            <w:hideMark/>
          </w:tcPr>
          <w:p w:rsidR="003C20DA" w:rsidRPr="00540338" w:rsidRDefault="003C20DA" w:rsidP="00F66655">
            <w:pPr>
              <w:spacing w:line="259" w:lineRule="auto"/>
            </w:pPr>
            <w:r w:rsidRPr="00540338">
              <w:t>a sorry feeling</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debacle</w:t>
            </w:r>
          </w:p>
        </w:tc>
        <w:tc>
          <w:tcPr>
            <w:tcW w:w="3319" w:type="dxa"/>
            <w:tcBorders>
              <w:top w:val="nil"/>
              <w:left w:val="nil"/>
              <w:bottom w:val="nil"/>
              <w:right w:val="nil"/>
            </w:tcBorders>
            <w:hideMark/>
          </w:tcPr>
          <w:p w:rsidR="003C20DA" w:rsidRPr="00540338" w:rsidRDefault="003C20DA" w:rsidP="00F66655">
            <w:pPr>
              <w:spacing w:line="259" w:lineRule="auto"/>
            </w:pPr>
            <w:r w:rsidRPr="00540338">
              <w:t>a sudden failure</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dormancy</w:t>
            </w:r>
          </w:p>
        </w:tc>
        <w:tc>
          <w:tcPr>
            <w:tcW w:w="3319" w:type="dxa"/>
            <w:tcBorders>
              <w:top w:val="nil"/>
              <w:left w:val="nil"/>
              <w:bottom w:val="nil"/>
              <w:right w:val="nil"/>
            </w:tcBorders>
            <w:hideMark/>
          </w:tcPr>
          <w:p w:rsidR="003C20DA" w:rsidRPr="00540338" w:rsidRDefault="003C20DA" w:rsidP="00F66655">
            <w:pPr>
              <w:spacing w:line="259" w:lineRule="auto"/>
            </w:pPr>
            <w:r w:rsidRPr="00540338">
              <w:t>a sleepy state</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epigram</w:t>
            </w:r>
          </w:p>
        </w:tc>
        <w:tc>
          <w:tcPr>
            <w:tcW w:w="3319" w:type="dxa"/>
            <w:tcBorders>
              <w:top w:val="nil"/>
              <w:left w:val="nil"/>
              <w:bottom w:val="nil"/>
              <w:right w:val="nil"/>
            </w:tcBorders>
            <w:hideMark/>
          </w:tcPr>
          <w:p w:rsidR="003C20DA" w:rsidRPr="00540338" w:rsidRDefault="003C20DA" w:rsidP="00F66655">
            <w:pPr>
              <w:spacing w:line="259" w:lineRule="auto"/>
            </w:pPr>
            <w:r w:rsidRPr="00540338">
              <w:t>a witty remark</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 xml:space="preserve">foible </w:t>
            </w:r>
          </w:p>
        </w:tc>
        <w:tc>
          <w:tcPr>
            <w:tcW w:w="3319" w:type="dxa"/>
            <w:tcBorders>
              <w:top w:val="nil"/>
              <w:left w:val="nil"/>
              <w:bottom w:val="nil"/>
              <w:right w:val="nil"/>
            </w:tcBorders>
            <w:hideMark/>
          </w:tcPr>
          <w:p w:rsidR="003C20DA" w:rsidRPr="00540338" w:rsidRDefault="003C20DA" w:rsidP="00F66655">
            <w:pPr>
              <w:spacing w:line="259" w:lineRule="auto"/>
            </w:pPr>
            <w:r w:rsidRPr="00540338">
              <w:t>a personality weakness</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fracas</w:t>
            </w:r>
          </w:p>
        </w:tc>
        <w:tc>
          <w:tcPr>
            <w:tcW w:w="3319" w:type="dxa"/>
            <w:tcBorders>
              <w:top w:val="nil"/>
              <w:left w:val="nil"/>
              <w:bottom w:val="nil"/>
              <w:right w:val="nil"/>
            </w:tcBorders>
            <w:hideMark/>
          </w:tcPr>
          <w:p w:rsidR="003C20DA" w:rsidRPr="00540338" w:rsidRDefault="003C20DA" w:rsidP="00F66655">
            <w:pPr>
              <w:spacing w:line="259" w:lineRule="auto"/>
            </w:pPr>
            <w:r w:rsidRPr="00540338">
              <w:t>a noisy argument</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lassitude</w:t>
            </w:r>
          </w:p>
        </w:tc>
        <w:tc>
          <w:tcPr>
            <w:tcW w:w="3319" w:type="dxa"/>
            <w:tcBorders>
              <w:top w:val="nil"/>
              <w:left w:val="nil"/>
              <w:bottom w:val="nil"/>
              <w:right w:val="nil"/>
            </w:tcBorders>
            <w:hideMark/>
          </w:tcPr>
          <w:p w:rsidR="003C20DA" w:rsidRPr="00540338" w:rsidRDefault="003C20DA" w:rsidP="00F66655">
            <w:pPr>
              <w:spacing w:line="259" w:lineRule="auto"/>
            </w:pPr>
            <w:r w:rsidRPr="00540338">
              <w:t>a tired mood</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 xml:space="preserve">luminary </w:t>
            </w:r>
          </w:p>
        </w:tc>
        <w:tc>
          <w:tcPr>
            <w:tcW w:w="3319" w:type="dxa"/>
            <w:tcBorders>
              <w:top w:val="nil"/>
              <w:left w:val="nil"/>
              <w:bottom w:val="nil"/>
              <w:right w:val="nil"/>
            </w:tcBorders>
            <w:hideMark/>
          </w:tcPr>
          <w:p w:rsidR="003C20DA" w:rsidRPr="00540338" w:rsidRDefault="003C20DA" w:rsidP="00F66655">
            <w:pPr>
              <w:spacing w:line="259" w:lineRule="auto"/>
            </w:pPr>
            <w:r w:rsidRPr="00540338">
              <w:t>an inspirational person</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nonentity</w:t>
            </w:r>
          </w:p>
        </w:tc>
        <w:tc>
          <w:tcPr>
            <w:tcW w:w="3319" w:type="dxa"/>
            <w:tcBorders>
              <w:top w:val="nil"/>
              <w:left w:val="nil"/>
              <w:bottom w:val="nil"/>
              <w:right w:val="nil"/>
            </w:tcBorders>
            <w:hideMark/>
          </w:tcPr>
          <w:p w:rsidR="003C20DA" w:rsidRPr="00540338" w:rsidRDefault="003C20DA" w:rsidP="00F66655">
            <w:pPr>
              <w:spacing w:line="259" w:lineRule="auto"/>
            </w:pPr>
            <w:r w:rsidRPr="00540338">
              <w:t>an unimportant character</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platitude</w:t>
            </w:r>
          </w:p>
        </w:tc>
        <w:tc>
          <w:tcPr>
            <w:tcW w:w="3319" w:type="dxa"/>
            <w:tcBorders>
              <w:top w:val="nil"/>
              <w:left w:val="nil"/>
              <w:bottom w:val="nil"/>
              <w:right w:val="nil"/>
            </w:tcBorders>
            <w:hideMark/>
          </w:tcPr>
          <w:p w:rsidR="003C20DA" w:rsidRPr="00540338" w:rsidRDefault="003C20DA" w:rsidP="00F66655">
            <w:pPr>
              <w:spacing w:line="259" w:lineRule="auto"/>
            </w:pPr>
            <w:r w:rsidRPr="00540338">
              <w:t xml:space="preserve">a meaningless comment </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propensity</w:t>
            </w:r>
          </w:p>
        </w:tc>
        <w:tc>
          <w:tcPr>
            <w:tcW w:w="3319" w:type="dxa"/>
            <w:tcBorders>
              <w:top w:val="nil"/>
              <w:left w:val="nil"/>
              <w:bottom w:val="nil"/>
              <w:right w:val="nil"/>
            </w:tcBorders>
            <w:hideMark/>
          </w:tcPr>
          <w:p w:rsidR="003C20DA" w:rsidRPr="00540338" w:rsidRDefault="003C20DA" w:rsidP="00F66655">
            <w:pPr>
              <w:spacing w:line="259" w:lineRule="auto"/>
            </w:pPr>
            <w:r w:rsidRPr="00540338">
              <w:t xml:space="preserve">a predictable behaviour </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raconteur</w:t>
            </w:r>
          </w:p>
        </w:tc>
        <w:tc>
          <w:tcPr>
            <w:tcW w:w="3319" w:type="dxa"/>
            <w:tcBorders>
              <w:top w:val="nil"/>
              <w:left w:val="nil"/>
              <w:bottom w:val="nil"/>
              <w:right w:val="nil"/>
            </w:tcBorders>
            <w:hideMark/>
          </w:tcPr>
          <w:p w:rsidR="003C20DA" w:rsidRPr="00540338" w:rsidRDefault="003C20DA" w:rsidP="00F66655">
            <w:pPr>
              <w:spacing w:line="259" w:lineRule="auto"/>
            </w:pPr>
            <w:r w:rsidRPr="00540338">
              <w:t>a good storyteller</w:t>
            </w:r>
          </w:p>
        </w:tc>
      </w:tr>
      <w:tr w:rsidR="003C20DA" w:rsidRPr="00540338" w:rsidTr="00F66655">
        <w:tc>
          <w:tcPr>
            <w:tcW w:w="1501" w:type="dxa"/>
            <w:tcBorders>
              <w:top w:val="nil"/>
              <w:left w:val="nil"/>
              <w:bottom w:val="nil"/>
              <w:right w:val="nil"/>
            </w:tcBorders>
            <w:hideMark/>
          </w:tcPr>
          <w:p w:rsidR="003C20DA" w:rsidRPr="00540338" w:rsidRDefault="003C20DA" w:rsidP="00F66655">
            <w:pPr>
              <w:spacing w:line="259" w:lineRule="auto"/>
            </w:pPr>
            <w:r w:rsidRPr="00540338">
              <w:t>syncopation</w:t>
            </w:r>
          </w:p>
        </w:tc>
        <w:tc>
          <w:tcPr>
            <w:tcW w:w="3319" w:type="dxa"/>
            <w:tcBorders>
              <w:top w:val="nil"/>
              <w:left w:val="nil"/>
              <w:bottom w:val="nil"/>
              <w:right w:val="nil"/>
            </w:tcBorders>
            <w:hideMark/>
          </w:tcPr>
          <w:p w:rsidR="003C20DA" w:rsidRPr="00540338" w:rsidRDefault="003C20DA" w:rsidP="00F66655">
            <w:pPr>
              <w:spacing w:line="259" w:lineRule="auto"/>
            </w:pPr>
            <w:r w:rsidRPr="00540338">
              <w:t>a musical pattern</w:t>
            </w:r>
          </w:p>
        </w:tc>
      </w:tr>
      <w:tr w:rsidR="003C20DA" w:rsidRPr="00540338" w:rsidTr="00F66655">
        <w:tc>
          <w:tcPr>
            <w:tcW w:w="1501" w:type="dxa"/>
            <w:tcBorders>
              <w:top w:val="nil"/>
              <w:left w:val="nil"/>
              <w:bottom w:val="single" w:sz="4" w:space="0" w:color="auto"/>
              <w:right w:val="nil"/>
            </w:tcBorders>
            <w:hideMark/>
          </w:tcPr>
          <w:p w:rsidR="003C20DA" w:rsidRPr="00540338" w:rsidRDefault="003C20DA" w:rsidP="00F66655">
            <w:pPr>
              <w:spacing w:line="259" w:lineRule="auto"/>
            </w:pPr>
            <w:r w:rsidRPr="00540338">
              <w:t>veracity</w:t>
            </w:r>
          </w:p>
        </w:tc>
        <w:tc>
          <w:tcPr>
            <w:tcW w:w="3319" w:type="dxa"/>
            <w:tcBorders>
              <w:top w:val="nil"/>
              <w:left w:val="nil"/>
              <w:bottom w:val="single" w:sz="4" w:space="0" w:color="auto"/>
              <w:right w:val="nil"/>
            </w:tcBorders>
            <w:hideMark/>
          </w:tcPr>
          <w:p w:rsidR="003C20DA" w:rsidRPr="00540338" w:rsidRDefault="003C20DA" w:rsidP="00F66655">
            <w:pPr>
              <w:spacing w:line="259" w:lineRule="auto"/>
            </w:pPr>
            <w:r w:rsidRPr="00540338">
              <w:t>a truthful situation</w:t>
            </w:r>
          </w:p>
        </w:tc>
      </w:tr>
    </w:tbl>
    <w:p w:rsidR="003C20DA" w:rsidRDefault="003C20DA" w:rsidP="00175894">
      <w:pPr>
        <w:spacing w:after="0"/>
        <w:rPr>
          <w:rFonts w:cs="Times New Roman"/>
        </w:rPr>
      </w:pPr>
    </w:p>
    <w:p w:rsidR="001D191D" w:rsidRDefault="001D191D" w:rsidP="001D191D">
      <w:pPr>
        <w:spacing w:after="0"/>
      </w:pPr>
      <w:r>
        <w:t>Post-tests used to measure learning:</w:t>
      </w:r>
    </w:p>
    <w:p w:rsidR="001D191D" w:rsidRDefault="001D191D" w:rsidP="001D191D">
      <w:pPr>
        <w:pStyle w:val="ListParagraph"/>
        <w:numPr>
          <w:ilvl w:val="0"/>
          <w:numId w:val="1"/>
        </w:numPr>
      </w:pPr>
      <w:r>
        <w:t>Orthographic post-test (spelling), maximum score: 1 per word, 16 overall</w:t>
      </w:r>
    </w:p>
    <w:p w:rsidR="001D191D" w:rsidRDefault="001D191D" w:rsidP="001D191D">
      <w:pPr>
        <w:pStyle w:val="ListParagraph"/>
        <w:numPr>
          <w:ilvl w:val="0"/>
          <w:numId w:val="1"/>
        </w:numPr>
      </w:pPr>
      <w:r>
        <w:t>Semantic post-test (production only), maximum score: 2 per word, 32 overall</w:t>
      </w:r>
    </w:p>
    <w:p w:rsidR="001D191D" w:rsidRDefault="001D191D" w:rsidP="001D191D">
      <w:pPr>
        <w:pStyle w:val="ListParagraph"/>
        <w:numPr>
          <w:ilvl w:val="0"/>
          <w:numId w:val="1"/>
        </w:numPr>
      </w:pPr>
      <w:r>
        <w:t>Semantic post-test (recognition or production), maximum score: 1 per word, 16 overall</w:t>
      </w:r>
    </w:p>
    <w:p w:rsidR="001D191D" w:rsidRDefault="001D191D" w:rsidP="001D191D">
      <w:pPr>
        <w:spacing w:after="0"/>
      </w:pPr>
    </w:p>
    <w:p w:rsidR="00AE1865" w:rsidRDefault="00AE1865" w:rsidP="001D191D">
      <w:pPr>
        <w:spacing w:after="0"/>
        <w:rPr>
          <w:b/>
        </w:rPr>
      </w:pPr>
      <w:r>
        <w:rPr>
          <w:b/>
        </w:rPr>
        <w:t>Experiment 2</w:t>
      </w:r>
    </w:p>
    <w:p w:rsidR="00AE1865" w:rsidRDefault="00AE1865" w:rsidP="001D191D">
      <w:pPr>
        <w:spacing w:after="0"/>
        <w:rPr>
          <w:b/>
        </w:rPr>
      </w:pPr>
    </w:p>
    <w:p w:rsidR="008F08B1" w:rsidRDefault="00441D61" w:rsidP="001D191D">
      <w:pPr>
        <w:spacing w:after="0"/>
        <w:rPr>
          <w:rFonts w:cs="Times New Roman"/>
        </w:rPr>
      </w:pPr>
      <w:r>
        <w:rPr>
          <w:rFonts w:cs="Times New Roman"/>
        </w:rPr>
        <w:t>Participants took part in an experimen</w:t>
      </w:r>
      <w:r w:rsidR="00540338">
        <w:rPr>
          <w:rFonts w:cs="Times New Roman"/>
        </w:rPr>
        <w:t>t in which they learned novel words</w:t>
      </w:r>
      <w:r>
        <w:rPr>
          <w:rFonts w:cs="Times New Roman"/>
        </w:rPr>
        <w:t>.</w:t>
      </w:r>
      <w:r>
        <w:rPr>
          <w:rFonts w:cs="Times New Roman"/>
        </w:rPr>
        <w:t xml:space="preserve"> </w:t>
      </w:r>
    </w:p>
    <w:p w:rsidR="008F08B1" w:rsidRDefault="008F08B1" w:rsidP="001D191D">
      <w:pPr>
        <w:spacing w:after="0"/>
        <w:rPr>
          <w:rFonts w:cs="Times New Roman"/>
        </w:rPr>
      </w:pPr>
    </w:p>
    <w:p w:rsidR="00540338" w:rsidRDefault="008F08B1" w:rsidP="001D191D">
      <w:pPr>
        <w:spacing w:after="0"/>
      </w:pPr>
      <w:r>
        <w:rPr>
          <w:rFonts w:cs="Times New Roman"/>
        </w:rPr>
        <w:t xml:space="preserve">Participants: </w:t>
      </w:r>
      <w:r w:rsidR="00540338">
        <w:rPr>
          <w:rFonts w:cs="Times New Roman"/>
        </w:rPr>
        <w:t xml:space="preserve">Twenty-nine children took part. All also took part in the longitudinal study so background measures were taken from Phase 3 of the longitudinal study, which occurred approximately nine months earlier. Experiment 2 participants additionally completed two subtests from the </w:t>
      </w:r>
      <w:r w:rsidR="00540338">
        <w:t xml:space="preserve">Clinical Evaluation of Language Fundamentals – Fourth UK Edition </w:t>
      </w:r>
      <w:r w:rsidR="00540338">
        <w:fldChar w:fldCharType="begin"/>
      </w:r>
      <w:r w:rsidR="00540338">
        <w:instrText xml:space="preserve"> ADDIN EN.CITE &lt;EndNote&gt;&lt;Cite&gt;&lt;Author&gt;Semel&lt;/Author&gt;&lt;Year&gt;2006&lt;/Year&gt;&lt;RecNum&gt;483&lt;/RecNum&gt;&lt;Prefix&gt;CELF-4`; &lt;/Prefix&gt;&lt;DisplayText&gt;(CELF-4; Semel, Wiig, &amp;amp; Secord, 2006)&lt;/DisplayText&gt;&lt;record&gt;&lt;rec-number&gt;483&lt;/rec-number&gt;&lt;foreign-keys&gt;&lt;key app="EN" db-id="f5f5w9xroatev4exw9qx22r0pvewx925vfee" timestamp="0"&gt;483&lt;/key&gt;&lt;key app="ENWeb" db-id="T5fG8grtqhYAACoohPw"&gt;455&lt;/key&gt;&lt;/foreign-keys&gt;&lt;ref-type name="Book"&gt;6&lt;/ref-type&gt;&lt;contributors&gt;&lt;authors&gt;&lt;author&gt;Semel, E&lt;/author&gt;&lt;author&gt;Wiig, EH&lt;/author&gt;&lt;author&gt;Secord, WA&lt;/author&gt;&lt;/authors&gt;&lt;/contributors&gt;&lt;titles&gt;&lt;title&gt;Clinical Evaluation of Language Fundamentals - Fourth UK Edition (CELF-4 UK)&lt;/title&gt;&lt;/titles&gt;&lt;dates&gt;&lt;year&gt;2006&lt;/year&gt;&lt;/dates&gt;&lt;pub-location&gt;London&lt;/pub-location&gt;&lt;publisher&gt;Pearson Assessment&lt;/publisher&gt;&lt;urls&gt;&lt;/urls&gt;&lt;/record&gt;&lt;/Cite&gt;&lt;/EndNote&gt;</w:instrText>
      </w:r>
      <w:r w:rsidR="00540338">
        <w:fldChar w:fldCharType="separate"/>
      </w:r>
      <w:r w:rsidR="00540338">
        <w:rPr>
          <w:noProof/>
        </w:rPr>
        <w:t>(</w:t>
      </w:r>
      <w:r w:rsidR="00540338" w:rsidRPr="00540338">
        <w:rPr>
          <w:noProof/>
        </w:rPr>
        <w:t>CELF-4; Semel, Wiig, &amp; Secord, 2006</w:t>
      </w:r>
      <w:r w:rsidR="00540338">
        <w:rPr>
          <w:noProof/>
        </w:rPr>
        <w:t>)</w:t>
      </w:r>
      <w:r w:rsidR="00540338">
        <w:fldChar w:fldCharType="end"/>
      </w:r>
      <w:r w:rsidR="00540338">
        <w:t>.</w:t>
      </w:r>
    </w:p>
    <w:p w:rsidR="008F08B1" w:rsidRDefault="008F08B1" w:rsidP="001D191D">
      <w:pPr>
        <w:spacing w:after="0"/>
      </w:pPr>
    </w:p>
    <w:p w:rsidR="008F08B1" w:rsidRDefault="008F08B1" w:rsidP="008F08B1">
      <w:pPr>
        <w:spacing w:after="0"/>
        <w:rPr>
          <w:rFonts w:cs="Times New Roman"/>
        </w:rPr>
      </w:pPr>
      <w:r>
        <w:rPr>
          <w:rFonts w:cs="Times New Roman"/>
        </w:rPr>
        <w:t xml:space="preserve">Procedure: </w:t>
      </w:r>
      <w:r>
        <w:rPr>
          <w:rFonts w:cs="Times New Roman"/>
        </w:rPr>
        <w:t>Participants read nonfiction passages</w:t>
      </w:r>
      <w:r w:rsidR="00AA4D62">
        <w:rPr>
          <w:rFonts w:cs="Times New Roman"/>
        </w:rPr>
        <w:t xml:space="preserve"> on four top</w:t>
      </w:r>
      <w:r w:rsidR="0033351F">
        <w:rPr>
          <w:rFonts w:cs="Times New Roman"/>
        </w:rPr>
        <w:t>ics (brain, glaciers, pottery, T</w:t>
      </w:r>
      <w:r w:rsidR="00AA4D62">
        <w:rPr>
          <w:rFonts w:cs="Times New Roman"/>
        </w:rPr>
        <w:t>udors)</w:t>
      </w:r>
      <w:r>
        <w:rPr>
          <w:rFonts w:cs="Times New Roman"/>
        </w:rPr>
        <w:t>, which contained the novel words and provided cues to meaning. Prior to reading, each participant received pre-training for half of the words and no pre-training for the remaining words. For half of the participants pre-training focused on spoken forms only (phonology), for the other participants pre-training included spoken forms and meanings (phonology and semantics). Post-tests were administered at three points to index learning of spelling patterns and meanings. Post-</w:t>
      </w:r>
      <w:bookmarkStart w:id="0" w:name="_GoBack"/>
      <w:bookmarkEnd w:id="0"/>
      <w:r>
        <w:rPr>
          <w:rFonts w:cs="Times New Roman"/>
        </w:rPr>
        <w:t>test 1 was after pre-training and the first reading opportunity (Exposure 1), Post-test 2 was the next day, and Post-test 3 was after Exposure 2 (see figure below). At the end of the study participants received a crib sheet with the real spoken forms for the words.</w:t>
      </w:r>
    </w:p>
    <w:p w:rsidR="008F08B1" w:rsidRPr="00AE1865" w:rsidRDefault="008F08B1" w:rsidP="001D191D">
      <w:pPr>
        <w:spacing w:after="0"/>
      </w:pPr>
    </w:p>
    <w:p w:rsidR="008F08B1" w:rsidRDefault="008F08B1" w:rsidP="008F08B1">
      <w:pPr>
        <w:spacing w:after="0"/>
        <w:rPr>
          <w:rFonts w:cs="Times New Roman"/>
        </w:rPr>
      </w:pPr>
      <w:r>
        <w:rPr>
          <w:rFonts w:cs="Times New Roman"/>
        </w:rPr>
        <w:t>Overview of procedure:</w:t>
      </w:r>
    </w:p>
    <w:p w:rsidR="008F08B1" w:rsidRDefault="008F08B1" w:rsidP="008F08B1">
      <w:pPr>
        <w:spacing w:after="0"/>
        <w:rPr>
          <w:rFonts w:cs="Times New Roman"/>
        </w:rPr>
      </w:pPr>
      <w:r>
        <w:rPr>
          <w:noProof/>
          <w:lang w:eastAsia="en-GB"/>
        </w:rPr>
        <w:lastRenderedPageBreak/>
        <w:drawing>
          <wp:inline distT="0" distB="0" distL="0" distR="0" wp14:anchorId="2D20778E" wp14:editId="51973D7B">
            <wp:extent cx="4436110" cy="2421255"/>
            <wp:effectExtent l="0" t="0" r="254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5"/>
                    <a:stretch>
                      <a:fillRect/>
                    </a:stretch>
                  </pic:blipFill>
                  <pic:spPr>
                    <a:xfrm>
                      <a:off x="0" y="0"/>
                      <a:ext cx="4436110" cy="2421255"/>
                    </a:xfrm>
                    <a:prstGeom prst="rect">
                      <a:avLst/>
                    </a:prstGeom>
                  </pic:spPr>
                </pic:pic>
              </a:graphicData>
            </a:graphic>
          </wp:inline>
        </w:drawing>
      </w:r>
    </w:p>
    <w:p w:rsidR="008F08B1" w:rsidRDefault="008F08B1" w:rsidP="008F08B1">
      <w:pPr>
        <w:spacing w:after="0"/>
        <w:rPr>
          <w:rFonts w:cs="Times New Roman"/>
        </w:rPr>
      </w:pPr>
    </w:p>
    <w:p w:rsidR="003C20DA" w:rsidRDefault="003C20DA" w:rsidP="003C20DA">
      <w:pPr>
        <w:spacing w:after="0"/>
        <w:rPr>
          <w:rFonts w:cs="Times New Roman"/>
        </w:rPr>
      </w:pPr>
      <w:r>
        <w:rPr>
          <w:rFonts w:cs="Times New Roman"/>
        </w:rPr>
        <w:t>Experimental stimuli (items learned):</w:t>
      </w:r>
      <w:r w:rsidRPr="008F08B1">
        <w:rPr>
          <w:rFonts w:cs="Times New Roman"/>
        </w:rPr>
        <w:t xml:space="preserve"> </w:t>
      </w:r>
      <w:r>
        <w:rPr>
          <w:rFonts w:cs="Times New Roman"/>
        </w:rPr>
        <w:t xml:space="preserve">Nonwords </w:t>
      </w:r>
      <w:r w:rsidR="00AA4D62">
        <w:rPr>
          <w:rFonts w:cs="Times New Roman"/>
        </w:rPr>
        <w:fldChar w:fldCharType="begin"/>
      </w:r>
      <w:r w:rsidR="00AA4D62">
        <w:rPr>
          <w:rFonts w:cs="Times New Roman"/>
        </w:rPr>
        <w:instrText xml:space="preserve"> ADDIN EN.CITE &lt;EndNote&gt;&lt;Cite&gt;&lt;Author&gt;Mousikou&lt;/Author&gt;&lt;Year&gt;2017&lt;/Year&gt;&lt;RecNum&gt;874&lt;/RecNum&gt;&lt;DisplayText&gt;(Mousikou, Sadat, Lucas, &amp;amp; Rastle, 2017)&lt;/DisplayText&gt;&lt;record&gt;&lt;rec-number&gt;874&lt;/rec-number&gt;&lt;foreign-keys&gt;&lt;key app="EN" db-id="f5f5w9xroatev4exw9qx22r0pvewx925vfee" timestamp="1478521950"&gt;874&lt;/key&gt;&lt;/foreign-keys&gt;&lt;ref-type name="Journal Article"&gt;17&lt;/ref-type&gt;&lt;contributors&gt;&lt;authors&gt;&lt;author&gt;Mousikou, Petroula&lt;/author&gt;&lt;author&gt;Sadat, Jasmin&lt;/author&gt;&lt;author&gt;Lucas, Rebecca&lt;/author&gt;&lt;author&gt;Rastle, Kathleen&lt;/author&gt;&lt;/authors&gt;&lt;/contributors&gt;&lt;titles&gt;&lt;title&gt;Moving beyond the monosyllable in models of skilled reading: Mega-study of disyllabic nonword reading&lt;/title&gt;&lt;secondary-title&gt;Journal of Memory and Language&lt;/secondary-title&gt;&lt;/titles&gt;&lt;periodical&gt;&lt;full-title&gt;Journal of Memory and Language&lt;/full-title&gt;&lt;/periodical&gt;&lt;pages&gt;169-192&lt;/pages&gt;&lt;volume&gt;93&lt;/volume&gt;&lt;keywords&gt;&lt;keyword&gt;Mega-study&lt;/keyword&gt;&lt;keyword&gt;Reading aloud&lt;/keyword&gt;&lt;keyword&gt;Computational reading models&lt;/keyword&gt;&lt;keyword&gt;Generalization&lt;/keyword&gt;&lt;keyword&gt;Stress assignment&lt;/keyword&gt;&lt;keyword&gt;Pronunciation&lt;/keyword&gt;&lt;/keywords&gt;&lt;dates&gt;&lt;year&gt;2017&lt;/year&gt;&lt;pub-dates&gt;&lt;date&gt;4//&lt;/date&gt;&lt;/pub-dates&gt;&lt;/dates&gt;&lt;isbn&gt;0749-596X&lt;/isbn&gt;&lt;urls&gt;&lt;related-urls&gt;&lt;url&gt;http://www.sciencedirect.com/science/article/pii/S0749596X16301012&lt;/url&gt;&lt;/related-urls&gt;&lt;/urls&gt;&lt;electronic-resource-num&gt;http://dx.doi.org/10.1016/j.jml.2016.09.003&lt;/electronic-resource-num&gt;&lt;/record&gt;&lt;/Cite&gt;&lt;/EndNote&gt;</w:instrText>
      </w:r>
      <w:r w:rsidR="00AA4D62">
        <w:rPr>
          <w:rFonts w:cs="Times New Roman"/>
        </w:rPr>
        <w:fldChar w:fldCharType="separate"/>
      </w:r>
      <w:r w:rsidR="00AA4D62">
        <w:rPr>
          <w:rFonts w:cs="Times New Roman"/>
          <w:noProof/>
        </w:rPr>
        <w:t>(</w:t>
      </w:r>
      <w:r w:rsidR="00AA4D62" w:rsidRPr="00AA4D62">
        <w:rPr>
          <w:rFonts w:cs="Times New Roman"/>
          <w:noProof/>
        </w:rPr>
        <w:t>Mousikou, Sadat, Lucas, &amp; Rastle, 2017</w:t>
      </w:r>
      <w:r w:rsidR="00AA4D62">
        <w:rPr>
          <w:rFonts w:cs="Times New Roman"/>
          <w:noProof/>
        </w:rPr>
        <w:t>)</w:t>
      </w:r>
      <w:r w:rsidR="00AA4D62">
        <w:rPr>
          <w:rFonts w:cs="Times New Roman"/>
        </w:rPr>
        <w:fldChar w:fldCharType="end"/>
      </w:r>
      <w:r w:rsidR="00AA4D62">
        <w:rPr>
          <w:rFonts w:cs="Times New Roman"/>
        </w:rPr>
        <w:t xml:space="preserve"> </w:t>
      </w:r>
      <w:r>
        <w:rPr>
          <w:rFonts w:cs="Times New Roman"/>
        </w:rPr>
        <w:t xml:space="preserve">were paired with the meanings of real words.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2237"/>
      </w:tblGrid>
      <w:tr w:rsidR="003C20DA" w:rsidRPr="003C20DA" w:rsidTr="00890445">
        <w:trPr>
          <w:trHeight w:val="321"/>
        </w:trPr>
        <w:tc>
          <w:tcPr>
            <w:tcW w:w="1560" w:type="dxa"/>
            <w:tcBorders>
              <w:top w:val="single" w:sz="4" w:space="0" w:color="auto"/>
              <w:bottom w:val="single" w:sz="4" w:space="0" w:color="auto"/>
            </w:tcBorders>
            <w:noWrap/>
            <w:vAlign w:val="center"/>
            <w:hideMark/>
          </w:tcPr>
          <w:p w:rsidR="003C20DA" w:rsidRPr="003C20DA" w:rsidRDefault="003C20DA" w:rsidP="003C20DA">
            <w:pPr>
              <w:rPr>
                <w:rFonts w:ascii="Calibri" w:hAnsi="Calibri"/>
                <w:bCs/>
                <w:i/>
                <w:color w:val="000000"/>
              </w:rPr>
            </w:pPr>
            <w:r>
              <w:rPr>
                <w:rFonts w:ascii="Calibri" w:hAnsi="Calibri"/>
                <w:bCs/>
                <w:i/>
                <w:color w:val="000000"/>
              </w:rPr>
              <w:t>N</w:t>
            </w:r>
            <w:r w:rsidRPr="003C20DA">
              <w:rPr>
                <w:rFonts w:ascii="Calibri" w:hAnsi="Calibri"/>
                <w:bCs/>
                <w:i/>
                <w:color w:val="000000"/>
              </w:rPr>
              <w:t>onword</w:t>
            </w:r>
          </w:p>
        </w:tc>
        <w:tc>
          <w:tcPr>
            <w:tcW w:w="1559" w:type="dxa"/>
            <w:tcBorders>
              <w:top w:val="single" w:sz="4" w:space="0" w:color="auto"/>
              <w:bottom w:val="single" w:sz="4" w:space="0" w:color="auto"/>
            </w:tcBorders>
            <w:noWrap/>
            <w:vAlign w:val="center"/>
            <w:hideMark/>
          </w:tcPr>
          <w:p w:rsidR="003C20DA" w:rsidRPr="003C20DA" w:rsidRDefault="003C20DA" w:rsidP="003C20DA">
            <w:pPr>
              <w:rPr>
                <w:rFonts w:ascii="Calibri" w:hAnsi="Calibri"/>
                <w:bCs/>
                <w:i/>
                <w:color w:val="000000"/>
              </w:rPr>
            </w:pPr>
            <w:r>
              <w:rPr>
                <w:rFonts w:ascii="Calibri" w:hAnsi="Calibri"/>
                <w:bCs/>
                <w:i/>
                <w:color w:val="000000"/>
              </w:rPr>
              <w:t>T</w:t>
            </w:r>
            <w:r w:rsidRPr="003C20DA">
              <w:rPr>
                <w:rFonts w:ascii="Calibri" w:hAnsi="Calibri"/>
                <w:bCs/>
                <w:i/>
                <w:color w:val="000000"/>
              </w:rPr>
              <w:t>opic</w:t>
            </w:r>
          </w:p>
        </w:tc>
        <w:tc>
          <w:tcPr>
            <w:tcW w:w="2237" w:type="dxa"/>
            <w:tcBorders>
              <w:top w:val="single" w:sz="4" w:space="0" w:color="auto"/>
              <w:bottom w:val="single" w:sz="4" w:space="0" w:color="auto"/>
            </w:tcBorders>
            <w:noWrap/>
            <w:vAlign w:val="center"/>
            <w:hideMark/>
          </w:tcPr>
          <w:p w:rsidR="003C20DA" w:rsidRPr="003C20DA" w:rsidRDefault="003C20DA" w:rsidP="003C20DA">
            <w:pPr>
              <w:rPr>
                <w:rFonts w:ascii="Calibri" w:hAnsi="Calibri"/>
                <w:bCs/>
                <w:i/>
                <w:color w:val="000000"/>
              </w:rPr>
            </w:pPr>
            <w:r>
              <w:rPr>
                <w:rFonts w:ascii="Calibri" w:hAnsi="Calibri"/>
                <w:bCs/>
                <w:i/>
                <w:color w:val="000000"/>
              </w:rPr>
              <w:t>W</w:t>
            </w:r>
            <w:r w:rsidRPr="003C20DA">
              <w:rPr>
                <w:rFonts w:ascii="Calibri" w:hAnsi="Calibri"/>
                <w:bCs/>
                <w:i/>
                <w:color w:val="000000"/>
              </w:rPr>
              <w:t>ord</w:t>
            </w:r>
          </w:p>
        </w:tc>
      </w:tr>
      <w:tr w:rsidR="003C20DA" w:rsidRPr="003C20DA" w:rsidTr="00890445">
        <w:trPr>
          <w:trHeight w:val="300"/>
        </w:trPr>
        <w:tc>
          <w:tcPr>
            <w:tcW w:w="1560" w:type="dxa"/>
            <w:tcBorders>
              <w:top w:val="single" w:sz="4" w:space="0" w:color="auto"/>
            </w:tcBorders>
            <w:noWrap/>
            <w:vAlign w:val="bottom"/>
            <w:hideMark/>
          </w:tcPr>
          <w:p w:rsidR="003C20DA" w:rsidRDefault="003C20DA" w:rsidP="003C20DA">
            <w:pPr>
              <w:rPr>
                <w:rFonts w:ascii="Calibri" w:hAnsi="Calibri"/>
                <w:color w:val="000000"/>
              </w:rPr>
            </w:pPr>
            <w:r>
              <w:rPr>
                <w:rFonts w:ascii="Calibri" w:hAnsi="Calibri"/>
                <w:color w:val="000000"/>
              </w:rPr>
              <w:t>shactoun</w:t>
            </w:r>
          </w:p>
        </w:tc>
        <w:tc>
          <w:tcPr>
            <w:tcW w:w="1559" w:type="dxa"/>
            <w:tcBorders>
              <w:top w:val="single" w:sz="4" w:space="0" w:color="auto"/>
            </w:tcBorders>
            <w:noWrap/>
            <w:vAlign w:val="bottom"/>
            <w:hideMark/>
          </w:tcPr>
          <w:p w:rsidR="003C20DA" w:rsidRDefault="003C20DA" w:rsidP="003C20DA">
            <w:pPr>
              <w:rPr>
                <w:rFonts w:ascii="Calibri" w:hAnsi="Calibri"/>
                <w:color w:val="000000"/>
              </w:rPr>
            </w:pPr>
            <w:r>
              <w:rPr>
                <w:rFonts w:ascii="Calibri" w:hAnsi="Calibri"/>
                <w:color w:val="000000"/>
              </w:rPr>
              <w:t>Brain</w:t>
            </w:r>
          </w:p>
        </w:tc>
        <w:tc>
          <w:tcPr>
            <w:tcW w:w="2237" w:type="dxa"/>
            <w:tcBorders>
              <w:top w:val="single" w:sz="4" w:space="0" w:color="auto"/>
            </w:tcBorders>
            <w:noWrap/>
            <w:vAlign w:val="bottom"/>
            <w:hideMark/>
          </w:tcPr>
          <w:p w:rsidR="003C20DA" w:rsidRDefault="003C20DA" w:rsidP="003C20DA">
            <w:pPr>
              <w:rPr>
                <w:rFonts w:ascii="Calibri" w:hAnsi="Calibri"/>
                <w:color w:val="000000"/>
              </w:rPr>
            </w:pPr>
            <w:r>
              <w:rPr>
                <w:rFonts w:ascii="Calibri" w:hAnsi="Calibri"/>
                <w:color w:val="000000"/>
              </w:rPr>
              <w:t>meninges</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danchoff</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Brain</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pons</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pavil</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Brain</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glia</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cunod</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Brain</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electroencephalogram</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prulli</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Glaciers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firn</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hoolab</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Glaciers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serac</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tamcem</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Glaciers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pingo</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glorak</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Glaciers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ungulate</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baranx</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Pottery</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jolley</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murrop</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Pottery</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bagwall</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flastib</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Pottery</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saggar</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virtam</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Pottery</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dunt</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stiggup</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Tudors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carnelian</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teltike</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Tudors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sarcanet</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gudsete</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Tudors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clocking</w:t>
            </w:r>
          </w:p>
        </w:tc>
      </w:tr>
      <w:tr w:rsidR="003C20DA" w:rsidRPr="003C20DA" w:rsidTr="00890445">
        <w:trPr>
          <w:trHeight w:val="300"/>
        </w:trPr>
        <w:tc>
          <w:tcPr>
            <w:tcW w:w="1560" w:type="dxa"/>
            <w:noWrap/>
            <w:vAlign w:val="bottom"/>
            <w:hideMark/>
          </w:tcPr>
          <w:p w:rsidR="003C20DA" w:rsidRDefault="003C20DA" w:rsidP="003C20DA">
            <w:pPr>
              <w:rPr>
                <w:rFonts w:ascii="Calibri" w:hAnsi="Calibri"/>
                <w:color w:val="000000"/>
              </w:rPr>
            </w:pPr>
            <w:r>
              <w:rPr>
                <w:rFonts w:ascii="Calibri" w:hAnsi="Calibri"/>
                <w:color w:val="000000"/>
              </w:rPr>
              <w:t>hirbund</w:t>
            </w:r>
          </w:p>
        </w:tc>
        <w:tc>
          <w:tcPr>
            <w:tcW w:w="1559" w:type="dxa"/>
            <w:noWrap/>
            <w:vAlign w:val="bottom"/>
            <w:hideMark/>
          </w:tcPr>
          <w:p w:rsidR="003C20DA" w:rsidRDefault="003C20DA" w:rsidP="003C20DA">
            <w:pPr>
              <w:rPr>
                <w:rFonts w:ascii="Calibri" w:hAnsi="Calibri"/>
                <w:color w:val="000000"/>
              </w:rPr>
            </w:pPr>
            <w:r>
              <w:rPr>
                <w:rFonts w:ascii="Calibri" w:hAnsi="Calibri"/>
                <w:color w:val="000000"/>
              </w:rPr>
              <w:t>Tudors</w:t>
            </w:r>
          </w:p>
        </w:tc>
        <w:tc>
          <w:tcPr>
            <w:tcW w:w="2237" w:type="dxa"/>
            <w:noWrap/>
            <w:vAlign w:val="bottom"/>
            <w:hideMark/>
          </w:tcPr>
          <w:p w:rsidR="003C20DA" w:rsidRDefault="003C20DA" w:rsidP="003C20DA">
            <w:pPr>
              <w:rPr>
                <w:rFonts w:ascii="Calibri" w:hAnsi="Calibri"/>
                <w:color w:val="000000"/>
              </w:rPr>
            </w:pPr>
            <w:r>
              <w:rPr>
                <w:rFonts w:ascii="Calibri" w:hAnsi="Calibri"/>
                <w:color w:val="000000"/>
              </w:rPr>
              <w:t>pauldron</w:t>
            </w:r>
          </w:p>
        </w:tc>
      </w:tr>
    </w:tbl>
    <w:p w:rsidR="001D191D" w:rsidRDefault="001D191D" w:rsidP="00175894">
      <w:pPr>
        <w:spacing w:after="0"/>
        <w:rPr>
          <w:rFonts w:cs="Times New Roman"/>
        </w:rPr>
      </w:pPr>
    </w:p>
    <w:p w:rsidR="008C5A20" w:rsidRDefault="008C5A20" w:rsidP="00175894">
      <w:pPr>
        <w:spacing w:after="0"/>
        <w:rPr>
          <w:rFonts w:cs="Times New Roman"/>
          <w:b/>
        </w:rPr>
      </w:pPr>
      <w:r>
        <w:rPr>
          <w:rFonts w:cs="Times New Roman"/>
          <w:b/>
        </w:rPr>
        <w:t>References</w:t>
      </w:r>
    </w:p>
    <w:p w:rsidR="00AA4D62" w:rsidRPr="00AA4D62" w:rsidRDefault="008C5A20" w:rsidP="00AA4D62">
      <w:pPr>
        <w:pStyle w:val="EndNoteBibliography"/>
        <w:spacing w:after="0"/>
        <w:ind w:left="720" w:hanging="720"/>
      </w:pPr>
      <w:r>
        <w:rPr>
          <w:b/>
        </w:rPr>
        <w:fldChar w:fldCharType="begin"/>
      </w:r>
      <w:r>
        <w:rPr>
          <w:b/>
        </w:rPr>
        <w:instrText xml:space="preserve"> ADDIN EN.REFLIST </w:instrText>
      </w:r>
      <w:r>
        <w:rPr>
          <w:b/>
        </w:rPr>
        <w:fldChar w:fldCharType="separate"/>
      </w:r>
      <w:r w:rsidR="00AA4D62" w:rsidRPr="00AA4D62">
        <w:t xml:space="preserve">Castles, A., Coltheart, M., Larsen, L., Jones, P., Saunders, S., &amp; McArthur, G. (2009). Assessing the basic components of reading: A revision of the Castles and Coltheart test with new norms. </w:t>
      </w:r>
      <w:r w:rsidR="00AA4D62" w:rsidRPr="00AA4D62">
        <w:rPr>
          <w:i/>
        </w:rPr>
        <w:t>Australian Journal of Learning Difficulties, 14</w:t>
      </w:r>
      <w:r w:rsidR="00AA4D62" w:rsidRPr="00AA4D62">
        <w:t xml:space="preserve">(1), 67-88. </w:t>
      </w:r>
    </w:p>
    <w:p w:rsidR="00AA4D62" w:rsidRPr="00AA4D62" w:rsidRDefault="00AA4D62" w:rsidP="00AA4D62">
      <w:pPr>
        <w:pStyle w:val="EndNoteBibliography"/>
        <w:spacing w:after="0"/>
        <w:ind w:left="720" w:hanging="720"/>
      </w:pPr>
      <w:r w:rsidRPr="00AA4D62">
        <w:t xml:space="preserve">Dunn, L. M., Dunn, D. M., &amp; NFER. (2009). </w:t>
      </w:r>
      <w:r w:rsidRPr="00AA4D62">
        <w:rPr>
          <w:i/>
        </w:rPr>
        <w:t>British Picture Vocabulary Scale - Third Edition</w:t>
      </w:r>
      <w:r w:rsidRPr="00AA4D62">
        <w:t xml:space="preserve"> (3rd ed.). London: GL Assessment Ltd.</w:t>
      </w:r>
    </w:p>
    <w:p w:rsidR="00AA4D62" w:rsidRPr="00AA4D62" w:rsidRDefault="00AA4D62" w:rsidP="00AA4D62">
      <w:pPr>
        <w:pStyle w:val="EndNoteBibliography"/>
        <w:spacing w:after="0"/>
        <w:ind w:left="720" w:hanging="720"/>
      </w:pPr>
      <w:r w:rsidRPr="00AA4D62">
        <w:t xml:space="preserve">Mousikou, P., Sadat, J., Lucas, R., &amp; Rastle, K. (2017). Moving beyond the monosyllable in models of skilled reading: Mega-study of disyllabic nonword reading. </w:t>
      </w:r>
      <w:r w:rsidRPr="00AA4D62">
        <w:rPr>
          <w:i/>
        </w:rPr>
        <w:t>Journal of Memory and Language, 93</w:t>
      </w:r>
      <w:r w:rsidRPr="00AA4D62">
        <w:t>, 169-192. doi:</w:t>
      </w:r>
      <w:hyperlink r:id="rId6" w:history="1">
        <w:r w:rsidRPr="00AA4D62">
          <w:rPr>
            <w:rStyle w:val="Hyperlink"/>
          </w:rPr>
          <w:t>http://dx.doi.org/10.1016/j.jml.2016.09.003</w:t>
        </w:r>
      </w:hyperlink>
    </w:p>
    <w:p w:rsidR="00AA4D62" w:rsidRPr="00AA4D62" w:rsidRDefault="00AA4D62" w:rsidP="00AA4D62">
      <w:pPr>
        <w:pStyle w:val="EndNoteBibliography"/>
        <w:spacing w:after="0"/>
        <w:ind w:left="720" w:hanging="720"/>
      </w:pPr>
      <w:r w:rsidRPr="00AA4D62">
        <w:t xml:space="preserve">Semel, E., Wiig, E., &amp; Secord, W. (2006). </w:t>
      </w:r>
      <w:r w:rsidRPr="00AA4D62">
        <w:rPr>
          <w:i/>
        </w:rPr>
        <w:t>Clinical Evaluation of Language Fundamentals - Fourth UK Edition (CELF-4 UK)</w:t>
      </w:r>
      <w:r w:rsidRPr="00AA4D62">
        <w:t>. London: Pearson Assessment.</w:t>
      </w:r>
    </w:p>
    <w:p w:rsidR="00AA4D62" w:rsidRPr="00AA4D62" w:rsidRDefault="00AA4D62" w:rsidP="00AA4D62">
      <w:pPr>
        <w:pStyle w:val="EndNoteBibliography"/>
        <w:spacing w:after="0"/>
        <w:ind w:left="720" w:hanging="720"/>
      </w:pPr>
      <w:r w:rsidRPr="00AA4D62">
        <w:t xml:space="preserve">Stothard, S., Hulme, C., Clarke, P. J., Barnby, P., &amp; Snowling, M. (2010). </w:t>
      </w:r>
      <w:r w:rsidRPr="00AA4D62">
        <w:rPr>
          <w:i/>
        </w:rPr>
        <w:t>The York Assessment of Reading for Comprehension (YARC): Passage Reading Secondary</w:t>
      </w:r>
      <w:r w:rsidRPr="00AA4D62">
        <w:t>. London: GL Assessment.</w:t>
      </w:r>
    </w:p>
    <w:p w:rsidR="00AA4D62" w:rsidRPr="00AA4D62" w:rsidRDefault="00AA4D62" w:rsidP="00AA4D62">
      <w:pPr>
        <w:pStyle w:val="EndNoteBibliography"/>
        <w:spacing w:after="0"/>
        <w:ind w:left="720" w:hanging="720"/>
      </w:pPr>
      <w:r w:rsidRPr="00AA4D62">
        <w:lastRenderedPageBreak/>
        <w:t xml:space="preserve">Wagner, R. K., Torgesen, J. K., &amp; Rashotte, C. A. (2011). </w:t>
      </w:r>
      <w:r w:rsidRPr="00AA4D62">
        <w:rPr>
          <w:i/>
        </w:rPr>
        <w:t>Test of Word Reading Efficiency - Second Edition (TOWRE-2)</w:t>
      </w:r>
      <w:r w:rsidRPr="00AA4D62">
        <w:t>. Austin, TX: Pro-Ed.</w:t>
      </w:r>
    </w:p>
    <w:p w:rsidR="00AA4D62" w:rsidRPr="00AA4D62" w:rsidRDefault="00AA4D62" w:rsidP="00AA4D62">
      <w:pPr>
        <w:pStyle w:val="EndNoteBibliography"/>
        <w:ind w:left="720" w:hanging="720"/>
      </w:pPr>
      <w:r w:rsidRPr="00AA4D62">
        <w:t xml:space="preserve">Wechsler, D. (2011). </w:t>
      </w:r>
      <w:r w:rsidRPr="00AA4D62">
        <w:rPr>
          <w:i/>
        </w:rPr>
        <w:t>Wechsler Abbreviated Scale of Intelligence - Second Edition (WASI-II)</w:t>
      </w:r>
      <w:r w:rsidRPr="00AA4D62">
        <w:t>. San Antonio, TX Pearson.</w:t>
      </w:r>
    </w:p>
    <w:p w:rsidR="008C5A20" w:rsidRPr="008C5A20" w:rsidRDefault="008C5A20" w:rsidP="00175894">
      <w:pPr>
        <w:spacing w:after="0"/>
        <w:rPr>
          <w:b/>
        </w:rPr>
      </w:pPr>
      <w:r>
        <w:rPr>
          <w:b/>
        </w:rPr>
        <w:fldChar w:fldCharType="end"/>
      </w:r>
    </w:p>
    <w:sectPr w:rsidR="008C5A20" w:rsidRPr="008C5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08DC"/>
    <w:multiLevelType w:val="hybridMultilevel"/>
    <w:tmpl w:val="306E40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1A2705C"/>
    <w:multiLevelType w:val="hybridMultilevel"/>
    <w:tmpl w:val="A9E67B4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4B41A5F"/>
    <w:multiLevelType w:val="hybridMultilevel"/>
    <w:tmpl w:val="38383E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f5w9xroatev4exw9qx22r0pvewx925vfee&quot;&gt;ENDNOTE 2017&lt;record-ids&gt;&lt;item&gt;483&lt;/item&gt;&lt;item&gt;594&lt;/item&gt;&lt;item&gt;611&lt;/item&gt;&lt;item&gt;630&lt;/item&gt;&lt;item&gt;640&lt;/item&gt;&lt;item&gt;684&lt;/item&gt;&lt;item&gt;874&lt;/item&gt;&lt;/record-ids&gt;&lt;/item&gt;&lt;/Libraries&gt;"/>
  </w:docVars>
  <w:rsids>
    <w:rsidRoot w:val="00A62A9F"/>
    <w:rsid w:val="000F1E0C"/>
    <w:rsid w:val="00175894"/>
    <w:rsid w:val="001B3670"/>
    <w:rsid w:val="001D191D"/>
    <w:rsid w:val="0033351F"/>
    <w:rsid w:val="003C20DA"/>
    <w:rsid w:val="00441D61"/>
    <w:rsid w:val="00540338"/>
    <w:rsid w:val="00890445"/>
    <w:rsid w:val="008C5A20"/>
    <w:rsid w:val="008F08B1"/>
    <w:rsid w:val="00A62A9F"/>
    <w:rsid w:val="00AA4D62"/>
    <w:rsid w:val="00AE1865"/>
    <w:rsid w:val="00D6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99B44-AEE0-4386-825D-3C5859ED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A20"/>
    <w:rPr>
      <w:color w:val="0000FF"/>
      <w:u w:val="single"/>
    </w:rPr>
  </w:style>
  <w:style w:type="paragraph" w:customStyle="1" w:styleId="EndNoteBibliographyTitle">
    <w:name w:val="EndNote Bibliography Title"/>
    <w:basedOn w:val="Normal"/>
    <w:link w:val="EndNoteBibliographyTitleChar"/>
    <w:rsid w:val="008C5A2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C5A20"/>
    <w:rPr>
      <w:rFonts w:ascii="Calibri" w:hAnsi="Calibri"/>
      <w:noProof/>
      <w:lang w:val="en-US"/>
    </w:rPr>
  </w:style>
  <w:style w:type="paragraph" w:customStyle="1" w:styleId="EndNoteBibliography">
    <w:name w:val="EndNote Bibliography"/>
    <w:basedOn w:val="Normal"/>
    <w:link w:val="EndNoteBibliographyChar"/>
    <w:rsid w:val="008C5A2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C5A20"/>
    <w:rPr>
      <w:rFonts w:ascii="Calibri" w:hAnsi="Calibri"/>
      <w:noProof/>
      <w:lang w:val="en-US"/>
    </w:rPr>
  </w:style>
  <w:style w:type="paragraph" w:styleId="CommentText">
    <w:name w:val="annotation text"/>
    <w:basedOn w:val="Normal"/>
    <w:link w:val="CommentTextChar"/>
    <w:uiPriority w:val="99"/>
    <w:semiHidden/>
    <w:unhideWhenUsed/>
    <w:rsid w:val="0017589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75894"/>
    <w:rPr>
      <w:sz w:val="20"/>
      <w:szCs w:val="20"/>
    </w:rPr>
  </w:style>
  <w:style w:type="character" w:styleId="CommentReference">
    <w:name w:val="annotation reference"/>
    <w:basedOn w:val="DefaultParagraphFont"/>
    <w:uiPriority w:val="99"/>
    <w:semiHidden/>
    <w:unhideWhenUsed/>
    <w:rsid w:val="00175894"/>
    <w:rPr>
      <w:sz w:val="16"/>
      <w:szCs w:val="16"/>
    </w:rPr>
  </w:style>
  <w:style w:type="paragraph" w:styleId="BalloonText">
    <w:name w:val="Balloon Text"/>
    <w:basedOn w:val="Normal"/>
    <w:link w:val="BalloonTextChar"/>
    <w:uiPriority w:val="99"/>
    <w:semiHidden/>
    <w:unhideWhenUsed/>
    <w:rsid w:val="0017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894"/>
    <w:rPr>
      <w:rFonts w:ascii="Segoe UI" w:hAnsi="Segoe UI" w:cs="Segoe UI"/>
      <w:sz w:val="18"/>
      <w:szCs w:val="18"/>
    </w:rPr>
  </w:style>
  <w:style w:type="paragraph" w:styleId="ListParagraph">
    <w:name w:val="List Paragraph"/>
    <w:basedOn w:val="Normal"/>
    <w:uiPriority w:val="34"/>
    <w:qFormat/>
    <w:rsid w:val="001D191D"/>
    <w:pPr>
      <w:spacing w:line="256" w:lineRule="auto"/>
      <w:ind w:left="720"/>
      <w:contextualSpacing/>
    </w:pPr>
  </w:style>
  <w:style w:type="table" w:styleId="TableGrid">
    <w:name w:val="Table Grid"/>
    <w:basedOn w:val="TableNormal"/>
    <w:uiPriority w:val="39"/>
    <w:rsid w:val="0054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1907">
      <w:bodyDiv w:val="1"/>
      <w:marLeft w:val="0"/>
      <w:marRight w:val="0"/>
      <w:marTop w:val="0"/>
      <w:marBottom w:val="0"/>
      <w:divBdr>
        <w:top w:val="none" w:sz="0" w:space="0" w:color="auto"/>
        <w:left w:val="none" w:sz="0" w:space="0" w:color="auto"/>
        <w:bottom w:val="none" w:sz="0" w:space="0" w:color="auto"/>
        <w:right w:val="none" w:sz="0" w:space="0" w:color="auto"/>
      </w:divBdr>
    </w:div>
    <w:div w:id="547256345">
      <w:bodyDiv w:val="1"/>
      <w:marLeft w:val="0"/>
      <w:marRight w:val="0"/>
      <w:marTop w:val="0"/>
      <w:marBottom w:val="0"/>
      <w:divBdr>
        <w:top w:val="none" w:sz="0" w:space="0" w:color="auto"/>
        <w:left w:val="none" w:sz="0" w:space="0" w:color="auto"/>
        <w:bottom w:val="none" w:sz="0" w:space="0" w:color="auto"/>
        <w:right w:val="none" w:sz="0" w:space="0" w:color="auto"/>
      </w:divBdr>
    </w:div>
    <w:div w:id="1000936294">
      <w:bodyDiv w:val="1"/>
      <w:marLeft w:val="0"/>
      <w:marRight w:val="0"/>
      <w:marTop w:val="0"/>
      <w:marBottom w:val="0"/>
      <w:divBdr>
        <w:top w:val="none" w:sz="0" w:space="0" w:color="auto"/>
        <w:left w:val="none" w:sz="0" w:space="0" w:color="auto"/>
        <w:bottom w:val="none" w:sz="0" w:space="0" w:color="auto"/>
        <w:right w:val="none" w:sz="0" w:space="0" w:color="auto"/>
      </w:divBdr>
    </w:div>
    <w:div w:id="1350641337">
      <w:bodyDiv w:val="1"/>
      <w:marLeft w:val="0"/>
      <w:marRight w:val="0"/>
      <w:marTop w:val="0"/>
      <w:marBottom w:val="0"/>
      <w:divBdr>
        <w:top w:val="none" w:sz="0" w:space="0" w:color="auto"/>
        <w:left w:val="none" w:sz="0" w:space="0" w:color="auto"/>
        <w:bottom w:val="none" w:sz="0" w:space="0" w:color="auto"/>
        <w:right w:val="none" w:sz="0" w:space="0" w:color="auto"/>
      </w:divBdr>
    </w:div>
    <w:div w:id="1372458613">
      <w:bodyDiv w:val="1"/>
      <w:marLeft w:val="0"/>
      <w:marRight w:val="0"/>
      <w:marTop w:val="0"/>
      <w:marBottom w:val="0"/>
      <w:divBdr>
        <w:top w:val="none" w:sz="0" w:space="0" w:color="auto"/>
        <w:left w:val="none" w:sz="0" w:space="0" w:color="auto"/>
        <w:bottom w:val="none" w:sz="0" w:space="0" w:color="auto"/>
        <w:right w:val="none" w:sz="0" w:space="0" w:color="auto"/>
      </w:divBdr>
    </w:div>
    <w:div w:id="1609775290">
      <w:bodyDiv w:val="1"/>
      <w:marLeft w:val="0"/>
      <w:marRight w:val="0"/>
      <w:marTop w:val="0"/>
      <w:marBottom w:val="0"/>
      <w:divBdr>
        <w:top w:val="none" w:sz="0" w:space="0" w:color="auto"/>
        <w:left w:val="none" w:sz="0" w:space="0" w:color="auto"/>
        <w:bottom w:val="none" w:sz="0" w:space="0" w:color="auto"/>
        <w:right w:val="none" w:sz="0" w:space="0" w:color="auto"/>
      </w:divBdr>
    </w:div>
    <w:div w:id="1990278715">
      <w:bodyDiv w:val="1"/>
      <w:marLeft w:val="0"/>
      <w:marRight w:val="0"/>
      <w:marTop w:val="0"/>
      <w:marBottom w:val="0"/>
      <w:divBdr>
        <w:top w:val="none" w:sz="0" w:space="0" w:color="auto"/>
        <w:left w:val="none" w:sz="0" w:space="0" w:color="auto"/>
        <w:bottom w:val="none" w:sz="0" w:space="0" w:color="auto"/>
        <w:right w:val="none" w:sz="0" w:space="0" w:color="auto"/>
      </w:divBdr>
    </w:div>
    <w:div w:id="213899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jml.2016.09.00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Jessie</dc:creator>
  <cp:keywords/>
  <dc:description/>
  <cp:lastModifiedBy>Ricketts, Jessie</cp:lastModifiedBy>
  <cp:revision>8</cp:revision>
  <dcterms:created xsi:type="dcterms:W3CDTF">2017-11-27T15:06:00Z</dcterms:created>
  <dcterms:modified xsi:type="dcterms:W3CDTF">2017-11-28T13:51:00Z</dcterms:modified>
</cp:coreProperties>
</file>