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E6C" w:rsidRDefault="00030E6C" w:rsidP="00030E6C">
      <w:pPr>
        <w:pStyle w:val="Heading2"/>
        <w:jc w:val="center"/>
      </w:pPr>
      <w:bookmarkStart w:id="0" w:name="_GoBack"/>
      <w:bookmarkEnd w:id="0"/>
      <w:proofErr w:type="spellStart"/>
      <w:r w:rsidRPr="00452107">
        <w:t>Eligibilitity</w:t>
      </w:r>
      <w:proofErr w:type="spellEnd"/>
      <w:r w:rsidRPr="00452107">
        <w:t xml:space="preserve"> </w:t>
      </w:r>
      <w:r>
        <w:t>Criteria</w:t>
      </w:r>
    </w:p>
    <w:p w:rsidR="00030E6C" w:rsidRPr="00452107" w:rsidRDefault="00030E6C" w:rsidP="00030E6C">
      <w:pPr>
        <w:ind w:firstLine="360"/>
        <w:rPr>
          <w:b/>
        </w:rPr>
      </w:pPr>
      <w:r>
        <w:t>H</w:t>
      </w:r>
      <w:r w:rsidRPr="00452107">
        <w:t>ierarchical eligibility criteria w</w:t>
      </w:r>
      <w:r>
        <w:t>ere</w:t>
      </w:r>
      <w:r w:rsidRPr="00452107">
        <w:t xml:space="preserve"> developed to screen abstracts and then full texts. Eligibility criteria </w:t>
      </w:r>
      <w:r>
        <w:t>to select studies for inclusion were</w:t>
      </w:r>
      <w:r w:rsidRPr="00452107">
        <w:t xml:space="preserve">: </w:t>
      </w:r>
    </w:p>
    <w:p w:rsidR="00030E6C" w:rsidRPr="00452107" w:rsidRDefault="00030E6C" w:rsidP="00030E6C">
      <w:pPr>
        <w:numPr>
          <w:ilvl w:val="0"/>
          <w:numId w:val="1"/>
        </w:numPr>
      </w:pPr>
      <w:r w:rsidRPr="00452107">
        <w:rPr>
          <w:i/>
        </w:rPr>
        <w:t xml:space="preserve">The paper must be </w:t>
      </w:r>
      <w:r>
        <w:rPr>
          <w:i/>
        </w:rPr>
        <w:t>available</w:t>
      </w:r>
      <w:r w:rsidRPr="00452107">
        <w:rPr>
          <w:i/>
        </w:rPr>
        <w:t xml:space="preserve"> in English.</w:t>
      </w:r>
      <w:r w:rsidRPr="00452107">
        <w:t xml:space="preserve"> </w:t>
      </w:r>
      <w:r>
        <w:t xml:space="preserve">It is understood the Cochrane Handbook of Systematic Reviews for Interventions </w:t>
      </w:r>
      <w:r>
        <w:fldChar w:fldCharType="begin" w:fldLock="1"/>
      </w:r>
      <w:r>
        <w:instrText>ADDIN CSL_CITATION { "citationItems" : [ { "id" : "ITEM-1", "itemData" : { "author" : [ { "dropping-particle" : "", "family" : "Higgins", "given" : "J P T", "non-dropping-particle" : "", "parse-names" : false, "suffix" : "" }, { "dropping-particle" : "", "family" : "Green", "given" : "S", "non-dropping-particle" : "", "parse-names" : false, "suffix" : "" } ], "edition" : "5.1.0", "id" : "ITEM-1", "issued" : { "date-parts" : [ [ "2011" ] ] }, "publisher" : "The Cochrane Collection, 2011", "title" : "Cochrane Handbook for Systematic Reviews of Interventions", "type" : "book" }, "uris" : [ "http://www.mendeley.com/documents/?uuid=53eb65e7-45f8-436a-ad2e-eaeff6173e20" ] } ], "mendeley" : { "formattedCitation" : "(Higgins &amp; Green, 2011)", "plainTextFormattedCitation" : "(Higgins &amp; Green, 2011)", "previouslyFormattedCitation" : "(Higgins &amp; Green, 2011)" }, "properties" : { "noteIndex" : 0 }, "schema" : "https://github.com/citation-style-language/schema/raw/master/csl-citation.json" }</w:instrText>
      </w:r>
      <w:r>
        <w:fldChar w:fldCharType="separate"/>
      </w:r>
      <w:r w:rsidRPr="00A91C52">
        <w:rPr>
          <w:noProof/>
        </w:rPr>
        <w:t>(Higgins &amp; Green, 2011)</w:t>
      </w:r>
      <w:r>
        <w:fldChar w:fldCharType="end"/>
      </w:r>
      <w:r>
        <w:t xml:space="preserve"> recommends that non-English studies are included in meta-analyses and that the exclusion of good quality non-English studies may be detrimental to reviews </w:t>
      </w:r>
      <w:r>
        <w:fldChar w:fldCharType="begin" w:fldLock="1"/>
      </w:r>
      <w:r>
        <w:instrText>ADDIN CSL_CITATION { "citationItems" : [ { "id" : "ITEM-1", "itemData" : { "DOI" : "10.3310/hta7010", "ISBN" : "1366-5278", "ISSN" : "13665278", "PMID" : "12583822", "abstract" : "Egger, M., Juni, P., Bartlett, C., Holenstein, F., &amp; Sterne, J. (2003). How important are comprehensive literature searches and the assessment of trial quality in systematic reviews? empirical study. Health Technology Assessment, 7(1), 1.", "author" : [ { "dropping-particle" : "", "family" : "Egger", "given" : "M.", "non-dropping-particle" : "", "parse-names" : false, "suffix" : "" }, { "dropping-particle" : "", "family" : "Juni", "given" : "P.", "non-dropping-particle" : "", "parse-names" : false, "suffix" : "" }, { "dropping-particle" : "", "family" : "Bartlett", "given" : "C.", "non-dropping-particle" : "", "parse-names" : false, "suffix" : "" }, { "dropping-particle" : "", "family" : "Holenstein", "given" : "F.", "non-dropping-particle" : "", "parse-names" : false, "suffix" : "" }, { "dropping-particle" : "", "family" : "Sterne", "given" : "J.", "non-dropping-particle" : "", "parse-names" : false, "suffix" : "" } ], "container-title" : "Health technology assessment (Winchester, England)", "id" : "ITEM-1", "issue" : "1", "issued" : { "date-parts" : [ [ "2003" ] ] }, "page" : "1-76", "title" : "How important are comprehensive literature searches and the assessment of trial quality in systematic reviews? Empirical study.", "type" : "article-journal", "volume" : "7" }, "uris" : [ "http://www.mendeley.com/documents/?uuid=690bef44-e349-49d9-ae6a-7e3b8599f826" ] } ], "mendeley" : { "formattedCitation" : "(M. Egger, Juni, Bartlett, Holenstein, &amp; Sterne, 2003)", "manualFormatting" : "(Egger, Juni, Bartlett, Holenstein, &amp; Sterne, 2003)", "plainTextFormattedCitation" : "(M. Egger, Juni, Bartlett, Holenstein, &amp; Sterne, 2003)", "previouslyFormattedCitation" : "(M. Egger, Juni, Bartlett, Holenstein, &amp; Sterne, 2003)" }, "properties" : { "noteIndex" : 0 }, "schema" : "https://github.com/citation-style-language/schema/raw/master/csl-citation.json" }</w:instrText>
      </w:r>
      <w:r>
        <w:fldChar w:fldCharType="separate"/>
      </w:r>
      <w:r w:rsidRPr="00E27C61">
        <w:rPr>
          <w:noProof/>
        </w:rPr>
        <w:t>(Egger, Juni, Bartlett, Holenstein, &amp; Sterne, 2003)</w:t>
      </w:r>
      <w:r>
        <w:fldChar w:fldCharType="end"/>
      </w:r>
      <w:r>
        <w:t xml:space="preserve">. Where papers were found in another language, attempts were made, via </w:t>
      </w:r>
      <w:proofErr w:type="gramStart"/>
      <w:r>
        <w:t>internet</w:t>
      </w:r>
      <w:proofErr w:type="gramEnd"/>
      <w:r>
        <w:t xml:space="preserve"> searches and contact with authors, to obtain an English translation to allow application of the criteria. However, given the language expertise of the authors, where this was not possible the study was </w:t>
      </w:r>
      <w:proofErr w:type="gramStart"/>
      <w:r>
        <w:t>excluded</w:t>
      </w:r>
      <w:proofErr w:type="gramEnd"/>
      <w:r>
        <w:t xml:space="preserve"> as the necessary information to allow reliable application of the criteria could not be confidently extracted. </w:t>
      </w:r>
    </w:p>
    <w:p w:rsidR="00030E6C" w:rsidRPr="00452107" w:rsidRDefault="00030E6C" w:rsidP="00030E6C">
      <w:pPr>
        <w:numPr>
          <w:ilvl w:val="0"/>
          <w:numId w:val="1"/>
        </w:numPr>
      </w:pPr>
      <w:r w:rsidRPr="00452107">
        <w:rPr>
          <w:i/>
        </w:rPr>
        <w:t>The paper must be an original study NOT a review.</w:t>
      </w:r>
    </w:p>
    <w:p w:rsidR="00030E6C" w:rsidRPr="00452107" w:rsidRDefault="00030E6C" w:rsidP="00030E6C">
      <w:pPr>
        <w:numPr>
          <w:ilvl w:val="0"/>
          <w:numId w:val="1"/>
        </w:numPr>
      </w:pPr>
      <w:r w:rsidRPr="00452107">
        <w:rPr>
          <w:i/>
        </w:rPr>
        <w:t xml:space="preserve">Participants </w:t>
      </w:r>
      <w:r>
        <w:rPr>
          <w:i/>
        </w:rPr>
        <w:t>must</w:t>
      </w:r>
      <w:r w:rsidRPr="00452107">
        <w:rPr>
          <w:i/>
        </w:rPr>
        <w:t xml:space="preserve"> be human.</w:t>
      </w:r>
      <w:r w:rsidRPr="00452107">
        <w:t xml:space="preserve"> </w:t>
      </w:r>
    </w:p>
    <w:p w:rsidR="00030E6C" w:rsidRPr="00452107" w:rsidRDefault="00030E6C" w:rsidP="00030E6C">
      <w:pPr>
        <w:numPr>
          <w:ilvl w:val="0"/>
          <w:numId w:val="1"/>
        </w:numPr>
      </w:pPr>
      <w:r w:rsidRPr="00452107">
        <w:rPr>
          <w:i/>
        </w:rPr>
        <w:t xml:space="preserve">The paper must investigate a child, adolescent or youth population </w:t>
      </w:r>
      <w:r w:rsidRPr="00452107">
        <w:t xml:space="preserve">(reported </w:t>
      </w:r>
      <w:r w:rsidRPr="00452107">
        <w:rPr>
          <w:i/>
        </w:rPr>
        <w:t xml:space="preserve">either a </w:t>
      </w:r>
      <w:r w:rsidRPr="00452107">
        <w:t xml:space="preserve">maximum age = 21 years and/or mean age &lt; 18 years). </w:t>
      </w:r>
    </w:p>
    <w:p w:rsidR="00030E6C" w:rsidRPr="00452107" w:rsidRDefault="00030E6C" w:rsidP="00030E6C">
      <w:pPr>
        <w:numPr>
          <w:ilvl w:val="0"/>
          <w:numId w:val="1"/>
        </w:numPr>
        <w:rPr>
          <w:i/>
        </w:rPr>
      </w:pPr>
      <w:r w:rsidRPr="00452107">
        <w:rPr>
          <w:i/>
        </w:rPr>
        <w:t xml:space="preserve">Primary focus </w:t>
      </w:r>
      <w:r>
        <w:rPr>
          <w:i/>
        </w:rPr>
        <w:t>must</w:t>
      </w:r>
      <w:r w:rsidRPr="00452107">
        <w:rPr>
          <w:i/>
        </w:rPr>
        <w:t xml:space="preserve"> be on typically developing children</w:t>
      </w:r>
      <w:r w:rsidRPr="00452107">
        <w:t xml:space="preserve">. </w:t>
      </w:r>
      <w:r>
        <w:t xml:space="preserve">Children with atypical development (i.e. premature, experienced abuse) or those with a developmental disorder, for example autism spectrum conditions, may have particular propensities to anxiety and/or may have particular patterns of information processing that would influence their interpretation of ambiguity, as such papers which focused on these populations were excluded. </w:t>
      </w:r>
    </w:p>
    <w:p w:rsidR="00030E6C" w:rsidRDefault="00030E6C" w:rsidP="00030E6C">
      <w:pPr>
        <w:numPr>
          <w:ilvl w:val="0"/>
          <w:numId w:val="1"/>
        </w:numPr>
      </w:pPr>
      <w:r w:rsidRPr="00452107">
        <w:rPr>
          <w:i/>
        </w:rPr>
        <w:t xml:space="preserve">A sound and standardised measure of anxiety or fear should </w:t>
      </w:r>
      <w:r>
        <w:rPr>
          <w:i/>
        </w:rPr>
        <w:t>be</w:t>
      </w:r>
      <w:r w:rsidRPr="00452107">
        <w:rPr>
          <w:i/>
        </w:rPr>
        <w:t xml:space="preserve"> used for all participants</w:t>
      </w:r>
      <w:r>
        <w:t xml:space="preserve"> </w:t>
      </w:r>
      <w:r w:rsidRPr="00452107">
        <w:t xml:space="preserve">i.e. “a measure of state anxiety should conceptualise state anxiety as </w:t>
      </w:r>
      <w:r w:rsidRPr="00452107">
        <w:rPr>
          <w:lang w:val="en-US"/>
        </w:rPr>
        <w:t xml:space="preserve">an aversive emotional and motivational state occurring in threatening circumstances” </w:t>
      </w:r>
      <w:r w:rsidRPr="00452107">
        <w:rPr>
          <w:lang w:val="en-US"/>
        </w:rPr>
        <w:fldChar w:fldCharType="begin" w:fldLock="1"/>
      </w:r>
      <w:r>
        <w:rPr>
          <w:lang w:val="en-US"/>
        </w:rPr>
        <w:instrText>ADDIN CSL_CITATION { "citationItems" : [ { "id" : "ITEM-1", "itemData" : { "DOI" : "10.1037/1528-3542.7.2.336", "ISBN" : "1528-3542\\n1931-1516", "ISSN" : "1528-3542", "PMID" : "17516812", "abstract" : "Attentional control theory is an approach to anxiety and cognition representing a major development of Eysenck and Calvo's (1992) processing efficiency theory. It is assumed that anxiety impairs efficient functioning of the goal-directed attentional system and increases the extent to which processing is influenced by the stimulus-driven attentional system. In addition to decreasing attentional control, anxiety increases attention to threat-related stimuli. Adverse effects of anxiety on processing efficiency depend on two central executive functions involving attentional control: inhibition and shifting. However, anxiety may not impair performance effectiveness (quality of performance) when it leads to the use of compensatory strategies (e.g., enhanced effort; increased use of processing resources). Directions for future research are discussed.", "author" : [ { "dropping-particle" : "", "family" : "Eysenck", "given" : "Michael W", "non-dropping-particle" : "", "parse-names" : false, "suffix" : "" }, { "dropping-particle" : "", "family" : "Derakshan", "given" : "Nazanin", "non-dropping-particle" : "", "parse-names" : false, "suffix" : "" }, { "dropping-particle" : "", "family" : "Santos", "given" : "Rita", "non-dropping-particle" : "", "parse-names" : false, "suffix" : "" }, { "dropping-particle" : "", "family" : "Calvo", "given" : "Manuel G", "non-dropping-particle" : "", "parse-names" : false, "suffix" : "" } ], "container-title" : "Emotion", "id" : "ITEM-1", "issue" : "2", "issued" : { "date-parts" : [ [ "2007" ] ] }, "page" : "336-353", "title" : "Anxiety and cognitive performance: attentional control theory.", "type" : "article-journal", "volume" : "7" }, "uris" : [ "http://www.mendeley.com/documents/?uuid=b7232d0b-9334-4ae2-99b8-48ae3305ebd1" ] } ], "mendeley" : { "formattedCitation" : "(M. W. Eysenck, Derakshan, Santos, &amp; Calvo, 2007)", "manualFormatting" : "(Eysenck, Derakshan, Santos, &amp; Calvo, 2007, p.336)", "plainTextFormattedCitation" : "(M. W. Eysenck, Derakshan, Santos, &amp; Calvo, 2007)", "previouslyFormattedCitation" : "(M. W. Eysenck, Derakshan, Santos, &amp; Calvo, 2007)" }, "properties" : { "noteIndex" : 0 }, "schema" : "https://github.com/citation-style-language/schema/raw/master/csl-citation.json" }</w:instrText>
      </w:r>
      <w:r w:rsidRPr="00452107">
        <w:rPr>
          <w:lang w:val="en-US"/>
        </w:rPr>
        <w:fldChar w:fldCharType="separate"/>
      </w:r>
      <w:r w:rsidRPr="00452107">
        <w:rPr>
          <w:noProof/>
          <w:lang w:val="en-US"/>
        </w:rPr>
        <w:t>(Eysenck, Derakshan, Santos, &amp; Calvo, 2007, p.336)</w:t>
      </w:r>
      <w:r w:rsidRPr="00452107">
        <w:fldChar w:fldCharType="end"/>
      </w:r>
      <w:r w:rsidRPr="00452107">
        <w:rPr>
          <w:lang w:val="en-US"/>
        </w:rPr>
        <w:t xml:space="preserve"> while trait anxiety should refer to the “disposition to experience anxiety across multiple time points” </w:t>
      </w:r>
      <w:r w:rsidRPr="00452107">
        <w:rPr>
          <w:lang w:val="en-US"/>
        </w:rPr>
        <w:fldChar w:fldCharType="begin" w:fldLock="1"/>
      </w:r>
      <w:r>
        <w:rPr>
          <w:lang w:val="en-US"/>
        </w:rPr>
        <w:instrText>ADDIN CSL_CITATION { "citationItems" : [ { "id" : "ITEM-1", "itemData" : { "DOI" : "10.1016/j.tics.2007.05.008", "ISBN" : "1364-6613 (Print)\\n1364-6613 (Linking)", "ISSN" : "13646613", "PMID" : "17553730", "abstract" : "Anxiety can be hugely disruptive to everyday life. Anxious individuals show increased attentional capture by potential signs of danger, and interpret expressions, comments and events in a negative manner. These cognitive biases have been widely explored in human anxiety research. By contrast, animal models have focused upon the mechanisms underlying acquisition and extinction of conditioned fear, guiding exposure-based therapies for anxiety disorders. Recent neuroimaging studies of conditioned fear, attention to threat and interpretation of emotionally ambiguous stimuli indicate common amygdala-prefrontal circuitry underlying these processes, and suggest that the balance of activity within this circuitry is altered in anxiety, creating a bias towards threat-related responses. This provides a focus for future translational research, and targeted pharmacological and cognitive interventions. ?? 2007 Elsevier Ltd. All rights reserved.", "author" : [ { "dropping-particle" : "", "family" : "Bishop", "given" : "Sonia J.", "non-dropping-particle" : "", "parse-names" : false, "suffix" : "" } ], "container-title" : "Trends in Cognitive Sciences", "id" : "ITEM-1", "issue" : "7", "issued" : { "date-parts" : [ [ "2007" ] ] }, "page" : "307-316", "title" : "Neurocognitive mechanisms of anxiety: an integrative account", "type" : "article-journal", "volume" : "11" }, "uris" : [ "http://www.mendeley.com/documents/?uuid=a628f3f8-4ec4-4ed4-9b0b-ac54a5f13d23" ] } ], "mendeley" : { "formattedCitation" : "(Bishop, 2007)", "manualFormatting" : "(Bishop, 2007, p.307)", "plainTextFormattedCitation" : "(Bishop, 2007)", "previouslyFormattedCitation" : "(Bishop, 2007)" }, "properties" : { "noteIndex" : 0 }, "schema" : "https://github.com/citation-style-language/schema/raw/master/csl-citation.json" }</w:instrText>
      </w:r>
      <w:r w:rsidRPr="00452107">
        <w:rPr>
          <w:lang w:val="en-US"/>
        </w:rPr>
        <w:fldChar w:fldCharType="separate"/>
      </w:r>
      <w:r w:rsidRPr="00452107">
        <w:rPr>
          <w:noProof/>
          <w:lang w:val="en-US"/>
        </w:rPr>
        <w:t>(Bishop, 2007, p.307)</w:t>
      </w:r>
      <w:r w:rsidRPr="00452107">
        <w:fldChar w:fldCharType="end"/>
      </w:r>
      <w:r w:rsidRPr="00452107">
        <w:rPr>
          <w:lang w:val="en-US"/>
        </w:rPr>
        <w:t xml:space="preserve">. The measure should </w:t>
      </w:r>
      <w:proofErr w:type="spellStart"/>
      <w:r w:rsidRPr="00452107">
        <w:rPr>
          <w:lang w:val="en-US"/>
        </w:rPr>
        <w:t>conceptualise</w:t>
      </w:r>
      <w:proofErr w:type="spellEnd"/>
      <w:r w:rsidRPr="00452107">
        <w:rPr>
          <w:lang w:val="en-US"/>
        </w:rPr>
        <w:t xml:space="preserve"> clinical anxiety as </w:t>
      </w:r>
      <w:r w:rsidRPr="00452107">
        <w:t>“</w:t>
      </w:r>
      <w:r w:rsidRPr="00452107">
        <w:rPr>
          <w:lang w:val="en-US"/>
        </w:rPr>
        <w:t>excessive feelings of anxiety and fear, where anxiety is worry about future events and fear is a reaction to current events. These feelings may cause physical symptoms such as a racing heart and shakiness.”</w:t>
      </w:r>
      <w:r w:rsidRPr="00452107">
        <w:fldChar w:fldCharType="begin" w:fldLock="1"/>
      </w:r>
      <w:r>
        <w:instrText>ADDIN CSL_CITATION { "citationItems" : [ { "id" : "ITEM-1", "itemData" : { "author" : [ { "dropping-particle" : "", "family" : "American Psychiatric Association", "given" : "", "non-dropping-particle" : "", "parse-names" : false, "suffix" : "" } ], "edition" : "5th", "id" : "ITEM-1", "issued" : { "date-parts" : [ [ "2013" ] ] }, "publisher" : "American Psychiatric Association", "publisher-place" : "Washington D.C.", "title" : "Diagnostic and statistical manual of mental disorders", "type" : "book" }, "uris" : [ "http://www.mendeley.com/documents/?uuid=b658a5a6-0dcb-49a4-88de-550c204a21b1" ] } ], "mendeley" : { "formattedCitation" : "(American Psychiatric Association, 2013)", "manualFormatting" : "(DSM V; American Psychiatric Association, 2013)", "plainTextFormattedCitation" : "(American Psychiatric Association, 2013)", "previouslyFormattedCitation" : "(American Psychiatric Association, 2013)" }, "properties" : { "noteIndex" : 0 }, "schema" : "https://github.com/citation-style-language/schema/raw/master/csl-citation.json" }</w:instrText>
      </w:r>
      <w:r w:rsidRPr="00452107">
        <w:fldChar w:fldCharType="separate"/>
      </w:r>
      <w:r w:rsidRPr="00452107">
        <w:rPr>
          <w:noProof/>
        </w:rPr>
        <w:t>(</w:t>
      </w:r>
      <w:r>
        <w:rPr>
          <w:noProof/>
        </w:rPr>
        <w:t xml:space="preserve">DSM V; </w:t>
      </w:r>
      <w:r w:rsidRPr="00452107">
        <w:rPr>
          <w:noProof/>
        </w:rPr>
        <w:t>American Psychiatric Association, 2013)</w:t>
      </w:r>
      <w:r w:rsidRPr="00452107">
        <w:fldChar w:fldCharType="end"/>
      </w:r>
      <w:r w:rsidRPr="00452107">
        <w:t>.</w:t>
      </w:r>
      <w:r w:rsidRPr="00452107">
        <w:rPr>
          <w:lang w:val="en-US"/>
        </w:rPr>
        <w:t xml:space="preserve"> T</w:t>
      </w:r>
      <w:r>
        <w:rPr>
          <w:lang w:val="en-US"/>
        </w:rPr>
        <w:t xml:space="preserve">he measure should </w:t>
      </w:r>
      <w:proofErr w:type="spellStart"/>
      <w:r>
        <w:rPr>
          <w:lang w:val="en-US"/>
        </w:rPr>
        <w:t>conceptualise</w:t>
      </w:r>
      <w:proofErr w:type="spellEnd"/>
      <w:r w:rsidRPr="00452107">
        <w:rPr>
          <w:lang w:val="en-US"/>
        </w:rPr>
        <w:t xml:space="preserve"> fear </w:t>
      </w:r>
      <w:r w:rsidRPr="00452107">
        <w:t>as “</w:t>
      </w:r>
      <w:r w:rsidRPr="00452107">
        <w:rPr>
          <w:lang w:val="en-US"/>
        </w:rPr>
        <w:t xml:space="preserve">a specific and immediate emotional reaction to a </w:t>
      </w:r>
      <w:r w:rsidRPr="00452107">
        <w:rPr>
          <w:lang w:val="en-US"/>
        </w:rPr>
        <w:lastRenderedPageBreak/>
        <w:t xml:space="preserve">specific and well-defined class of stimuli or situations, such as spiders or needles” </w:t>
      </w:r>
      <w:r w:rsidRPr="00452107">
        <w:rPr>
          <w:lang w:val="en-US"/>
        </w:rPr>
        <w:fldChar w:fldCharType="begin" w:fldLock="1"/>
      </w:r>
      <w:r>
        <w:rPr>
          <w:lang w:val="en-US"/>
        </w:rPr>
        <w:instrText>ADDIN CSL_CITATION { "citationItems" : [ { "id" : "ITEM-1", "itemData" : { "DOI" : "10.1037/a0034834", "ISBN" : "0033-2909 (Print)", "abstract" : "Prominent cognitive theories postulate that an attentional bias toward threatening information contributes to the etiology, maintenance, or exacerbation of fear and anxiety. In this review, we investigate to what extent these causal claims are supported by sound empirical evidence. Although differences in attentional bias are associated with differences in fear and anxiety, this association does not emerge consistently. Moreover, there is only limited evidence that individual differences in attentional bias are related to individual differences in fear or anxiety. In line with a causal relation, some studies show that attentional bias precedes fear or anxiety in time. However, other studies show that fear and anxiety can precede the onset of attentional bias, suggesting circular or reciprocal causality. Importantly, a recent line of experimental research shows that changes in attentional bias can lead to changes in anxiety. Yet changes in fear and anxiety also lead to changes in attentional bias, which confirms that the relation between attentional bias and fear and anxiety is unlikely to be unidirectional. Finally, a similar causal relation between interpretation bias and anxiety has been documented. In sum, there is evidence in favor of causality, yet a strict unidirectional cause\u2013effect model is unlikely to hold. The relation between attentional bias and fear and anxiety is best described as a bidirectional, maintaining, or mutually reinforcing relation. (PsycINFO Database Record (c) 2013 APA, all rights reserved)", "author" : [ { "dropping-particle" : "", "family" : "Bockstaele", "given" : "B", "non-dropping-particle" : "Van", "parse-names" : false, "suffix" : "" }, { "dropping-particle" : "", "family" : "Verschuere", "given" : "B", "non-dropping-particle" : "", "parse-names" : false, "suffix" : "" }, { "dropping-particle" : "", "family" : "Tibboel", "given" : "H", "non-dropping-particle" : "", "parse-names" : false, "suffix" : "" }, { "dropping-particle" : "", "family" : "Houwer", "given" : "J", "non-dropping-particle" : "De", "parse-names" : false, "suffix" : "" }, { "dropping-particle" : "", "family" : "Crombez", "given" : "G", "non-dropping-particle" : "", "parse-names" : false, "suffix" : "" }, { "dropping-particle" : "", "family" : "Koster", "given" : "E H W", "non-dropping-particle" : "", "parse-names" : false, "suffix" : "" } ], "container-title" : "Psychological Bulletin", "id" : "ITEM-1", "issue" : "3", "issued" : { "date-parts" : [ [ "2013" ] ] }, "page" : "682-721", "publisher" : "American Psychological Association", "title" : "A review of current evidence for the causal impact of attentional bias on fear and anxiety.", "type" : "article-journal", "volume" : "140" }, "uris" : [ "http://www.mendeley.com/documents/?uuid=47a8cee3-c5cc-4692-92c1-38308748ffd1" ] } ], "mendeley" : { "formattedCitation" : "(Van Bockstaele et al., 2013)", "manualFormatting" : "(Van Bockstaele et al., 2013, p.683)", "plainTextFormattedCitation" : "(Van Bockstaele et al., 2013)", "previouslyFormattedCitation" : "(Van Bockstaele et al., 2013)" }, "properties" : { "noteIndex" : 0 }, "schema" : "https://github.com/citation-style-language/schema/raw/master/csl-citation.json" }</w:instrText>
      </w:r>
      <w:r w:rsidRPr="00452107">
        <w:rPr>
          <w:lang w:val="en-US"/>
        </w:rPr>
        <w:fldChar w:fldCharType="separate"/>
      </w:r>
      <w:r w:rsidRPr="00452107">
        <w:rPr>
          <w:noProof/>
          <w:lang w:val="en-US"/>
        </w:rPr>
        <w:t>(Van Bockstaele et al., 2013, p.683)</w:t>
      </w:r>
      <w:r w:rsidRPr="00452107">
        <w:fldChar w:fldCharType="end"/>
      </w:r>
      <w:r>
        <w:rPr>
          <w:lang w:val="en-US"/>
        </w:rPr>
        <w:t>.</w:t>
      </w:r>
    </w:p>
    <w:p w:rsidR="00030E6C" w:rsidRPr="00996421" w:rsidRDefault="00030E6C" w:rsidP="00030E6C">
      <w:pPr>
        <w:ind w:left="720" w:firstLine="720"/>
      </w:pPr>
      <w:r>
        <w:rPr>
          <w:lang w:val="en-US"/>
        </w:rPr>
        <w:t>T</w:t>
      </w:r>
      <w:r w:rsidRPr="00996421">
        <w:rPr>
          <w:lang w:val="en-US"/>
        </w:rPr>
        <w:t>o be a</w:t>
      </w:r>
      <w:r>
        <w:rPr>
          <w:lang w:val="en-US"/>
        </w:rPr>
        <w:t xml:space="preserve"> sound and </w:t>
      </w:r>
      <w:proofErr w:type="spellStart"/>
      <w:r>
        <w:rPr>
          <w:lang w:val="en-US"/>
        </w:rPr>
        <w:t>standardised</w:t>
      </w:r>
      <w:proofErr w:type="spellEnd"/>
      <w:r>
        <w:rPr>
          <w:lang w:val="en-US"/>
        </w:rPr>
        <w:t xml:space="preserve"> measure of clinical anxiety,</w:t>
      </w:r>
      <w:r w:rsidRPr="00996421">
        <w:rPr>
          <w:lang w:val="en-US"/>
        </w:rPr>
        <w:t xml:space="preserve"> interviews could be sem</w:t>
      </w:r>
      <w:r>
        <w:rPr>
          <w:lang w:val="en-US"/>
        </w:rPr>
        <w:t xml:space="preserve">i-structured or structured and </w:t>
      </w:r>
      <w:r w:rsidRPr="00996421">
        <w:rPr>
          <w:lang w:val="en-US"/>
        </w:rPr>
        <w:t xml:space="preserve">completed by child, parent or both. Any questionnaire </w:t>
      </w:r>
      <w:r>
        <w:t>had to</w:t>
      </w:r>
      <w:r w:rsidRPr="00996421">
        <w:t xml:space="preserve"> show internal consistency of at least 0.7 and show evidence of construct validity when compared to other measures of anxiety/fear. Finally, the age range of participants must be appropriate for the measure used. </w:t>
      </w:r>
      <w:r>
        <w:t>‘</w:t>
      </w:r>
      <w:r w:rsidRPr="00996421">
        <w:t>Appropriate</w:t>
      </w:r>
      <w:r>
        <w:t>’</w:t>
      </w:r>
      <w:r w:rsidRPr="00996421">
        <w:t xml:space="preserve"> was defined as including children + or – 1 year of the suggested age range. </w:t>
      </w:r>
      <w:r w:rsidRPr="00996421">
        <w:rPr>
          <w:lang w:val="en-US"/>
        </w:rPr>
        <w:t>Questionnaires completed by either child, parent or teacher were accepted.</w:t>
      </w:r>
    </w:p>
    <w:p w:rsidR="00030E6C" w:rsidRPr="00452107" w:rsidRDefault="00030E6C" w:rsidP="00030E6C">
      <w:pPr>
        <w:numPr>
          <w:ilvl w:val="0"/>
          <w:numId w:val="1"/>
        </w:numPr>
      </w:pPr>
      <w:r w:rsidRPr="00452107">
        <w:t xml:space="preserve">Where participants </w:t>
      </w:r>
      <w:r>
        <w:t>were</w:t>
      </w:r>
      <w:r w:rsidRPr="00452107">
        <w:t xml:space="preserve"> pre-screened into high and low anxiety groups: </w:t>
      </w:r>
      <w:r w:rsidRPr="00452107">
        <w:rPr>
          <w:i/>
        </w:rPr>
        <w:t xml:space="preserve">Papers </w:t>
      </w:r>
      <w:r>
        <w:rPr>
          <w:i/>
        </w:rPr>
        <w:t>should</w:t>
      </w:r>
      <w:r w:rsidRPr="00452107">
        <w:rPr>
          <w:i/>
        </w:rPr>
        <w:t xml:space="preserve"> determine high anxiety by either: </w:t>
      </w:r>
      <w:proofErr w:type="spellStart"/>
      <w:r w:rsidRPr="00452107">
        <w:rPr>
          <w:i/>
        </w:rPr>
        <w:t>i</w:t>
      </w:r>
      <w:proofErr w:type="spellEnd"/>
      <w:r w:rsidRPr="00452107">
        <w:rPr>
          <w:i/>
        </w:rPr>
        <w:t xml:space="preserve">) a clinical diagnosis via a standardised diagnostic interview; ii) All participants in high anxiety group </w:t>
      </w:r>
      <w:r>
        <w:rPr>
          <w:i/>
        </w:rPr>
        <w:t xml:space="preserve">must </w:t>
      </w:r>
      <w:r w:rsidRPr="00452107">
        <w:rPr>
          <w:i/>
        </w:rPr>
        <w:t xml:space="preserve">score more than 1SD above a normative mean on a standardised measure of anxiety or fear; iii) All participants in the high anxiety group </w:t>
      </w:r>
      <w:r>
        <w:rPr>
          <w:i/>
        </w:rPr>
        <w:t xml:space="preserve">must </w:t>
      </w:r>
      <w:r w:rsidRPr="00452107">
        <w:rPr>
          <w:i/>
        </w:rPr>
        <w:t>score above a cut-off recommended by the authors of the measure used (sensitivity analysis must have been conducted to validate this cut-off)</w:t>
      </w:r>
      <w:r>
        <w:rPr>
          <w:i/>
        </w:rPr>
        <w:t xml:space="preserve"> and no differences in age and gender were found between the high anxiety group and the corresponding comparison group</w:t>
      </w:r>
      <w:r w:rsidRPr="00452107">
        <w:rPr>
          <w:i/>
        </w:rPr>
        <w:t>.</w:t>
      </w:r>
      <w:r w:rsidRPr="00452107" w:rsidDel="00C944A1">
        <w:rPr>
          <w:i/>
        </w:rPr>
        <w:t xml:space="preserve"> </w:t>
      </w:r>
    </w:p>
    <w:p w:rsidR="00030E6C" w:rsidRPr="00452107" w:rsidRDefault="00030E6C" w:rsidP="00030E6C">
      <w:pPr>
        <w:numPr>
          <w:ilvl w:val="0"/>
          <w:numId w:val="1"/>
        </w:numPr>
      </w:pPr>
      <w:r w:rsidRPr="00452107">
        <w:rPr>
          <w:i/>
        </w:rPr>
        <w:t xml:space="preserve">The sample should </w:t>
      </w:r>
      <w:r>
        <w:rPr>
          <w:i/>
        </w:rPr>
        <w:t>n</w:t>
      </w:r>
      <w:r w:rsidRPr="00452107">
        <w:rPr>
          <w:i/>
        </w:rPr>
        <w:t>ot represent a restricted range of anxiety.</w:t>
      </w:r>
      <w:r w:rsidRPr="00452107">
        <w:t xml:space="preserve"> </w:t>
      </w:r>
      <w:r>
        <w:t>W</w:t>
      </w:r>
      <w:r w:rsidRPr="00452107">
        <w:t>here a correlation was conducted</w:t>
      </w:r>
      <w:r>
        <w:t>,</w:t>
      </w:r>
      <w:r w:rsidRPr="00452107">
        <w:t xml:space="preserve"> </w:t>
      </w:r>
      <w:r>
        <w:t>s</w:t>
      </w:r>
      <w:r w:rsidRPr="00452107">
        <w:t xml:space="preserve">tudies </w:t>
      </w:r>
      <w:r>
        <w:t xml:space="preserve">must include </w:t>
      </w:r>
      <w:r w:rsidRPr="00452107">
        <w:t xml:space="preserve">the full range of anxiety </w:t>
      </w:r>
      <w:r>
        <w:t xml:space="preserve">scores (i.e. not a restricted range of anxiety scores). </w:t>
      </w:r>
      <w:r w:rsidRPr="00452107">
        <w:t>Those including only clinical/high anxious or at risk samples were excluded</w:t>
      </w:r>
      <w:r>
        <w:t xml:space="preserve"> because the full range of anxiety may not be represented, leading to little variance in anxiety scores and consequently an underestimation of the association between anxiety and interpretation of ambiguity. </w:t>
      </w:r>
    </w:p>
    <w:p w:rsidR="00030E6C" w:rsidRPr="00F939D3" w:rsidRDefault="00030E6C" w:rsidP="00030E6C">
      <w:pPr>
        <w:numPr>
          <w:ilvl w:val="0"/>
          <w:numId w:val="1"/>
        </w:numPr>
      </w:pPr>
      <w:r w:rsidRPr="00F939D3">
        <w:t xml:space="preserve">Papers using cognitive bias modification were included if </w:t>
      </w:r>
      <w:r w:rsidRPr="00F939D3">
        <w:rPr>
          <w:i/>
        </w:rPr>
        <w:t xml:space="preserve">a relationship between interpretation bias and anxiety </w:t>
      </w:r>
      <w:r>
        <w:rPr>
          <w:i/>
        </w:rPr>
        <w:t>was</w:t>
      </w:r>
      <w:r w:rsidRPr="00F939D3">
        <w:rPr>
          <w:i/>
        </w:rPr>
        <w:t xml:space="preserve"> assessed pre-manipulation of either the bias or anxiety</w:t>
      </w:r>
      <w:r w:rsidRPr="00F939D3">
        <w:t xml:space="preserve">. </w:t>
      </w:r>
    </w:p>
    <w:p w:rsidR="00030E6C" w:rsidRPr="00452107" w:rsidRDefault="00030E6C" w:rsidP="00030E6C">
      <w:pPr>
        <w:numPr>
          <w:ilvl w:val="0"/>
          <w:numId w:val="1"/>
        </w:numPr>
      </w:pPr>
      <w:r w:rsidRPr="00452107">
        <w:rPr>
          <w:i/>
        </w:rPr>
        <w:t xml:space="preserve">If a correlational design was used </w:t>
      </w:r>
      <w:r>
        <w:rPr>
          <w:i/>
        </w:rPr>
        <w:t>the</w:t>
      </w:r>
      <w:r w:rsidRPr="00452107">
        <w:rPr>
          <w:i/>
        </w:rPr>
        <w:t xml:space="preserve"> paper </w:t>
      </w:r>
      <w:r>
        <w:rPr>
          <w:i/>
        </w:rPr>
        <w:t>was</w:t>
      </w:r>
      <w:r w:rsidRPr="00452107">
        <w:rPr>
          <w:i/>
        </w:rPr>
        <w:t xml:space="preserve"> included as long as the other criteria </w:t>
      </w:r>
      <w:r>
        <w:rPr>
          <w:i/>
        </w:rPr>
        <w:t>were</w:t>
      </w:r>
      <w:r w:rsidRPr="00452107">
        <w:rPr>
          <w:i/>
        </w:rPr>
        <w:t xml:space="preserve"> met. However, where anxiety groups </w:t>
      </w:r>
      <w:r>
        <w:rPr>
          <w:i/>
        </w:rPr>
        <w:t>were</w:t>
      </w:r>
      <w:r w:rsidRPr="00452107">
        <w:rPr>
          <w:i/>
        </w:rPr>
        <w:t xml:space="preserve"> formed on the basis of an arbitrary cut-off </w:t>
      </w:r>
      <w:r w:rsidRPr="004020B9">
        <w:t>(</w:t>
      </w:r>
      <w:r w:rsidRPr="00452107">
        <w:rPr>
          <w:i/>
        </w:rPr>
        <w:t>e.g.</w:t>
      </w:r>
      <w:r>
        <w:rPr>
          <w:i/>
        </w:rPr>
        <w:t xml:space="preserve"> a</w:t>
      </w:r>
      <w:r w:rsidRPr="00452107">
        <w:rPr>
          <w:i/>
        </w:rPr>
        <w:t xml:space="preserve"> median split</w:t>
      </w:r>
      <w:r>
        <w:rPr>
          <w:i/>
        </w:rPr>
        <w:t>)</w:t>
      </w:r>
      <w:r w:rsidRPr="00452107">
        <w:rPr>
          <w:i/>
        </w:rPr>
        <w:t xml:space="preserve">, the paper was included only if a continuous measure of anxiety </w:t>
      </w:r>
      <w:r>
        <w:rPr>
          <w:i/>
        </w:rPr>
        <w:t>could be</w:t>
      </w:r>
      <w:r w:rsidRPr="00452107">
        <w:rPr>
          <w:i/>
        </w:rPr>
        <w:t xml:space="preserve"> extracted to provide a correlation</w:t>
      </w:r>
      <w:r>
        <w:rPr>
          <w:i/>
        </w:rPr>
        <w:t xml:space="preserve"> </w:t>
      </w:r>
      <w:r>
        <w:rPr>
          <w:noProof/>
        </w:rPr>
        <w:t>(</w:t>
      </w:r>
      <w:r w:rsidRPr="00715E3D">
        <w:rPr>
          <w:noProof/>
        </w:rPr>
        <w:t>Field, 2013; McClelland, Lynch, Irwin, Spiller, &amp; Fitzsimons, 2015; Rucker, McShane, &amp; Preacher, 2015)</w:t>
      </w:r>
      <w:r w:rsidRPr="00452107">
        <w:rPr>
          <w:i/>
        </w:rPr>
        <w:t>.</w:t>
      </w:r>
    </w:p>
    <w:p w:rsidR="00030E6C" w:rsidRPr="00452107" w:rsidRDefault="00030E6C" w:rsidP="00030E6C">
      <w:pPr>
        <w:numPr>
          <w:ilvl w:val="0"/>
          <w:numId w:val="1"/>
        </w:numPr>
      </w:pPr>
      <w:r w:rsidRPr="00452107">
        <w:rPr>
          <w:i/>
        </w:rPr>
        <w:t xml:space="preserve">The measure of interpretation bias </w:t>
      </w:r>
      <w:r>
        <w:rPr>
          <w:i/>
        </w:rPr>
        <w:t xml:space="preserve">captured the extent to which participants interpreted </w:t>
      </w:r>
      <w:r w:rsidRPr="00452107">
        <w:rPr>
          <w:i/>
        </w:rPr>
        <w:t>ambiguity as threat</w:t>
      </w:r>
      <w:r>
        <w:rPr>
          <w:i/>
        </w:rPr>
        <w:t>ening</w:t>
      </w:r>
      <w:r w:rsidRPr="00452107">
        <w:rPr>
          <w:i/>
        </w:rPr>
        <w:t xml:space="preserve"> or negative and/or the child’s readiness to perceive threat i.e. R</w:t>
      </w:r>
      <w:r>
        <w:rPr>
          <w:i/>
        </w:rPr>
        <w:t xml:space="preserve">educed </w:t>
      </w:r>
      <w:r w:rsidRPr="00452107">
        <w:rPr>
          <w:i/>
        </w:rPr>
        <w:t>E</w:t>
      </w:r>
      <w:r>
        <w:rPr>
          <w:i/>
        </w:rPr>
        <w:t xml:space="preserve">vidence for </w:t>
      </w:r>
      <w:r w:rsidRPr="00452107">
        <w:rPr>
          <w:i/>
        </w:rPr>
        <w:t>D</w:t>
      </w:r>
      <w:r>
        <w:rPr>
          <w:i/>
        </w:rPr>
        <w:t>anger (RED)</w:t>
      </w:r>
      <w:r w:rsidRPr="00452107">
        <w:rPr>
          <w:i/>
        </w:rPr>
        <w:t xml:space="preserve"> outcome</w:t>
      </w:r>
      <w:r w:rsidRPr="00452107">
        <w:t xml:space="preserve">. </w:t>
      </w:r>
      <w:r>
        <w:t>For example studies were included</w:t>
      </w:r>
      <w:r w:rsidRPr="00EB6742">
        <w:t xml:space="preserve"> </w:t>
      </w:r>
      <w:r>
        <w:t xml:space="preserve">that </w:t>
      </w:r>
      <w:r w:rsidRPr="00EB6742">
        <w:t>use</w:t>
      </w:r>
      <w:r>
        <w:t>d</w:t>
      </w:r>
      <w:r w:rsidRPr="00EB6742">
        <w:t xml:space="preserve"> threat interpretation, threat threshold and</w:t>
      </w:r>
      <w:r>
        <w:t>/or</w:t>
      </w:r>
      <w:r w:rsidRPr="00EB6742">
        <w:t xml:space="preserve"> threat frequency as dependent variables </w:t>
      </w:r>
      <w:r>
        <w:t>a</w:t>
      </w:r>
      <w:r w:rsidRPr="00EB6742">
        <w:t xml:space="preserve">s these </w:t>
      </w:r>
      <w:r>
        <w:t>capture</w:t>
      </w:r>
      <w:r w:rsidRPr="00EB6742">
        <w:t xml:space="preserve"> the likelihood of ambiguity being interpr</w:t>
      </w:r>
      <w:r>
        <w:t>eted as negative or threatening</w:t>
      </w:r>
      <w:r w:rsidRPr="003B201A">
        <w:rPr>
          <w:rStyle w:val="FootnoteReference"/>
        </w:rPr>
        <w:footnoteReference w:id="1"/>
      </w:r>
      <w:r w:rsidRPr="00452107">
        <w:t>.</w:t>
      </w:r>
    </w:p>
    <w:p w:rsidR="00030E6C" w:rsidRPr="00452107" w:rsidRDefault="00030E6C" w:rsidP="00030E6C">
      <w:pPr>
        <w:numPr>
          <w:ilvl w:val="0"/>
          <w:numId w:val="1"/>
        </w:numPr>
      </w:pPr>
      <w:r>
        <w:rPr>
          <w:i/>
          <w:lang w:val="en-US"/>
        </w:rPr>
        <w:t>Where open-ended interpretations of ambiguous scenarios were coded, inter-rater reliability must</w:t>
      </w:r>
      <w:r w:rsidRPr="00452107">
        <w:rPr>
          <w:i/>
          <w:lang w:val="en-US"/>
        </w:rPr>
        <w:t xml:space="preserve"> be at least .7 for inclusion</w:t>
      </w:r>
      <w:r>
        <w:rPr>
          <w:i/>
          <w:lang w:val="en-US"/>
        </w:rPr>
        <w:t xml:space="preserve">, </w:t>
      </w:r>
      <w:r w:rsidRPr="00452107">
        <w:rPr>
          <w:lang w:val="en-US"/>
        </w:rPr>
        <w:t xml:space="preserve">unless both open ended and forced choice format were used </w:t>
      </w:r>
      <w:r>
        <w:rPr>
          <w:lang w:val="en-US"/>
        </w:rPr>
        <w:t>and</w:t>
      </w:r>
      <w:r w:rsidRPr="00452107">
        <w:rPr>
          <w:lang w:val="en-US"/>
        </w:rPr>
        <w:t xml:space="preserve"> open-ended responses </w:t>
      </w:r>
      <w:r>
        <w:rPr>
          <w:lang w:val="en-US"/>
        </w:rPr>
        <w:t>were significantly associated</w:t>
      </w:r>
      <w:r w:rsidRPr="00452107">
        <w:rPr>
          <w:lang w:val="en-US"/>
        </w:rPr>
        <w:t xml:space="preserve"> with forced choice answers. </w:t>
      </w:r>
    </w:p>
    <w:p w:rsidR="00030E6C" w:rsidRPr="00452107" w:rsidRDefault="00030E6C" w:rsidP="00030E6C">
      <w:pPr>
        <w:numPr>
          <w:ilvl w:val="0"/>
          <w:numId w:val="1"/>
        </w:numPr>
      </w:pPr>
      <w:r>
        <w:rPr>
          <w:i/>
        </w:rPr>
        <w:t>F</w:t>
      </w:r>
      <w:r w:rsidRPr="00452107">
        <w:rPr>
          <w:i/>
        </w:rPr>
        <w:t xml:space="preserve">ull text access </w:t>
      </w:r>
      <w:r>
        <w:rPr>
          <w:i/>
        </w:rPr>
        <w:t>must be available</w:t>
      </w:r>
      <w:r w:rsidRPr="00AE5CA7">
        <w:rPr>
          <w:i/>
        </w:rPr>
        <w:t xml:space="preserve"> </w:t>
      </w:r>
      <w:r>
        <w:rPr>
          <w:i/>
        </w:rPr>
        <w:t>t</w:t>
      </w:r>
      <w:r w:rsidRPr="00452107">
        <w:rPr>
          <w:i/>
        </w:rPr>
        <w:t>o be able to code and extract all the information necessary for the meta-analysis</w:t>
      </w:r>
      <w:r w:rsidRPr="00452107">
        <w:t xml:space="preserve">. This </w:t>
      </w:r>
      <w:proofErr w:type="gramStart"/>
      <w:r w:rsidRPr="00452107">
        <w:t>criteria</w:t>
      </w:r>
      <w:proofErr w:type="gramEnd"/>
      <w:r w:rsidRPr="00452107">
        <w:t xml:space="preserve"> was applied after every effort had been made to </w:t>
      </w:r>
      <w:r>
        <w:t xml:space="preserve">first </w:t>
      </w:r>
      <w:r w:rsidRPr="00452107">
        <w:t xml:space="preserve">obtain the full text.  </w:t>
      </w:r>
    </w:p>
    <w:p w:rsidR="00030E6C" w:rsidRPr="00452107" w:rsidRDefault="00030E6C" w:rsidP="00030E6C">
      <w:pPr>
        <w:numPr>
          <w:ilvl w:val="0"/>
          <w:numId w:val="1"/>
        </w:numPr>
      </w:pPr>
      <w:r>
        <w:rPr>
          <w:i/>
        </w:rPr>
        <w:t>A</w:t>
      </w:r>
      <w:r w:rsidRPr="00452107">
        <w:rPr>
          <w:i/>
        </w:rPr>
        <w:t xml:space="preserve">ppropriate statistics regarding the relationship between interpretation bias and anxiety </w:t>
      </w:r>
      <w:r>
        <w:rPr>
          <w:i/>
        </w:rPr>
        <w:t>should be</w:t>
      </w:r>
      <w:r w:rsidRPr="00452107">
        <w:rPr>
          <w:i/>
        </w:rPr>
        <w:t xml:space="preserve"> available</w:t>
      </w:r>
      <w:r w:rsidRPr="00452107">
        <w:t xml:space="preserve">. If these were not immediately accessible from the paper authors were contacted. Six authors were contacted on this basis and three </w:t>
      </w:r>
      <w:r>
        <w:t xml:space="preserve">were able to </w:t>
      </w:r>
      <w:r w:rsidRPr="00452107">
        <w:t xml:space="preserve">provide </w:t>
      </w:r>
      <w:r>
        <w:t xml:space="preserve">the necessary </w:t>
      </w:r>
      <w:r w:rsidRPr="00452107">
        <w:t>additional information.</w:t>
      </w:r>
    </w:p>
    <w:p w:rsidR="00030E6C" w:rsidRPr="00C25D63" w:rsidRDefault="00030E6C" w:rsidP="00030E6C">
      <w:pPr>
        <w:ind w:firstLine="360"/>
      </w:pPr>
      <w:r>
        <w:t>A</w:t>
      </w:r>
      <w:r w:rsidRPr="00452107">
        <w:t xml:space="preserve"> paper was excluded </w:t>
      </w:r>
      <w:r>
        <w:t xml:space="preserve">at each stage of the screening process (detailed below) </w:t>
      </w:r>
      <w:r w:rsidRPr="00452107">
        <w:t>on the basis of a ‘no’ response to</w:t>
      </w:r>
      <w:r>
        <w:t xml:space="preserve"> any of</w:t>
      </w:r>
      <w:r w:rsidRPr="00452107">
        <w:t xml:space="preserve"> the eligibility criteria, and the first criteria</w:t>
      </w:r>
      <w:r>
        <w:t xml:space="preserve"> that</w:t>
      </w:r>
      <w:r w:rsidRPr="00452107">
        <w:t xml:space="preserve"> was </w:t>
      </w:r>
      <w:r>
        <w:t xml:space="preserve">not met was </w:t>
      </w:r>
      <w:r w:rsidRPr="00452107">
        <w:t>recorded</w:t>
      </w:r>
      <w:r>
        <w:t xml:space="preserve"> as the reason for rejection</w:t>
      </w:r>
      <w:r w:rsidRPr="00452107">
        <w:t>. Where criteria were coded as unclear (in the absence of any ‘no’ codes)</w:t>
      </w:r>
      <w:r>
        <w:t xml:space="preserve"> at the abstract stage</w:t>
      </w:r>
      <w:r w:rsidRPr="00452107">
        <w:t xml:space="preserve">, papers went through for full text </w:t>
      </w:r>
      <w:r>
        <w:t>screening</w:t>
      </w:r>
      <w:r w:rsidRPr="00452107">
        <w:t xml:space="preserve">. Where particular criteria were not applicable </w:t>
      </w:r>
      <w:r>
        <w:t>they</w:t>
      </w:r>
      <w:r w:rsidRPr="00452107">
        <w:t xml:space="preserve"> w</w:t>
      </w:r>
      <w:r>
        <w:t>ere</w:t>
      </w:r>
      <w:r w:rsidRPr="00452107">
        <w:t xml:space="preserve"> not coded. </w:t>
      </w:r>
    </w:p>
    <w:p w:rsidR="004035B7" w:rsidRDefault="004035B7"/>
    <w:sectPr w:rsidR="004035B7" w:rsidSect="00AD0AE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E6C" w:rsidRDefault="00030E6C" w:rsidP="00030E6C">
      <w:pPr>
        <w:spacing w:line="240" w:lineRule="auto"/>
      </w:pPr>
      <w:r>
        <w:separator/>
      </w:r>
    </w:p>
  </w:endnote>
  <w:endnote w:type="continuationSeparator" w:id="0">
    <w:p w:rsidR="00030E6C" w:rsidRDefault="00030E6C" w:rsidP="00030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E6C" w:rsidRDefault="00030E6C" w:rsidP="00030E6C">
      <w:pPr>
        <w:spacing w:line="240" w:lineRule="auto"/>
      </w:pPr>
      <w:r>
        <w:separator/>
      </w:r>
    </w:p>
  </w:footnote>
  <w:footnote w:type="continuationSeparator" w:id="0">
    <w:p w:rsidR="00030E6C" w:rsidRDefault="00030E6C" w:rsidP="00030E6C">
      <w:pPr>
        <w:spacing w:line="240" w:lineRule="auto"/>
      </w:pPr>
      <w:r>
        <w:continuationSeparator/>
      </w:r>
    </w:p>
  </w:footnote>
  <w:footnote w:id="1">
    <w:p w:rsidR="00030E6C" w:rsidRPr="009E79A4" w:rsidRDefault="00030E6C" w:rsidP="00030E6C">
      <w:pPr>
        <w:pStyle w:val="FootnoteText"/>
        <w:rPr>
          <w:sz w:val="22"/>
          <w:szCs w:val="22"/>
          <w:lang w:val="en-US"/>
        </w:rPr>
      </w:pPr>
      <w:r w:rsidRPr="003B201A">
        <w:rPr>
          <w:rStyle w:val="FootnoteReference"/>
        </w:rPr>
        <w:footnoteRef/>
      </w:r>
      <w:r>
        <w:t xml:space="preserve"> </w:t>
      </w:r>
      <w:r w:rsidRPr="009E79A4">
        <w:rPr>
          <w:sz w:val="22"/>
          <w:szCs w:val="22"/>
        </w:rPr>
        <w:t xml:space="preserve">After discussion between authors, any paper utilising the Children’s Negative Cognitive Errors Questionnaire </w:t>
      </w:r>
      <w:r w:rsidRPr="009E79A4">
        <w:rPr>
          <w:sz w:val="22"/>
          <w:szCs w:val="22"/>
        </w:rPr>
        <w:fldChar w:fldCharType="begin" w:fldLock="1"/>
      </w:r>
      <w:r w:rsidRPr="009E79A4">
        <w:rPr>
          <w:sz w:val="22"/>
          <w:szCs w:val="22"/>
        </w:rPr>
        <w:instrText>ADDIN CSL_CITATION { "citationItems" : [ { "id" : "ITEM-1", "itemData" : { "DOI" : "10.1037/0022-006X.54.4.528", "ISSN" : "0022-006X", "PMID" : "3745607", "abstract" : "Constructed a self-report questionnaire, Children's Negative Cognitive Error Questionnaire (CNCEQ), to measure in children 4 types of negative cognitive errors derived from A. T. Beck's (1967, 1976) cognitive theory of adult depression: (a) overgeneralized predictions of negative outcomes, (b) catastrophizing the consequences of negative events, (c) incorrectly taking personal responsibility for negative outcomes, and (d) selectively attending to negative features of an event. Results from administration of the CNCEQ to a normative sample of 637 4th-, 6th-, and 8th-grade children showed that in general these Ss did not endorse any of the 4 types of negative thoughts to any large extent. However, 3 subsequent studies, using 201 of the Ss in the normative sample and 211 other 4th\u20138th grade children, indicated that Ss with self-reported symptoms of depression, low self-esteem, and evaluation anxiety (according to a children's depression inventory, the Piers-Harris Children's Self-Concept Scale, and a test anxiety scale) endorsed each type of negative cognitive error significantly more than did their nondepressed, high self-esteem, and non-evaluation-anxious counterparts.", "author" : [ { "dropping-particle" : "", "family" : "Leitenberg", "given" : "H", "non-dropping-particle" : "", "parse-names" : false, "suffix" : "" }, { "dropping-particle" : "", "family" : "Yost", "given" : "L W", "non-dropping-particle" : "", "parse-names" : false, "suffix" : "" }, { "dropping-particle" : "", "family" : "Carroll-Wilson", "given" : "M", "non-dropping-particle" : "", "parse-names" : false, "suffix" : "" } ], "container-title" : "Journal of Consulting and Clinical Psychology", "id" : "ITEM-1", "issue" : "4", "issued" : { "date-parts" : [ [ "1986" ] ] }, "page" : "528-536", "title" : "Negative cognitive errors in children: questionnaire development, normative data, and comparisons between children with and without self-reported symptoms of depression, low self-esteem, and evaluation anxiety.", "type" : "article-journal", "volume" : "54" }, "uris" : [ "http://www.mendeley.com/documents/?uuid=59ebe2ce-05e8-4e31-9f8b-386355205af8" ] } ], "mendeley" : { "formattedCitation" : "(Leitenberg, Yost, &amp; Carroll-Wilson, 1986)", "plainTextFormattedCitation" : "(Leitenberg, Yost, &amp; Carroll-Wilson, 1986)", "previouslyFormattedCitation" : "(Leitenberg, Yost, &amp; Carroll-Wilson, 1986)" }, "properties" : { "noteIndex" : 0 }, "schema" : "https://github.com/citation-style-language/schema/raw/master/csl-citation.json" }</w:instrText>
      </w:r>
      <w:r w:rsidRPr="009E79A4">
        <w:rPr>
          <w:sz w:val="22"/>
          <w:szCs w:val="22"/>
        </w:rPr>
        <w:fldChar w:fldCharType="separate"/>
      </w:r>
      <w:r w:rsidRPr="009E79A4">
        <w:rPr>
          <w:noProof/>
          <w:sz w:val="22"/>
          <w:szCs w:val="22"/>
        </w:rPr>
        <w:t>(Leitenberg, Yost, &amp; Carroll-Wilson, 1986)</w:t>
      </w:r>
      <w:r w:rsidRPr="009E79A4">
        <w:rPr>
          <w:sz w:val="22"/>
          <w:szCs w:val="22"/>
        </w:rPr>
        <w:fldChar w:fldCharType="end"/>
      </w:r>
      <w:r w:rsidRPr="009E79A4">
        <w:rPr>
          <w:sz w:val="22"/>
          <w:szCs w:val="22"/>
        </w:rPr>
        <w:t xml:space="preserve"> were excluded from the</w:t>
      </w:r>
      <w:r w:rsidRPr="00452107">
        <w:t xml:space="preserve"> </w:t>
      </w:r>
      <w:r w:rsidRPr="009E79A4">
        <w:rPr>
          <w:sz w:val="22"/>
          <w:szCs w:val="22"/>
        </w:rPr>
        <w:t>analysis given the interpretation of ambiguity could not be directly extracted from the measure.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B3F7A"/>
    <w:multiLevelType w:val="hybridMultilevel"/>
    <w:tmpl w:val="DA4AD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E6C"/>
    <w:rsid w:val="00030E6C"/>
    <w:rsid w:val="004035B7"/>
    <w:rsid w:val="00AD0A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4145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6C"/>
    <w:pPr>
      <w:spacing w:line="360" w:lineRule="auto"/>
    </w:pPr>
    <w:rPr>
      <w:rFonts w:ascii="Times New Roman" w:hAnsi="Times New Roman" w:cs="Times New Roman"/>
    </w:rPr>
  </w:style>
  <w:style w:type="paragraph" w:styleId="Heading2">
    <w:name w:val="heading 2"/>
    <w:basedOn w:val="Normal"/>
    <w:next w:val="Normal"/>
    <w:link w:val="Heading2Char"/>
    <w:uiPriority w:val="9"/>
    <w:unhideWhenUsed/>
    <w:qFormat/>
    <w:rsid w:val="00030E6C"/>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E6C"/>
    <w:rPr>
      <w:rFonts w:ascii="Times New Roman" w:eastAsiaTheme="majorEastAsia" w:hAnsi="Times New Roman" w:cstheme="majorBidi"/>
      <w:b/>
      <w:bCs/>
      <w:szCs w:val="26"/>
    </w:rPr>
  </w:style>
  <w:style w:type="paragraph" w:styleId="FootnoteText">
    <w:name w:val="footnote text"/>
    <w:basedOn w:val="Normal"/>
    <w:link w:val="FootnoteTextChar"/>
    <w:uiPriority w:val="99"/>
    <w:unhideWhenUsed/>
    <w:rsid w:val="00030E6C"/>
  </w:style>
  <w:style w:type="character" w:customStyle="1" w:styleId="FootnoteTextChar">
    <w:name w:val="Footnote Text Char"/>
    <w:basedOn w:val="DefaultParagraphFont"/>
    <w:link w:val="FootnoteText"/>
    <w:uiPriority w:val="99"/>
    <w:rsid w:val="00030E6C"/>
    <w:rPr>
      <w:rFonts w:ascii="Times New Roman" w:hAnsi="Times New Roman" w:cs="Times New Roman"/>
    </w:rPr>
  </w:style>
  <w:style w:type="character" w:styleId="FootnoteReference">
    <w:name w:val="footnote reference"/>
    <w:basedOn w:val="DefaultParagraphFont"/>
    <w:uiPriority w:val="99"/>
    <w:unhideWhenUsed/>
    <w:rsid w:val="00030E6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E6C"/>
    <w:pPr>
      <w:spacing w:line="360" w:lineRule="auto"/>
    </w:pPr>
    <w:rPr>
      <w:rFonts w:ascii="Times New Roman" w:hAnsi="Times New Roman" w:cs="Times New Roman"/>
    </w:rPr>
  </w:style>
  <w:style w:type="paragraph" w:styleId="Heading2">
    <w:name w:val="heading 2"/>
    <w:basedOn w:val="Normal"/>
    <w:next w:val="Normal"/>
    <w:link w:val="Heading2Char"/>
    <w:uiPriority w:val="9"/>
    <w:unhideWhenUsed/>
    <w:qFormat/>
    <w:rsid w:val="00030E6C"/>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0E6C"/>
    <w:rPr>
      <w:rFonts w:ascii="Times New Roman" w:eastAsiaTheme="majorEastAsia" w:hAnsi="Times New Roman" w:cstheme="majorBidi"/>
      <w:b/>
      <w:bCs/>
      <w:szCs w:val="26"/>
    </w:rPr>
  </w:style>
  <w:style w:type="paragraph" w:styleId="FootnoteText">
    <w:name w:val="footnote text"/>
    <w:basedOn w:val="Normal"/>
    <w:link w:val="FootnoteTextChar"/>
    <w:uiPriority w:val="99"/>
    <w:unhideWhenUsed/>
    <w:rsid w:val="00030E6C"/>
  </w:style>
  <w:style w:type="character" w:customStyle="1" w:styleId="FootnoteTextChar">
    <w:name w:val="Footnote Text Char"/>
    <w:basedOn w:val="DefaultParagraphFont"/>
    <w:link w:val="FootnoteText"/>
    <w:uiPriority w:val="99"/>
    <w:rsid w:val="00030E6C"/>
    <w:rPr>
      <w:rFonts w:ascii="Times New Roman" w:hAnsi="Times New Roman" w:cs="Times New Roman"/>
    </w:rPr>
  </w:style>
  <w:style w:type="character" w:styleId="FootnoteReference">
    <w:name w:val="footnote reference"/>
    <w:basedOn w:val="DefaultParagraphFont"/>
    <w:uiPriority w:val="99"/>
    <w:unhideWhenUsed/>
    <w:rsid w:val="00030E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2744</Words>
  <Characters>15645</Characters>
  <Application>Microsoft Macintosh Word</Application>
  <DocSecurity>0</DocSecurity>
  <Lines>130</Lines>
  <Paragraphs>36</Paragraphs>
  <ScaleCrop>false</ScaleCrop>
  <Company/>
  <LinksUpToDate>false</LinksUpToDate>
  <CharactersWithSpaces>18353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Suzannah Stuijfzand</dc:creator>
  <cp:keywords/>
  <dc:description/>
  <cp:lastModifiedBy>Suzannah Stuijfzand</cp:lastModifiedBy>
  <cp:revision>1</cp:revision>
  <dcterms:created xsi:type="dcterms:W3CDTF">2016-06-30T15:23:00Z</dcterms:created>
  <dcterms:modified xsi:type="dcterms:W3CDTF">2016-06-30T15:23:00Z</dcterms:modified>
</cp:coreProperties>
</file>