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AF" w:rsidRPr="001A43AF" w:rsidRDefault="001A43AF" w:rsidP="001A43AF">
      <w:pPr>
        <w:spacing w:line="480" w:lineRule="auto"/>
        <w:jc w:val="both"/>
        <w:rPr>
          <w:b/>
          <w:color w:val="000000"/>
        </w:rPr>
      </w:pPr>
      <w:r>
        <w:rPr>
          <w:b/>
          <w:color w:val="000000"/>
        </w:rPr>
        <w:t>Methodology (manifesto analysis)</w:t>
      </w:r>
    </w:p>
    <w:p w:rsidR="001A43AF" w:rsidRDefault="001A43AF"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To</w:t>
      </w:r>
      <w:r>
        <w:rPr>
          <w:color w:val="000000"/>
        </w:rPr>
        <w:t xml:space="preserve"> establish</w:t>
      </w:r>
      <w:r w:rsidRPr="005D2703">
        <w:rPr>
          <w:color w:val="000000"/>
        </w:rPr>
        <w:t xml:space="preserve"> party placements along the SI – FM; GAL - TAN and ‘issue’ dimensions, the starting point </w:t>
      </w:r>
      <w:r>
        <w:rPr>
          <w:color w:val="000000"/>
        </w:rPr>
        <w:t>has been</w:t>
      </w:r>
      <w:r w:rsidRPr="005D2703">
        <w:rPr>
          <w:color w:val="000000"/>
        </w:rPr>
        <w:t xml:space="preserve"> the model developed by </w:t>
      </w:r>
      <w:proofErr w:type="spellStart"/>
      <w:r w:rsidRPr="005D2703">
        <w:rPr>
          <w:color w:val="000000"/>
        </w:rPr>
        <w:t>Pellikaan</w:t>
      </w:r>
      <w:proofErr w:type="spellEnd"/>
      <w:r w:rsidRPr="005D2703">
        <w:rPr>
          <w:color w:val="000000"/>
        </w:rPr>
        <w:t xml:space="preserve"> </w:t>
      </w:r>
      <w:r w:rsidRPr="005D2703">
        <w:rPr>
          <w:i/>
          <w:iCs/>
          <w:color w:val="000000"/>
        </w:rPr>
        <w:t>et al</w:t>
      </w:r>
      <w:r w:rsidRPr="005D2703">
        <w:rPr>
          <w:color w:val="000000"/>
        </w:rPr>
        <w:t xml:space="preserve"> (2003; see also </w:t>
      </w:r>
      <w:r>
        <w:rPr>
          <w:color w:val="000000"/>
        </w:rPr>
        <w:t xml:space="preserve">Odmalm, 2012; </w:t>
      </w:r>
      <w:r w:rsidRPr="005D2703">
        <w:rPr>
          <w:color w:val="000000"/>
        </w:rPr>
        <w:t xml:space="preserve">De Lange, 2007). Their </w:t>
      </w:r>
      <w:r>
        <w:rPr>
          <w:color w:val="000000"/>
        </w:rPr>
        <w:t>measurement tool</w:t>
      </w:r>
      <w:r w:rsidRPr="005D2703">
        <w:rPr>
          <w:color w:val="000000"/>
        </w:rPr>
        <w:t xml:space="preserve"> builds on </w:t>
      </w:r>
      <w:proofErr w:type="spellStart"/>
      <w:r w:rsidRPr="005D2703">
        <w:rPr>
          <w:color w:val="000000"/>
        </w:rPr>
        <w:t>Kitschelt</w:t>
      </w:r>
      <w:proofErr w:type="spellEnd"/>
      <w:r w:rsidRPr="005D2703">
        <w:rPr>
          <w:color w:val="000000"/>
        </w:rPr>
        <w:t xml:space="preserve"> and </w:t>
      </w:r>
      <w:proofErr w:type="spellStart"/>
      <w:r w:rsidRPr="005D2703">
        <w:rPr>
          <w:color w:val="000000"/>
        </w:rPr>
        <w:t>McGann’s</w:t>
      </w:r>
      <w:proofErr w:type="spellEnd"/>
      <w:r w:rsidRPr="005D2703">
        <w:rPr>
          <w:color w:val="000000"/>
        </w:rPr>
        <w:t xml:space="preserve"> </w:t>
      </w:r>
      <w:r w:rsidR="00B12F65">
        <w:rPr>
          <w:color w:val="000000"/>
        </w:rPr>
        <w:t xml:space="preserve">(1995) </w:t>
      </w:r>
      <w:r w:rsidRPr="005D2703">
        <w:rPr>
          <w:color w:val="000000"/>
        </w:rPr>
        <w:t>idea</w:t>
      </w:r>
      <w:r>
        <w:rPr>
          <w:color w:val="000000"/>
        </w:rPr>
        <w:t>s</w:t>
      </w:r>
      <w:r w:rsidRPr="005D2703">
        <w:rPr>
          <w:color w:val="000000"/>
        </w:rPr>
        <w:t xml:space="preserve"> of the two-dimensional space and seek to capture degrees of conflict on key variables. The SI - FM dimension is thus defined as ‘opposition//…//between statements favouring the ‘political redistribution’ of economic resources//…//and statements favouring the ‘market allocation’ of resources’ (1995:1). Following De Lange (2007), the central indicators </w:t>
      </w:r>
      <w:r>
        <w:rPr>
          <w:color w:val="000000"/>
        </w:rPr>
        <w:t>have been used</w:t>
      </w:r>
      <w:r w:rsidRPr="005D2703">
        <w:rPr>
          <w:color w:val="000000"/>
        </w:rPr>
        <w:t xml:space="preserve">: (1) Privatisation, (2) Public Sector, (3) Welfare and Social Security System, (4) Labour Market, (5) Taxation, (6) Budget Deficit and (7) Trade and Enterprise policies. </w:t>
      </w:r>
    </w:p>
    <w:p w:rsidR="00665186" w:rsidRPr="005D2703" w:rsidRDefault="00665186" w:rsidP="001A43AF">
      <w:pPr>
        <w:spacing w:line="480" w:lineRule="auto"/>
        <w:ind w:firstLine="720"/>
        <w:jc w:val="both"/>
        <w:rPr>
          <w:color w:val="000000"/>
        </w:rPr>
      </w:pPr>
      <w:r w:rsidRPr="005D2703">
        <w:rPr>
          <w:bCs/>
          <w:iCs/>
          <w:color w:val="000000"/>
        </w:rPr>
        <w:t xml:space="preserve">A hand-coded content analysis </w:t>
      </w:r>
      <w:r w:rsidRPr="005D2703">
        <w:rPr>
          <w:bCs/>
          <w:color w:val="000000"/>
        </w:rPr>
        <w:t xml:space="preserve">(Patton, 2002; </w:t>
      </w:r>
      <w:proofErr w:type="spellStart"/>
      <w:r w:rsidRPr="005D2703">
        <w:rPr>
          <w:bCs/>
          <w:color w:val="000000"/>
        </w:rPr>
        <w:t>Mayring</w:t>
      </w:r>
      <w:proofErr w:type="spellEnd"/>
      <w:r w:rsidRPr="005D2703">
        <w:rPr>
          <w:bCs/>
          <w:color w:val="000000"/>
        </w:rPr>
        <w:t xml:space="preserve">, 2000) was </w:t>
      </w:r>
      <w:r>
        <w:rPr>
          <w:bCs/>
          <w:color w:val="000000"/>
        </w:rPr>
        <w:t>then carried out</w:t>
      </w:r>
      <w:r w:rsidRPr="005D2703">
        <w:rPr>
          <w:bCs/>
          <w:color w:val="000000"/>
        </w:rPr>
        <w:t xml:space="preserve"> </w:t>
      </w:r>
      <w:r>
        <w:rPr>
          <w:bCs/>
          <w:color w:val="000000"/>
        </w:rPr>
        <w:t>using</w:t>
      </w:r>
      <w:r w:rsidRPr="005D2703">
        <w:rPr>
          <w:bCs/>
          <w:color w:val="000000"/>
        </w:rPr>
        <w:t xml:space="preserve"> key words to identify the quasi-sentences associated with each individual category (e.g. ‘private’; ‘public’</w:t>
      </w:r>
      <w:r>
        <w:rPr>
          <w:bCs/>
          <w:color w:val="000000"/>
        </w:rPr>
        <w:t xml:space="preserve"> or</w:t>
      </w:r>
      <w:r w:rsidRPr="005D2703">
        <w:rPr>
          <w:bCs/>
          <w:color w:val="000000"/>
        </w:rPr>
        <w:t xml:space="preserve"> ‘pensions’). Should </w:t>
      </w:r>
      <w:r>
        <w:rPr>
          <w:bCs/>
          <w:color w:val="000000"/>
        </w:rPr>
        <w:t xml:space="preserve">the </w:t>
      </w:r>
      <w:r w:rsidRPr="005D2703">
        <w:rPr>
          <w:color w:val="000000"/>
        </w:rPr>
        <w:t xml:space="preserve">statements ‘predominantly indicate that a party </w:t>
      </w:r>
      <w:r>
        <w:rPr>
          <w:color w:val="000000"/>
        </w:rPr>
        <w:t>wa</w:t>
      </w:r>
      <w:r w:rsidRPr="005D2703">
        <w:rPr>
          <w:color w:val="000000"/>
        </w:rPr>
        <w:t>s in favour of state intervention [it] receive[d] a score of (-1) on that specific issue’ (2007: 420)</w:t>
      </w:r>
      <w:r>
        <w:rPr>
          <w:color w:val="000000"/>
        </w:rPr>
        <w:t xml:space="preserve">, </w:t>
      </w:r>
      <w:r w:rsidRPr="005D2703">
        <w:rPr>
          <w:color w:val="000000"/>
        </w:rPr>
        <w:t xml:space="preserve">exemplified by the following quotes: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‘Alternatives and diversity - against commercialisation and privatisation.’ (V, 1991) [‘Privatisation’];</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‘We will immediately introduce an emergency programme of investment in the infrastructure and in public works in order to get companies and people back to work.’ (Lib Dems, 1992) [‘Public Sector’];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lastRenderedPageBreak/>
        <w:t>‘[A]</w:t>
      </w:r>
      <w:proofErr w:type="spellStart"/>
      <w:r w:rsidRPr="005D2703">
        <w:rPr>
          <w:color w:val="000000"/>
        </w:rPr>
        <w:t>dditional</w:t>
      </w:r>
      <w:proofErr w:type="spellEnd"/>
      <w:r w:rsidRPr="005D2703">
        <w:rPr>
          <w:color w:val="000000"/>
        </w:rPr>
        <w:t xml:space="preserve"> health insurance should never replace the basic </w:t>
      </w:r>
      <w:r>
        <w:rPr>
          <w:color w:val="000000"/>
        </w:rPr>
        <w:t>provision of health care</w:t>
      </w:r>
      <w:r w:rsidRPr="005D2703">
        <w:rPr>
          <w:color w:val="000000"/>
        </w:rPr>
        <w:t xml:space="preserve">.’ (CD&amp;V, 2007) [‘Welfare and Social Security System’].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Conversely, when </w:t>
      </w:r>
      <w:r>
        <w:rPr>
          <w:color w:val="000000"/>
        </w:rPr>
        <w:t>the statements</w:t>
      </w:r>
      <w:r w:rsidRPr="005D2703">
        <w:rPr>
          <w:color w:val="000000"/>
        </w:rPr>
        <w:t xml:space="preserve"> </w:t>
      </w:r>
      <w:r>
        <w:rPr>
          <w:color w:val="000000"/>
        </w:rPr>
        <w:t>suggested</w:t>
      </w:r>
      <w:r w:rsidRPr="005D2703">
        <w:rPr>
          <w:color w:val="000000"/>
        </w:rPr>
        <w:t xml:space="preserve"> </w:t>
      </w:r>
      <w:r>
        <w:rPr>
          <w:color w:val="000000"/>
        </w:rPr>
        <w:t>to be in</w:t>
      </w:r>
      <w:r w:rsidRPr="005D2703">
        <w:rPr>
          <w:color w:val="000000"/>
        </w:rPr>
        <w:t xml:space="preserve"> favour of more market influence, a score of (+1) was given –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firstLine="60"/>
        <w:jc w:val="both"/>
        <w:rPr>
          <w:color w:val="000000"/>
        </w:rPr>
      </w:pPr>
      <w:r w:rsidRPr="005D2703">
        <w:rPr>
          <w:color w:val="000000"/>
        </w:rPr>
        <w:t xml:space="preserve">‘The state is the biggest owner of businesses in Sweden. FP and the Alliance aim to privatise a couple of these enterprises.’ (FP, 2006) [‘Privatisation’]; </w:t>
      </w:r>
    </w:p>
    <w:p w:rsidR="00665186" w:rsidRPr="005D2703" w:rsidRDefault="00665186" w:rsidP="001A43AF">
      <w:pPr>
        <w:spacing w:line="480" w:lineRule="auto"/>
        <w:ind w:firstLine="60"/>
        <w:jc w:val="both"/>
        <w:rPr>
          <w:color w:val="000000"/>
        </w:rPr>
      </w:pPr>
    </w:p>
    <w:p w:rsidR="00665186" w:rsidRPr="005D2703" w:rsidRDefault="00665186" w:rsidP="001A43AF">
      <w:pPr>
        <w:spacing w:line="480" w:lineRule="auto"/>
        <w:ind w:firstLine="60"/>
        <w:jc w:val="both"/>
        <w:rPr>
          <w:color w:val="000000"/>
        </w:rPr>
      </w:pPr>
      <w:r w:rsidRPr="005D2703">
        <w:rPr>
          <w:color w:val="000000"/>
        </w:rPr>
        <w:t xml:space="preserve">‘Open VLD wants the government to act mainly as the regulator of public services’ (Open VLD, 2007) [‘Public Sector’];  </w:t>
      </w:r>
    </w:p>
    <w:p w:rsidR="00665186" w:rsidRPr="005D2703" w:rsidRDefault="00665186" w:rsidP="001A43AF">
      <w:pPr>
        <w:spacing w:line="480" w:lineRule="auto"/>
        <w:ind w:firstLine="60"/>
        <w:jc w:val="both"/>
        <w:rPr>
          <w:color w:val="000000"/>
        </w:rPr>
      </w:pPr>
    </w:p>
    <w:p w:rsidR="00665186" w:rsidRPr="005D2703" w:rsidRDefault="00665186" w:rsidP="001A43AF">
      <w:pPr>
        <w:spacing w:line="480" w:lineRule="auto"/>
        <w:ind w:firstLine="60"/>
        <w:jc w:val="both"/>
        <w:rPr>
          <w:color w:val="000000"/>
        </w:rPr>
      </w:pPr>
      <w:r w:rsidRPr="005D2703">
        <w:rPr>
          <w:color w:val="000000"/>
        </w:rPr>
        <w:t xml:space="preserve">‘[B]e allowed the opportunity to build up supplementary pensions in addition to the statutory one.’ (MR, 2003) [‘Welfare and Social Security System’]. </w:t>
      </w:r>
    </w:p>
    <w:p w:rsidR="00665186" w:rsidRPr="005D2703" w:rsidRDefault="00665186" w:rsidP="001A43AF">
      <w:pPr>
        <w:spacing w:line="480" w:lineRule="auto"/>
        <w:ind w:firstLine="720"/>
        <w:jc w:val="both"/>
        <w:rPr>
          <w:color w:val="000000"/>
        </w:rPr>
      </w:pPr>
    </w:p>
    <w:p w:rsidR="00665186" w:rsidRPr="005D2703" w:rsidRDefault="00665186" w:rsidP="001A43AF">
      <w:pPr>
        <w:spacing w:line="480" w:lineRule="auto"/>
        <w:jc w:val="both"/>
        <w:rPr>
          <w:color w:val="000000"/>
        </w:rPr>
      </w:pPr>
      <w:r>
        <w:rPr>
          <w:color w:val="000000"/>
        </w:rPr>
        <w:t>S</w:t>
      </w:r>
      <w:r w:rsidRPr="005D2703">
        <w:rPr>
          <w:color w:val="000000"/>
        </w:rPr>
        <w:t xml:space="preserve">hould </w:t>
      </w:r>
      <w:r>
        <w:rPr>
          <w:color w:val="000000"/>
        </w:rPr>
        <w:t xml:space="preserve">the </w:t>
      </w:r>
      <w:r w:rsidRPr="005D2703">
        <w:rPr>
          <w:color w:val="000000"/>
        </w:rPr>
        <w:t>statements</w:t>
      </w:r>
      <w:r>
        <w:rPr>
          <w:color w:val="000000"/>
        </w:rPr>
        <w:t xml:space="preserve"> </w:t>
      </w:r>
      <w:r w:rsidRPr="005D2703">
        <w:rPr>
          <w:color w:val="000000"/>
        </w:rPr>
        <w:t xml:space="preserve">be unclear or ambiguous, </w:t>
      </w:r>
      <w:r>
        <w:rPr>
          <w:color w:val="000000"/>
        </w:rPr>
        <w:t xml:space="preserve">on the other hand, </w:t>
      </w:r>
      <w:r w:rsidRPr="005D2703">
        <w:rPr>
          <w:color w:val="000000"/>
        </w:rPr>
        <w:t xml:space="preserve">a score of 0 was allocated as per the following excerpts -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‘Modern government has a strategic role not to replace the market but to ensure that the market works properly. Other competitors in Europe and elsewhere recognise that industrial policy must be at the heart of economic policy. It is the government's responsibility to create the conditions for enterprise to thrive.’ (Labour, 1992) [‘Privatisation’];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lastRenderedPageBreak/>
        <w:t>‘[E]</w:t>
      </w:r>
      <w:proofErr w:type="spellStart"/>
      <w:r w:rsidRPr="005D2703">
        <w:rPr>
          <w:color w:val="000000"/>
        </w:rPr>
        <w:t>nhance</w:t>
      </w:r>
      <w:proofErr w:type="spellEnd"/>
      <w:r w:rsidRPr="005D2703">
        <w:rPr>
          <w:color w:val="000000"/>
        </w:rPr>
        <w:t xml:space="preserve"> public transportation but also make the administration and public service provision more efficient.’(CDH, 1995) [‘Public Sector’];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‘Financing the health care sector should be done by everyone through taxation but the execution</w:t>
      </w:r>
      <w:r>
        <w:rPr>
          <w:color w:val="000000"/>
        </w:rPr>
        <w:t>//…//</w:t>
      </w:r>
      <w:r w:rsidRPr="005D2703">
        <w:rPr>
          <w:color w:val="000000"/>
        </w:rPr>
        <w:t xml:space="preserve">should be characterised by diversity’ (M, 2010) [‘Welfare and Social Security System’].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Pr>
          <w:color w:val="000000"/>
        </w:rPr>
        <w:t xml:space="preserve">But for </w:t>
      </w:r>
      <w:r w:rsidRPr="005D2703">
        <w:rPr>
          <w:color w:val="000000"/>
        </w:rPr>
        <w:t xml:space="preserve">some of the indicators the ‘more state-more market’ – dichotomy did not always work. A few adjustments </w:t>
      </w:r>
      <w:r>
        <w:rPr>
          <w:color w:val="000000"/>
        </w:rPr>
        <w:t xml:space="preserve">have </w:t>
      </w:r>
      <w:r w:rsidRPr="005D2703">
        <w:rPr>
          <w:color w:val="000000"/>
        </w:rPr>
        <w:t xml:space="preserve">therefore </w:t>
      </w:r>
      <w:r>
        <w:rPr>
          <w:color w:val="000000"/>
        </w:rPr>
        <w:t xml:space="preserve">been </w:t>
      </w:r>
      <w:r w:rsidRPr="005D2703">
        <w:rPr>
          <w:color w:val="000000"/>
        </w:rPr>
        <w:t xml:space="preserve">made. On indicators 4 and 7, a score of (-1) was given should the manifesto indicate </w:t>
      </w:r>
      <w:r>
        <w:rPr>
          <w:color w:val="000000"/>
        </w:rPr>
        <w:t xml:space="preserve">a preference for </w:t>
      </w:r>
      <w:r w:rsidRPr="005D2703">
        <w:rPr>
          <w:color w:val="000000"/>
        </w:rPr>
        <w:t xml:space="preserve">more regulation, and (+1) </w:t>
      </w:r>
      <w:r>
        <w:rPr>
          <w:color w:val="000000"/>
        </w:rPr>
        <w:t>should</w:t>
      </w:r>
      <w:r w:rsidRPr="005D2703">
        <w:rPr>
          <w:color w:val="000000"/>
        </w:rPr>
        <w:t xml:space="preserve"> </w:t>
      </w:r>
      <w:r>
        <w:rPr>
          <w:color w:val="000000"/>
        </w:rPr>
        <w:t>it prefer</w:t>
      </w:r>
      <w:r w:rsidRPr="005D2703">
        <w:rPr>
          <w:color w:val="000000"/>
        </w:rPr>
        <w:t xml:space="preserve"> less (e.g. ‘</w:t>
      </w:r>
      <w:proofErr w:type="gramStart"/>
      <w:r w:rsidRPr="005D2703">
        <w:rPr>
          <w:color w:val="000000"/>
        </w:rPr>
        <w:t>The</w:t>
      </w:r>
      <w:proofErr w:type="gramEnd"/>
      <w:r w:rsidRPr="005D2703">
        <w:rPr>
          <w:color w:val="000000"/>
        </w:rPr>
        <w:t xml:space="preserve"> market economy must be regulated//…//we want to introduce a 6-hour working day//…//’ (V, 1994) (-1); ‘New Labour believes in a flexible labour market that serves employers and employees alike. But flexibility alone is not enough. We need 'flexibility plus'’ (Labour, 1997) (+1)).</w:t>
      </w:r>
    </w:p>
    <w:p w:rsidR="00665186" w:rsidRPr="005D2703" w:rsidRDefault="00665186" w:rsidP="001A43AF">
      <w:pPr>
        <w:spacing w:line="480" w:lineRule="auto"/>
        <w:ind w:firstLine="720"/>
        <w:jc w:val="both"/>
        <w:rPr>
          <w:color w:val="000000"/>
        </w:rPr>
      </w:pPr>
      <w:r>
        <w:rPr>
          <w:color w:val="000000"/>
        </w:rPr>
        <w:t>On i</w:t>
      </w:r>
      <w:r w:rsidRPr="005D2703">
        <w:rPr>
          <w:color w:val="000000"/>
        </w:rPr>
        <w:t>ndicator 5</w:t>
      </w:r>
      <w:r>
        <w:rPr>
          <w:color w:val="000000"/>
        </w:rPr>
        <w:t>, if</w:t>
      </w:r>
      <w:r w:rsidRPr="005D2703">
        <w:rPr>
          <w:color w:val="000000"/>
        </w:rPr>
        <w:t xml:space="preserve"> </w:t>
      </w:r>
      <w:r>
        <w:rPr>
          <w:color w:val="000000"/>
        </w:rPr>
        <w:t xml:space="preserve">the </w:t>
      </w:r>
      <w:r w:rsidRPr="005D2703">
        <w:rPr>
          <w:color w:val="000000"/>
        </w:rPr>
        <w:t xml:space="preserve">statement </w:t>
      </w:r>
      <w:r>
        <w:rPr>
          <w:color w:val="000000"/>
        </w:rPr>
        <w:t xml:space="preserve">favoured </w:t>
      </w:r>
      <w:r w:rsidRPr="005D2703">
        <w:rPr>
          <w:color w:val="000000"/>
        </w:rPr>
        <w:t>rais</w:t>
      </w:r>
      <w:r>
        <w:rPr>
          <w:color w:val="000000"/>
        </w:rPr>
        <w:t xml:space="preserve">ing taxes, a score of </w:t>
      </w:r>
      <w:r w:rsidRPr="005D2703">
        <w:rPr>
          <w:color w:val="000000"/>
        </w:rPr>
        <w:t xml:space="preserve">(-1) </w:t>
      </w:r>
      <w:r>
        <w:rPr>
          <w:color w:val="000000"/>
        </w:rPr>
        <w:t>was given whereas</w:t>
      </w:r>
      <w:r w:rsidRPr="005D2703">
        <w:rPr>
          <w:color w:val="000000"/>
        </w:rPr>
        <w:t xml:space="preserve"> lowe</w:t>
      </w:r>
      <w:r>
        <w:rPr>
          <w:color w:val="000000"/>
        </w:rPr>
        <w:t>ring</w:t>
      </w:r>
      <w:r w:rsidRPr="005D2703">
        <w:rPr>
          <w:color w:val="000000"/>
        </w:rPr>
        <w:t xml:space="preserve"> </w:t>
      </w:r>
      <w:r>
        <w:rPr>
          <w:color w:val="000000"/>
        </w:rPr>
        <w:t xml:space="preserve">taxes was scored </w:t>
      </w:r>
      <w:r w:rsidRPr="005D2703">
        <w:rPr>
          <w:color w:val="000000"/>
        </w:rPr>
        <w:t xml:space="preserve">(+1) (e.g. </w:t>
      </w:r>
      <w:proofErr w:type="gramStart"/>
      <w:r w:rsidRPr="005D2703">
        <w:rPr>
          <w:color w:val="000000"/>
        </w:rPr>
        <w:t>’[</w:t>
      </w:r>
      <w:proofErr w:type="gramEnd"/>
      <w:r w:rsidRPr="005D2703">
        <w:rPr>
          <w:color w:val="000000"/>
        </w:rPr>
        <w:t>T]he decision to abolish tax on wealth should be revoked’ (SAP, 1994) (-1); ‘We will be a tax-cutting government.’ (Conservatives, 2001) (+1)). And on indicator 6</w:t>
      </w:r>
      <w:r>
        <w:rPr>
          <w:color w:val="000000"/>
        </w:rPr>
        <w:t>,</w:t>
      </w:r>
      <w:r w:rsidRPr="005D2703">
        <w:rPr>
          <w:color w:val="000000"/>
        </w:rPr>
        <w:t xml:space="preserve"> a statement that advocated for more public spending was given a score of (-1) whereas </w:t>
      </w:r>
      <w:r>
        <w:rPr>
          <w:color w:val="000000"/>
        </w:rPr>
        <w:t xml:space="preserve">if it suggested less, </w:t>
      </w:r>
      <w:r w:rsidRPr="005D2703">
        <w:rPr>
          <w:color w:val="000000"/>
        </w:rPr>
        <w:t xml:space="preserve">it was scored (+1) (e.g. ‘[I]t is </w:t>
      </w:r>
      <w:r>
        <w:rPr>
          <w:color w:val="000000"/>
        </w:rPr>
        <w:t>neither</w:t>
      </w:r>
      <w:r w:rsidRPr="005D2703">
        <w:rPr>
          <w:color w:val="000000"/>
        </w:rPr>
        <w:t xml:space="preserve"> realistic nor wise to assume that the hole in our budget can be fully closed </w:t>
      </w:r>
      <w:r>
        <w:rPr>
          <w:color w:val="000000"/>
        </w:rPr>
        <w:t>during</w:t>
      </w:r>
      <w:r w:rsidRPr="005D2703">
        <w:rPr>
          <w:color w:val="000000"/>
        </w:rPr>
        <w:t xml:space="preserve"> a government's four year term. If we cut so much at once, the probability of a 'double dip' recession is great.’ (SP, 2010) (-1); ‘Reduce the budget deficit that has grown during the past administration’ (VVD, 2010) (+1)).</w:t>
      </w:r>
    </w:p>
    <w:p w:rsidR="00665186" w:rsidRPr="005D2703" w:rsidRDefault="00665186" w:rsidP="001A43AF">
      <w:pPr>
        <w:spacing w:line="480" w:lineRule="auto"/>
        <w:ind w:firstLine="720"/>
        <w:jc w:val="both"/>
        <w:rPr>
          <w:color w:val="000000"/>
        </w:rPr>
      </w:pPr>
      <w:r w:rsidRPr="005D2703">
        <w:rPr>
          <w:color w:val="000000"/>
        </w:rPr>
        <w:t>Operationalising the GAL - TAN dimension proved somewhat more complicated</w:t>
      </w:r>
      <w:r>
        <w:rPr>
          <w:color w:val="000000"/>
        </w:rPr>
        <w:t xml:space="preserve">. These challenges stem from how it </w:t>
      </w:r>
      <w:r w:rsidRPr="005D2703">
        <w:rPr>
          <w:color w:val="000000"/>
        </w:rPr>
        <w:t xml:space="preserve">‘encompasses several political questions’ (De Lange, 2007: 420), and </w:t>
      </w:r>
      <w:r>
        <w:rPr>
          <w:color w:val="000000"/>
        </w:rPr>
        <w:t>how it</w:t>
      </w:r>
      <w:r w:rsidRPr="005D2703">
        <w:rPr>
          <w:color w:val="000000"/>
        </w:rPr>
        <w:t xml:space="preserve"> suffers from a lack of consensus </w:t>
      </w:r>
      <w:r>
        <w:rPr>
          <w:color w:val="000000"/>
        </w:rPr>
        <w:t>regarding</w:t>
      </w:r>
      <w:r w:rsidRPr="005D2703">
        <w:rPr>
          <w:color w:val="000000"/>
        </w:rPr>
        <w:t xml:space="preserve"> what the key indicators should be </w:t>
      </w:r>
      <w:r w:rsidRPr="005D2703">
        <w:rPr>
          <w:color w:val="000000"/>
        </w:rPr>
        <w:lastRenderedPageBreak/>
        <w:t xml:space="preserve">(see for example Franklin, 1992; </w:t>
      </w:r>
      <w:proofErr w:type="spellStart"/>
      <w:r w:rsidRPr="005D2703">
        <w:rPr>
          <w:color w:val="000000"/>
        </w:rPr>
        <w:t>Inglehart</w:t>
      </w:r>
      <w:proofErr w:type="spellEnd"/>
      <w:r w:rsidRPr="005D2703">
        <w:rPr>
          <w:color w:val="000000"/>
        </w:rPr>
        <w:t xml:space="preserve">, 1990). </w:t>
      </w:r>
      <w:r>
        <w:rPr>
          <w:color w:val="000000"/>
        </w:rPr>
        <w:t>D</w:t>
      </w:r>
      <w:r w:rsidRPr="005D2703">
        <w:rPr>
          <w:color w:val="000000"/>
        </w:rPr>
        <w:t>e Lange</w:t>
      </w:r>
      <w:r>
        <w:rPr>
          <w:color w:val="000000"/>
        </w:rPr>
        <w:t>, however, points to how</w:t>
      </w:r>
      <w:r w:rsidRPr="005D2703">
        <w:rPr>
          <w:color w:val="000000"/>
        </w:rPr>
        <w:t xml:space="preserve"> </w:t>
      </w:r>
      <w:proofErr w:type="spellStart"/>
      <w:r w:rsidRPr="005D2703">
        <w:rPr>
          <w:color w:val="000000"/>
        </w:rPr>
        <w:t>Kitschelt’s</w:t>
      </w:r>
      <w:proofErr w:type="spellEnd"/>
      <w:r w:rsidRPr="005D2703">
        <w:rPr>
          <w:color w:val="000000"/>
        </w:rPr>
        <w:t xml:space="preserve"> three elements (citizenship/</w:t>
      </w:r>
      <w:proofErr w:type="spellStart"/>
      <w:r w:rsidRPr="005D2703">
        <w:rPr>
          <w:color w:val="000000"/>
        </w:rPr>
        <w:t>ethnocultural</w:t>
      </w:r>
      <w:proofErr w:type="spellEnd"/>
      <w:r w:rsidRPr="005D2703">
        <w:rPr>
          <w:color w:val="000000"/>
        </w:rPr>
        <w:t xml:space="preserve"> relations; individual freedoms and collective decision-making) </w:t>
      </w:r>
      <w:r>
        <w:rPr>
          <w:color w:val="000000"/>
        </w:rPr>
        <w:t>are central to this dimension of conflict and</w:t>
      </w:r>
      <w:r w:rsidRPr="005D2703">
        <w:rPr>
          <w:color w:val="000000"/>
        </w:rPr>
        <w:t xml:space="preserve"> </w:t>
      </w:r>
      <w:r>
        <w:rPr>
          <w:color w:val="000000"/>
        </w:rPr>
        <w:t xml:space="preserve">has thus </w:t>
      </w:r>
      <w:r w:rsidRPr="005D2703">
        <w:rPr>
          <w:color w:val="000000"/>
        </w:rPr>
        <w:t>sugges</w:t>
      </w:r>
      <w:r>
        <w:rPr>
          <w:color w:val="000000"/>
        </w:rPr>
        <w:t>ted</w:t>
      </w:r>
      <w:r w:rsidRPr="005D2703">
        <w:rPr>
          <w:color w:val="000000"/>
        </w:rPr>
        <w:t xml:space="preserve"> the following scheme   -  </w:t>
      </w:r>
    </w:p>
    <w:p w:rsidR="00665186" w:rsidRPr="005D2703" w:rsidRDefault="00665186" w:rsidP="001A43AF">
      <w:pPr>
        <w:spacing w:line="480" w:lineRule="auto"/>
        <w:ind w:firstLine="720"/>
        <w:jc w:val="both"/>
        <w:rPr>
          <w:color w:val="000000"/>
        </w:rPr>
      </w:pPr>
    </w:p>
    <w:p w:rsidR="00665186" w:rsidRPr="00C64914" w:rsidRDefault="00665186" w:rsidP="001A43AF">
      <w:pPr>
        <w:numPr>
          <w:ilvl w:val="0"/>
          <w:numId w:val="1"/>
        </w:numPr>
        <w:spacing w:line="480" w:lineRule="auto"/>
        <w:ind w:left="0" w:firstLine="0"/>
        <w:jc w:val="both"/>
        <w:rPr>
          <w:color w:val="000000"/>
        </w:rPr>
      </w:pPr>
      <w:r w:rsidRPr="00C64914">
        <w:rPr>
          <w:color w:val="000000"/>
        </w:rPr>
        <w:t>Citizenship/</w:t>
      </w:r>
      <w:proofErr w:type="spellStart"/>
      <w:r w:rsidRPr="00C64914">
        <w:rPr>
          <w:color w:val="000000"/>
        </w:rPr>
        <w:t>Ethnocultural</w:t>
      </w:r>
      <w:proofErr w:type="spellEnd"/>
      <w:r w:rsidRPr="00C64914">
        <w:rPr>
          <w:color w:val="000000"/>
        </w:rPr>
        <w:t xml:space="preserve"> relations</w:t>
      </w:r>
    </w:p>
    <w:p w:rsidR="00665186" w:rsidRPr="005D2703" w:rsidRDefault="00665186" w:rsidP="001A43AF">
      <w:pPr>
        <w:numPr>
          <w:ilvl w:val="1"/>
          <w:numId w:val="1"/>
        </w:numPr>
        <w:spacing w:line="480" w:lineRule="auto"/>
        <w:ind w:left="567" w:firstLine="0"/>
        <w:jc w:val="both"/>
        <w:rPr>
          <w:color w:val="000000"/>
        </w:rPr>
      </w:pPr>
      <w:r w:rsidRPr="005D2703">
        <w:rPr>
          <w:i/>
          <w:color w:val="000000"/>
        </w:rPr>
        <w:t xml:space="preserve">Immigration </w:t>
      </w:r>
      <w:r w:rsidRPr="005D2703">
        <w:rPr>
          <w:color w:val="000000"/>
        </w:rPr>
        <w:t>(support for an inclusive and universalistic society (-1); support for an exclusive and particularistic society (+1));</w:t>
      </w:r>
    </w:p>
    <w:p w:rsidR="00665186" w:rsidRPr="005D2703" w:rsidRDefault="00665186" w:rsidP="001A43AF">
      <w:pPr>
        <w:numPr>
          <w:ilvl w:val="1"/>
          <w:numId w:val="1"/>
        </w:numPr>
        <w:spacing w:line="480" w:lineRule="auto"/>
        <w:ind w:left="567" w:firstLine="0"/>
        <w:jc w:val="both"/>
        <w:rPr>
          <w:color w:val="000000"/>
        </w:rPr>
      </w:pPr>
      <w:r w:rsidRPr="005D2703">
        <w:rPr>
          <w:i/>
          <w:color w:val="000000"/>
        </w:rPr>
        <w:t>Integration of Cultural Minorities</w:t>
      </w:r>
      <w:r w:rsidRPr="005D2703">
        <w:rPr>
          <w:color w:val="000000"/>
        </w:rPr>
        <w:t xml:space="preserve"> (support for an inclusive and universalistic society (-1); support for an exclusive and particularistic society (+1))</w:t>
      </w:r>
    </w:p>
    <w:p w:rsidR="00665186" w:rsidRPr="005D2703" w:rsidRDefault="00665186" w:rsidP="001A43AF">
      <w:pPr>
        <w:spacing w:line="480" w:lineRule="auto"/>
        <w:jc w:val="both"/>
        <w:rPr>
          <w:color w:val="000000"/>
        </w:rPr>
      </w:pPr>
    </w:p>
    <w:p w:rsidR="00665186" w:rsidRPr="005D2703" w:rsidRDefault="00665186" w:rsidP="001A43AF">
      <w:pPr>
        <w:numPr>
          <w:ilvl w:val="0"/>
          <w:numId w:val="1"/>
        </w:numPr>
        <w:spacing w:line="480" w:lineRule="auto"/>
        <w:ind w:left="0" w:firstLine="0"/>
        <w:jc w:val="both"/>
        <w:rPr>
          <w:color w:val="000000"/>
        </w:rPr>
      </w:pPr>
      <w:r w:rsidRPr="005D2703">
        <w:rPr>
          <w:color w:val="000000"/>
        </w:rPr>
        <w:t>Individual Freedoms</w:t>
      </w:r>
    </w:p>
    <w:p w:rsidR="00665186" w:rsidRPr="005D2703" w:rsidRDefault="00665186" w:rsidP="001A43AF">
      <w:pPr>
        <w:numPr>
          <w:ilvl w:val="1"/>
          <w:numId w:val="1"/>
        </w:numPr>
        <w:spacing w:line="480" w:lineRule="auto"/>
        <w:ind w:left="567" w:firstLine="0"/>
        <w:jc w:val="both"/>
        <w:rPr>
          <w:color w:val="000000"/>
        </w:rPr>
      </w:pPr>
      <w:r w:rsidRPr="005D2703">
        <w:rPr>
          <w:i/>
          <w:color w:val="000000"/>
        </w:rPr>
        <w:t xml:space="preserve">Diversity of Lifestyles </w:t>
      </w:r>
      <w:r w:rsidRPr="005D2703">
        <w:rPr>
          <w:color w:val="000000"/>
        </w:rPr>
        <w:t>(support for individual freedom (-1); support for a moral government (+1));</w:t>
      </w:r>
    </w:p>
    <w:p w:rsidR="00665186" w:rsidRDefault="00665186" w:rsidP="001A43AF">
      <w:pPr>
        <w:numPr>
          <w:ilvl w:val="1"/>
          <w:numId w:val="1"/>
        </w:numPr>
        <w:spacing w:line="480" w:lineRule="auto"/>
        <w:ind w:left="567" w:firstLine="0"/>
        <w:jc w:val="both"/>
        <w:rPr>
          <w:color w:val="000000"/>
        </w:rPr>
      </w:pPr>
      <w:r w:rsidRPr="005D2703">
        <w:rPr>
          <w:i/>
          <w:color w:val="000000"/>
        </w:rPr>
        <w:t>Ethical Legislation</w:t>
      </w:r>
      <w:r w:rsidRPr="005D2703">
        <w:rPr>
          <w:color w:val="000000"/>
        </w:rPr>
        <w:t xml:space="preserve"> (support for individual freedom (-1); support for a moral government (+1)); </w:t>
      </w:r>
    </w:p>
    <w:p w:rsidR="00665186" w:rsidRPr="005D2703" w:rsidRDefault="00665186" w:rsidP="001A43AF">
      <w:pPr>
        <w:spacing w:line="480" w:lineRule="auto"/>
        <w:ind w:left="567"/>
        <w:jc w:val="both"/>
        <w:rPr>
          <w:color w:val="000000"/>
        </w:rPr>
      </w:pPr>
    </w:p>
    <w:p w:rsidR="00665186" w:rsidRPr="005D2703" w:rsidRDefault="00665186" w:rsidP="001A43AF">
      <w:pPr>
        <w:numPr>
          <w:ilvl w:val="0"/>
          <w:numId w:val="1"/>
        </w:numPr>
        <w:spacing w:line="480" w:lineRule="auto"/>
        <w:ind w:left="0" w:firstLine="0"/>
        <w:jc w:val="both"/>
        <w:rPr>
          <w:color w:val="000000"/>
        </w:rPr>
      </w:pPr>
      <w:r w:rsidRPr="005D2703">
        <w:rPr>
          <w:color w:val="000000"/>
        </w:rPr>
        <w:t>Collective Decision-Making</w:t>
      </w:r>
    </w:p>
    <w:p w:rsidR="00665186" w:rsidRPr="005D2703" w:rsidRDefault="00665186" w:rsidP="001A43AF">
      <w:pPr>
        <w:numPr>
          <w:ilvl w:val="1"/>
          <w:numId w:val="1"/>
        </w:numPr>
        <w:spacing w:line="480" w:lineRule="auto"/>
        <w:ind w:left="567" w:firstLine="0"/>
        <w:jc w:val="both"/>
        <w:rPr>
          <w:color w:val="000000"/>
        </w:rPr>
      </w:pPr>
      <w:r w:rsidRPr="005D2703">
        <w:rPr>
          <w:i/>
          <w:color w:val="000000"/>
        </w:rPr>
        <w:t>Direct Representation</w:t>
      </w:r>
      <w:r w:rsidRPr="005D2703">
        <w:rPr>
          <w:color w:val="000000"/>
        </w:rPr>
        <w:t xml:space="preserve"> (support for more direct representation and more participation in the decision-making process (-1); support for appointed representation and hierarchical decision-making procedures (+1)); </w:t>
      </w:r>
    </w:p>
    <w:p w:rsidR="00665186" w:rsidRPr="005D2703" w:rsidRDefault="00665186" w:rsidP="001A43AF">
      <w:pPr>
        <w:numPr>
          <w:ilvl w:val="1"/>
          <w:numId w:val="1"/>
        </w:numPr>
        <w:spacing w:line="480" w:lineRule="auto"/>
        <w:ind w:left="567" w:firstLine="0"/>
        <w:jc w:val="both"/>
        <w:rPr>
          <w:color w:val="000000"/>
        </w:rPr>
      </w:pPr>
      <w:r w:rsidRPr="005D2703">
        <w:rPr>
          <w:i/>
          <w:color w:val="000000"/>
        </w:rPr>
        <w:t>Participation in Decision-Making</w:t>
      </w:r>
      <w:r w:rsidRPr="005D2703">
        <w:rPr>
          <w:color w:val="000000"/>
        </w:rPr>
        <w:t xml:space="preserve"> (support for more direct representation and more participation in the decision-making process (-1); support for appointed representation and hierarchical decision-making procedures (+1))</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Pr>
          <w:color w:val="000000"/>
        </w:rPr>
        <w:lastRenderedPageBreak/>
        <w:t>Nevertheless some challenges are still present, especially regarding the</w:t>
      </w:r>
      <w:r w:rsidRPr="005D2703">
        <w:rPr>
          <w:color w:val="000000"/>
        </w:rPr>
        <w:t xml:space="preserve"> wording of </w:t>
      </w:r>
      <w:r>
        <w:rPr>
          <w:color w:val="000000"/>
        </w:rPr>
        <w:t xml:space="preserve">some of </w:t>
      </w:r>
      <w:r w:rsidRPr="005D2703">
        <w:rPr>
          <w:color w:val="000000"/>
        </w:rPr>
        <w:t>these indicators. ‘Immigration’ and ‘Integration of Cultural Minorities’</w:t>
      </w:r>
      <w:r>
        <w:rPr>
          <w:color w:val="000000"/>
        </w:rPr>
        <w:t>, for example,</w:t>
      </w:r>
      <w:r w:rsidRPr="005D2703">
        <w:rPr>
          <w:color w:val="000000"/>
        </w:rPr>
        <w:t xml:space="preserve"> are used to measure ‘Citizenship/</w:t>
      </w:r>
      <w:proofErr w:type="spellStart"/>
      <w:r w:rsidRPr="005D2703">
        <w:rPr>
          <w:color w:val="000000"/>
        </w:rPr>
        <w:t>Ethnocultural</w:t>
      </w:r>
      <w:proofErr w:type="spellEnd"/>
      <w:r w:rsidRPr="005D2703">
        <w:rPr>
          <w:color w:val="000000"/>
        </w:rPr>
        <w:t xml:space="preserve"> Relations’ yet they appear </w:t>
      </w:r>
      <w:r>
        <w:rPr>
          <w:color w:val="000000"/>
        </w:rPr>
        <w:t xml:space="preserve">to be </w:t>
      </w:r>
      <w:r w:rsidRPr="005D2703">
        <w:rPr>
          <w:color w:val="000000"/>
        </w:rPr>
        <w:t xml:space="preserve">more relevant for stances on ‘Integration’ </w:t>
      </w:r>
      <w:r w:rsidRPr="005D2703">
        <w:rPr>
          <w:i/>
          <w:color w:val="000000"/>
        </w:rPr>
        <w:t>only</w:t>
      </w:r>
      <w:r w:rsidRPr="005D2703">
        <w:rPr>
          <w:color w:val="000000"/>
        </w:rPr>
        <w:t>,</w:t>
      </w:r>
      <w:r w:rsidRPr="005D2703">
        <w:rPr>
          <w:i/>
          <w:color w:val="000000"/>
        </w:rPr>
        <w:t xml:space="preserve"> </w:t>
      </w:r>
      <w:r w:rsidRPr="005D2703">
        <w:rPr>
          <w:color w:val="000000"/>
        </w:rPr>
        <w:t xml:space="preserve">and do not necessarily capture ‘Immigration’ as such. There is also some </w:t>
      </w:r>
      <w:r>
        <w:rPr>
          <w:color w:val="000000"/>
        </w:rPr>
        <w:t xml:space="preserve">inherent </w:t>
      </w:r>
      <w:r w:rsidRPr="005D2703">
        <w:rPr>
          <w:color w:val="000000"/>
        </w:rPr>
        <w:t>ambiguity</w:t>
      </w:r>
      <w:r>
        <w:rPr>
          <w:color w:val="000000"/>
        </w:rPr>
        <w:t xml:space="preserve"> with the </w:t>
      </w:r>
      <w:r w:rsidRPr="005D2703">
        <w:rPr>
          <w:color w:val="000000"/>
        </w:rPr>
        <w:t>term ‘Integration’</w:t>
      </w:r>
      <w:r>
        <w:rPr>
          <w:color w:val="000000"/>
        </w:rPr>
        <w:t xml:space="preserve"> since it </w:t>
      </w:r>
      <w:r w:rsidRPr="005D2703">
        <w:rPr>
          <w:color w:val="000000"/>
        </w:rPr>
        <w:t xml:space="preserve">may </w:t>
      </w:r>
      <w:r w:rsidRPr="005D2703">
        <w:rPr>
          <w:i/>
          <w:color w:val="000000"/>
        </w:rPr>
        <w:t>also</w:t>
      </w:r>
      <w:r w:rsidRPr="005D2703">
        <w:rPr>
          <w:color w:val="000000"/>
        </w:rPr>
        <w:t xml:space="preserve"> capture positions on ‘Nationalism’ and/or ‘National Identity’. </w:t>
      </w:r>
      <w:r>
        <w:rPr>
          <w:color w:val="000000"/>
        </w:rPr>
        <w:t>To dichotomise</w:t>
      </w:r>
      <w:r w:rsidRPr="005D2703">
        <w:rPr>
          <w:color w:val="000000"/>
        </w:rPr>
        <w:t xml:space="preserve"> ‘Diversity of Lifestyles’ as ‘support for individual freedom/moral government’ may </w:t>
      </w:r>
      <w:r>
        <w:rPr>
          <w:color w:val="000000"/>
        </w:rPr>
        <w:t xml:space="preserve">equally </w:t>
      </w:r>
      <w:r w:rsidRPr="005D2703">
        <w:rPr>
          <w:color w:val="000000"/>
        </w:rPr>
        <w:t xml:space="preserve">run the risk of not capturing the full range of </w:t>
      </w:r>
      <w:r w:rsidRPr="005D2703">
        <w:rPr>
          <w:i/>
          <w:color w:val="000000"/>
        </w:rPr>
        <w:t xml:space="preserve">diversities </w:t>
      </w:r>
      <w:r w:rsidRPr="005D2703">
        <w:rPr>
          <w:color w:val="000000"/>
        </w:rPr>
        <w:t xml:space="preserve">that exist or the impact that parties perceive them to have on society. </w:t>
      </w:r>
    </w:p>
    <w:p w:rsidR="00665186" w:rsidRPr="005D2703" w:rsidRDefault="00665186" w:rsidP="001A43AF">
      <w:pPr>
        <w:spacing w:line="480" w:lineRule="auto"/>
        <w:ind w:firstLine="720"/>
        <w:jc w:val="both"/>
        <w:rPr>
          <w:color w:val="000000"/>
        </w:rPr>
      </w:pPr>
      <w:r w:rsidRPr="005D2703">
        <w:rPr>
          <w:color w:val="000000"/>
        </w:rPr>
        <w:t>And</w:t>
      </w:r>
      <w:r>
        <w:rPr>
          <w:color w:val="000000"/>
        </w:rPr>
        <w:t>, crucially perhaps,</w:t>
      </w:r>
      <w:r w:rsidRPr="005D2703">
        <w:rPr>
          <w:color w:val="000000"/>
        </w:rPr>
        <w:t xml:space="preserve"> neither indicator captures the key GAL - TAN concern of ‘Environmental Protection’ versus ‘Economic Growth’. Therefore, the second scale </w:t>
      </w:r>
      <w:r>
        <w:rPr>
          <w:color w:val="000000"/>
        </w:rPr>
        <w:t>h</w:t>
      </w:r>
      <w:r w:rsidRPr="005D2703">
        <w:rPr>
          <w:color w:val="000000"/>
        </w:rPr>
        <w:t xml:space="preserve">as also </w:t>
      </w:r>
      <w:r>
        <w:rPr>
          <w:color w:val="000000"/>
        </w:rPr>
        <w:t xml:space="preserve">been </w:t>
      </w:r>
      <w:r w:rsidRPr="005D2703">
        <w:rPr>
          <w:color w:val="000000"/>
        </w:rPr>
        <w:t>modified so it clearly covers ‘Integration’, ‘The Environment’ and ‘National Identity’ in addition to the</w:t>
      </w:r>
      <w:r>
        <w:rPr>
          <w:color w:val="000000"/>
        </w:rPr>
        <w:t xml:space="preserve"> existing categories of</w:t>
      </w:r>
      <w:r w:rsidRPr="005D2703">
        <w:rPr>
          <w:color w:val="000000"/>
        </w:rPr>
        <w:t xml:space="preserve"> ‘Individual Freedom</w:t>
      </w:r>
      <w:r>
        <w:rPr>
          <w:color w:val="000000"/>
        </w:rPr>
        <w:t>s</w:t>
      </w:r>
      <w:r w:rsidRPr="005D2703">
        <w:rPr>
          <w:color w:val="000000"/>
        </w:rPr>
        <w:t>’ (‘Diversity of Lifestyles’/‘Ethical Legislation’)</w:t>
      </w:r>
      <w:r>
        <w:rPr>
          <w:color w:val="000000"/>
        </w:rPr>
        <w:t>,</w:t>
      </w:r>
      <w:r w:rsidRPr="005D2703">
        <w:rPr>
          <w:color w:val="000000"/>
        </w:rPr>
        <w:t xml:space="preserve"> and ‘Modes of Collective Decision-Making’ (‘Direct Representation’/‘Participation in the Decision-Making’). </w:t>
      </w:r>
    </w:p>
    <w:p w:rsidR="00665186" w:rsidRPr="005D2703" w:rsidRDefault="00665186" w:rsidP="001A43AF">
      <w:pPr>
        <w:spacing w:line="480" w:lineRule="auto"/>
        <w:ind w:firstLine="720"/>
        <w:jc w:val="both"/>
        <w:rPr>
          <w:color w:val="000000"/>
        </w:rPr>
      </w:pPr>
      <w:r w:rsidRPr="005D2703">
        <w:rPr>
          <w:color w:val="000000"/>
        </w:rPr>
        <w:t xml:space="preserve">These subsequent adjustments </w:t>
      </w:r>
      <w:r>
        <w:rPr>
          <w:color w:val="000000"/>
        </w:rPr>
        <w:t xml:space="preserve">have thus </w:t>
      </w:r>
      <w:r w:rsidRPr="005D2703">
        <w:rPr>
          <w:color w:val="000000"/>
        </w:rPr>
        <w:t>mean</w:t>
      </w:r>
      <w:r>
        <w:rPr>
          <w:color w:val="000000"/>
        </w:rPr>
        <w:t>t</w:t>
      </w:r>
      <w:r w:rsidRPr="005D2703">
        <w:rPr>
          <w:color w:val="000000"/>
        </w:rPr>
        <w:t xml:space="preserve"> a slightly different scoring system</w:t>
      </w:r>
      <w:r>
        <w:rPr>
          <w:color w:val="000000"/>
        </w:rPr>
        <w:t xml:space="preserve"> to that proposed by De Lange</w:t>
      </w:r>
      <w:r w:rsidRPr="005D2703">
        <w:rPr>
          <w:color w:val="000000"/>
        </w:rPr>
        <w:t xml:space="preserve">: </w:t>
      </w:r>
    </w:p>
    <w:p w:rsidR="00665186" w:rsidRPr="005D2703" w:rsidRDefault="00665186" w:rsidP="001A43AF">
      <w:pPr>
        <w:spacing w:line="480" w:lineRule="auto"/>
        <w:jc w:val="both"/>
        <w:rPr>
          <w:color w:val="000000"/>
        </w:rPr>
      </w:pPr>
    </w:p>
    <w:p w:rsidR="00665186" w:rsidRPr="005D2703" w:rsidRDefault="00665186" w:rsidP="001A43AF">
      <w:pPr>
        <w:numPr>
          <w:ilvl w:val="0"/>
          <w:numId w:val="2"/>
        </w:numPr>
        <w:spacing w:line="480" w:lineRule="auto"/>
        <w:ind w:left="0" w:firstLine="0"/>
        <w:jc w:val="both"/>
        <w:rPr>
          <w:color w:val="000000"/>
        </w:rPr>
      </w:pPr>
      <w:r w:rsidRPr="005D2703">
        <w:rPr>
          <w:color w:val="000000"/>
        </w:rPr>
        <w:t xml:space="preserve">Diversity of Lifestyles: Positive (-1) or Negative (+1) </w:t>
      </w:r>
    </w:p>
    <w:p w:rsidR="00665186" w:rsidRDefault="00665186" w:rsidP="001A43AF">
      <w:pPr>
        <w:spacing w:line="480" w:lineRule="auto"/>
        <w:ind w:left="720"/>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‘Equality between men and women, equal rights and opportunities for all//…//tolerance and the right to be different.” (MR, 2003) (-1);  </w:t>
      </w:r>
    </w:p>
    <w:p w:rsidR="00665186" w:rsidRPr="005D2703" w:rsidRDefault="00665186" w:rsidP="001A43AF">
      <w:pPr>
        <w:spacing w:line="480" w:lineRule="auto"/>
        <w:ind w:firstLine="720"/>
        <w:jc w:val="both"/>
        <w:rPr>
          <w:color w:val="000000"/>
        </w:rPr>
      </w:pPr>
    </w:p>
    <w:p w:rsidR="00665186" w:rsidRPr="005D2703" w:rsidRDefault="00665186" w:rsidP="001A43AF">
      <w:pPr>
        <w:spacing w:line="480" w:lineRule="auto"/>
        <w:ind w:left="720"/>
        <w:jc w:val="both"/>
        <w:rPr>
          <w:color w:val="000000"/>
        </w:rPr>
      </w:pPr>
      <w:r w:rsidRPr="005D2703">
        <w:rPr>
          <w:color w:val="000000"/>
        </w:rPr>
        <w:t>‘Those who come to the Netherlands//…//are in a society where the Judeo-Christian, and</w:t>
      </w:r>
      <w:r>
        <w:rPr>
          <w:color w:val="000000"/>
        </w:rPr>
        <w:t xml:space="preserve"> a</w:t>
      </w:r>
      <w:r w:rsidRPr="005D2703">
        <w:rPr>
          <w:color w:val="000000"/>
        </w:rPr>
        <w:t xml:space="preserve"> humanist tradition and culture colour society. This means</w:t>
      </w:r>
      <w:r>
        <w:rPr>
          <w:color w:val="000000"/>
        </w:rPr>
        <w:t xml:space="preserve"> that</w:t>
      </w:r>
      <w:r w:rsidRPr="005D2703">
        <w:rPr>
          <w:color w:val="000000"/>
        </w:rPr>
        <w:t xml:space="preserve"> </w:t>
      </w:r>
      <w:r>
        <w:rPr>
          <w:color w:val="000000"/>
        </w:rPr>
        <w:t xml:space="preserve">a </w:t>
      </w:r>
      <w:r w:rsidRPr="005D2703">
        <w:rPr>
          <w:color w:val="000000"/>
        </w:rPr>
        <w:t xml:space="preserve">Western culture and </w:t>
      </w:r>
      <w:r>
        <w:rPr>
          <w:color w:val="000000"/>
        </w:rPr>
        <w:t xml:space="preserve">the </w:t>
      </w:r>
      <w:r w:rsidRPr="005D2703">
        <w:rPr>
          <w:color w:val="000000"/>
        </w:rPr>
        <w:t xml:space="preserve">Western values are leading </w:t>
      </w:r>
      <w:r>
        <w:rPr>
          <w:color w:val="000000"/>
        </w:rPr>
        <w:t>for</w:t>
      </w:r>
      <w:r w:rsidRPr="005D2703">
        <w:rPr>
          <w:color w:val="000000"/>
        </w:rPr>
        <w:t xml:space="preserve"> Dutch society.’ (CDA, 2010)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2) Supports: Individual Freedom (-1) or a Moral Government (+1) </w:t>
      </w:r>
    </w:p>
    <w:p w:rsidR="00665186" w:rsidRPr="005D2703" w:rsidRDefault="00665186" w:rsidP="001A43AF">
      <w:pPr>
        <w:spacing w:line="480" w:lineRule="auto"/>
        <w:ind w:left="720"/>
        <w:jc w:val="both"/>
        <w:rPr>
          <w:color w:val="000000"/>
        </w:rPr>
      </w:pPr>
      <w:r w:rsidRPr="005D2703">
        <w:rPr>
          <w:color w:val="000000"/>
        </w:rPr>
        <w:t>‘Everyone has the right to a private sphere//…/</w:t>
      </w:r>
      <w:proofErr w:type="gramStart"/>
      <w:r w:rsidRPr="005D2703">
        <w:rPr>
          <w:color w:val="000000"/>
        </w:rPr>
        <w:t>/[</w:t>
      </w:r>
      <w:proofErr w:type="spellStart"/>
      <w:proofErr w:type="gramEnd"/>
      <w:r w:rsidRPr="005D2703">
        <w:rPr>
          <w:color w:val="000000"/>
        </w:rPr>
        <w:t>i</w:t>
      </w:r>
      <w:proofErr w:type="spellEnd"/>
      <w:r w:rsidRPr="005D2703">
        <w:rPr>
          <w:color w:val="000000"/>
        </w:rPr>
        <w:t xml:space="preserve">]t should be </w:t>
      </w:r>
      <w:r>
        <w:rPr>
          <w:color w:val="000000"/>
        </w:rPr>
        <w:t xml:space="preserve">a </w:t>
      </w:r>
      <w:r w:rsidRPr="005D2703">
        <w:rPr>
          <w:color w:val="000000"/>
        </w:rPr>
        <w:t xml:space="preserve">cornerstone in a free and democratic society.’ (MP, 2010)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‘Labour will appoint an anti-drugs supremo to co-ordinate our battle against drugs across all government departments. The 'drug czar' will be a symbol of our commitment to tackle the modern menace of drugs in our communities.’ (Labour, 1997)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3) Supports:  Direct (-1) or Appointed Representation (+1) </w:t>
      </w:r>
    </w:p>
    <w:p w:rsidR="00665186" w:rsidRDefault="00665186" w:rsidP="001A43AF">
      <w:pPr>
        <w:spacing w:line="480" w:lineRule="auto"/>
        <w:ind w:hanging="1440"/>
        <w:jc w:val="both"/>
        <w:rPr>
          <w:color w:val="000000"/>
        </w:rPr>
      </w:pPr>
      <w:r w:rsidRPr="005D2703">
        <w:rPr>
          <w:color w:val="000000"/>
        </w:rPr>
        <w:t>`</w:t>
      </w:r>
      <w:r w:rsidRPr="005D2703">
        <w:rPr>
          <w:color w:val="000000"/>
        </w:rPr>
        <w:tab/>
      </w:r>
    </w:p>
    <w:p w:rsidR="00665186" w:rsidRPr="005D2703" w:rsidRDefault="00665186" w:rsidP="001A43AF">
      <w:pPr>
        <w:spacing w:line="480" w:lineRule="auto"/>
        <w:ind w:left="720"/>
        <w:jc w:val="both"/>
        <w:rPr>
          <w:color w:val="000000"/>
        </w:rPr>
      </w:pPr>
      <w:r w:rsidRPr="005D2703">
        <w:rPr>
          <w:color w:val="000000"/>
        </w:rPr>
        <w:t>‘[M]ore referendums increase citizens' possibiliti</w:t>
      </w:r>
      <w:r>
        <w:rPr>
          <w:color w:val="000000"/>
        </w:rPr>
        <w:t xml:space="preserve">es to influence and strengthens </w:t>
      </w:r>
      <w:r w:rsidRPr="005D2703">
        <w:rPr>
          <w:color w:val="000000"/>
        </w:rPr>
        <w:t xml:space="preserve">democracy//…//more power to local authorities.’ (MP, 2002)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‘Mayors and commissioners remain appointed by the Crown.’ (CDA, 2002)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4) Supports: Individual Participation (-1) or Hierarchical Modes of Decision-Making (+1) </w:t>
      </w:r>
    </w:p>
    <w:p w:rsidR="00665186"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‘[M]ore participatory democracy, where citizens are actively involved in public debate’ (GA, 2010)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‘PS, however, considers community issues</w:t>
      </w:r>
      <w:r>
        <w:rPr>
          <w:color w:val="000000"/>
        </w:rPr>
        <w:t>,</w:t>
      </w:r>
      <w:r w:rsidRPr="005D2703">
        <w:rPr>
          <w:color w:val="000000"/>
        </w:rPr>
        <w:t xml:space="preserve"> which constitute a danger to the unity of </w:t>
      </w:r>
      <w:r>
        <w:rPr>
          <w:color w:val="000000"/>
        </w:rPr>
        <w:t>our</w:t>
      </w:r>
      <w:r w:rsidRPr="005D2703">
        <w:rPr>
          <w:color w:val="000000"/>
        </w:rPr>
        <w:t xml:space="preserve"> country</w:t>
      </w:r>
      <w:r>
        <w:rPr>
          <w:color w:val="000000"/>
        </w:rPr>
        <w:t>,</w:t>
      </w:r>
      <w:r w:rsidRPr="005D2703">
        <w:rPr>
          <w:color w:val="000000"/>
        </w:rPr>
        <w:t xml:space="preserve"> to be likely to bias the participatory process.’ (PS, 2007) (+1);</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5) National Identity: Less (-1) or More Important to Preserve (+1) </w:t>
      </w:r>
    </w:p>
    <w:p w:rsidR="00665186"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‘We want to protect the rights and opportunities for our national minorities to develop their own culture and language.’ (V, 2002)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firstLine="720"/>
        <w:jc w:val="both"/>
        <w:rPr>
          <w:color w:val="000000"/>
        </w:rPr>
      </w:pPr>
      <w:r w:rsidRPr="005D2703">
        <w:rPr>
          <w:color w:val="000000"/>
        </w:rPr>
        <w:t>‘Revive Britain's sense of community.’ (Lib Dems, 1997); (+1)</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6) Supports: an Inclusive and Universalistic (-1) or Exclusive and Particularistic (+1) Society</w:t>
      </w:r>
    </w:p>
    <w:p w:rsidR="00665186"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‘It is SP’s view that everything possible should be done to help these people to integrate into our society.’ (SP, 1994) (-1); </w:t>
      </w:r>
    </w:p>
    <w:p w:rsidR="00665186" w:rsidRPr="005D2703" w:rsidRDefault="00665186" w:rsidP="001A43AF">
      <w:pPr>
        <w:spacing w:line="480" w:lineRule="auto"/>
        <w:ind w:firstLine="720"/>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‘English language tests for everyone who wants to stay permanently.’ (Labour, 2005)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7) More important: Environmental Protection (-1) or Economic Growth (+1) </w:t>
      </w:r>
    </w:p>
    <w:p w:rsidR="00665186"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‘Increasing taxes on environmentally damaging activities is not only desirable </w:t>
      </w:r>
      <w:r>
        <w:rPr>
          <w:color w:val="000000"/>
        </w:rPr>
        <w:t xml:space="preserve">but also </w:t>
      </w:r>
      <w:r w:rsidRPr="005D2703">
        <w:rPr>
          <w:color w:val="000000"/>
        </w:rPr>
        <w:t xml:space="preserve">necessary.’ (CP, 1994) (-1);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left="720"/>
        <w:jc w:val="both"/>
      </w:pPr>
      <w:r w:rsidRPr="005D2703">
        <w:rPr>
          <w:color w:val="000000"/>
        </w:rPr>
        <w:t>‘Expand airport and transport options//…//everyone is concerned about the economy, it is important to innovate and grow.’ (VVD, 2006) (+1).</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Pr>
          <w:color w:val="000000"/>
        </w:rPr>
        <w:t xml:space="preserve">Two additional </w:t>
      </w:r>
      <w:r w:rsidRPr="005D2703">
        <w:rPr>
          <w:color w:val="000000"/>
        </w:rPr>
        <w:t xml:space="preserve">7-point scales were then set up to measure positions on the EU and immigration ‘issues’. As elaborated on above, only a minority of parties can be said to ‘fit’ neatly into </w:t>
      </w:r>
      <w:r>
        <w:rPr>
          <w:color w:val="000000"/>
        </w:rPr>
        <w:t xml:space="preserve">either a </w:t>
      </w:r>
      <w:r w:rsidRPr="005D2703">
        <w:rPr>
          <w:color w:val="000000"/>
        </w:rPr>
        <w:t>soft</w:t>
      </w:r>
      <w:r>
        <w:rPr>
          <w:color w:val="000000"/>
        </w:rPr>
        <w:t xml:space="preserve"> or hard</w:t>
      </w:r>
      <w:r w:rsidRPr="005D2703">
        <w:rPr>
          <w:color w:val="000000"/>
        </w:rPr>
        <w:t xml:space="preserve"> ‘Eurosceptic’ categor</w:t>
      </w:r>
      <w:r>
        <w:rPr>
          <w:color w:val="000000"/>
        </w:rPr>
        <w:t>y</w:t>
      </w:r>
      <w:r w:rsidRPr="005D2703">
        <w:rPr>
          <w:color w:val="000000"/>
        </w:rPr>
        <w:t xml:space="preserve"> (Taggart, 1998; </w:t>
      </w:r>
      <w:r w:rsidRPr="005D2703">
        <w:t xml:space="preserve">Taggart and </w:t>
      </w:r>
      <w:proofErr w:type="spellStart"/>
      <w:r w:rsidRPr="005D2703">
        <w:t>Szczerbiak</w:t>
      </w:r>
      <w:proofErr w:type="spellEnd"/>
      <w:r w:rsidRPr="005D2703">
        <w:t xml:space="preserve">, 2001). They </w:t>
      </w:r>
      <w:r w:rsidRPr="005D2703">
        <w:lastRenderedPageBreak/>
        <w:t xml:space="preserve">should </w:t>
      </w:r>
      <w:r>
        <w:t>instead f</w:t>
      </w:r>
      <w:r w:rsidRPr="005D2703">
        <w:t xml:space="preserve">all </w:t>
      </w:r>
      <w:r>
        <w:t xml:space="preserve">somewhere </w:t>
      </w:r>
      <w:r w:rsidRPr="005D2703">
        <w:t xml:space="preserve">along </w:t>
      </w:r>
      <w:r>
        <w:t xml:space="preserve">a </w:t>
      </w:r>
      <w:r w:rsidRPr="005D2703">
        <w:t>continuum</w:t>
      </w:r>
      <w:r>
        <w:t xml:space="preserve"> ranging </w:t>
      </w:r>
      <w:r w:rsidRPr="005D2703">
        <w:t xml:space="preserve">from Eurosceptic to -pragmatic to </w:t>
      </w:r>
      <w:proofErr w:type="spellStart"/>
      <w:r w:rsidRPr="005D2703">
        <w:t>Euroenthusiastic</w:t>
      </w:r>
      <w:proofErr w:type="spellEnd"/>
      <w:r w:rsidRPr="005D2703">
        <w:t xml:space="preserve"> (</w:t>
      </w:r>
      <w:proofErr w:type="spellStart"/>
      <w:r w:rsidRPr="005D2703">
        <w:t>Kopecky</w:t>
      </w:r>
      <w:proofErr w:type="spellEnd"/>
      <w:r w:rsidRPr="005D2703">
        <w:t xml:space="preserve"> and </w:t>
      </w:r>
      <w:proofErr w:type="spellStart"/>
      <w:r w:rsidRPr="005D2703">
        <w:t>Mudde</w:t>
      </w:r>
      <w:proofErr w:type="spellEnd"/>
      <w:r w:rsidRPr="005D2703">
        <w:t xml:space="preserve">, 2002). </w:t>
      </w:r>
      <w:r>
        <w:t>And t</w:t>
      </w:r>
      <w:r w:rsidRPr="005D2703">
        <w:t>he</w:t>
      </w:r>
      <w:r>
        <w:t xml:space="preserve"> manifestos</w:t>
      </w:r>
      <w:r w:rsidRPr="005D2703">
        <w:t xml:space="preserve"> </w:t>
      </w:r>
      <w:r>
        <w:t xml:space="preserve">should </w:t>
      </w:r>
      <w:r w:rsidRPr="005D2703">
        <w:t xml:space="preserve">also </w:t>
      </w:r>
      <w:r>
        <w:t xml:space="preserve">likely to </w:t>
      </w:r>
      <w:r w:rsidRPr="005D2703">
        <w:t xml:space="preserve">vary </w:t>
      </w:r>
      <w:r>
        <w:t xml:space="preserve">regarding the </w:t>
      </w:r>
      <w:r w:rsidRPr="005D2703">
        <w:t xml:space="preserve">‘enthusiasm’ </w:t>
      </w:r>
      <w:r>
        <w:t>that is expressed for</w:t>
      </w:r>
      <w:r w:rsidRPr="005D2703">
        <w:t xml:space="preserve"> </w:t>
      </w:r>
      <w:r>
        <w:t xml:space="preserve">the </w:t>
      </w:r>
      <w:r w:rsidRPr="005D2703">
        <w:t xml:space="preserve">different </w:t>
      </w:r>
      <w:r w:rsidRPr="005D2703">
        <w:rPr>
          <w:i/>
          <w:iCs/>
        </w:rPr>
        <w:t>aspects</w:t>
      </w:r>
      <w:r w:rsidRPr="005D2703">
        <w:t xml:space="preserve"> of the European project (</w:t>
      </w:r>
      <w:proofErr w:type="spellStart"/>
      <w:r w:rsidRPr="005D2703">
        <w:t>Hooghe</w:t>
      </w:r>
      <w:proofErr w:type="spellEnd"/>
      <w:r w:rsidRPr="005D2703">
        <w:t xml:space="preserve"> </w:t>
      </w:r>
      <w:r w:rsidRPr="005D2703">
        <w:rPr>
          <w:i/>
          <w:iCs/>
        </w:rPr>
        <w:t>et al</w:t>
      </w:r>
      <w:r w:rsidRPr="005D2703">
        <w:t>, 2002).</w:t>
      </w:r>
      <w:r w:rsidRPr="005D2703">
        <w:rPr>
          <w:color w:val="000000"/>
        </w:rPr>
        <w:t xml:space="preserve"> With these points in mind, the</w:t>
      </w:r>
      <w:r>
        <w:rPr>
          <w:color w:val="000000"/>
        </w:rPr>
        <w:t xml:space="preserve"> EU</w:t>
      </w:r>
      <w:r w:rsidRPr="005D2703">
        <w:rPr>
          <w:color w:val="000000"/>
        </w:rPr>
        <w:t xml:space="preserve"> scale was designed so as to capture </w:t>
      </w:r>
      <w:r>
        <w:rPr>
          <w:color w:val="000000"/>
        </w:rPr>
        <w:t>levels of confrontation on the following key areas</w:t>
      </w:r>
      <w:r w:rsidRPr="005D2703">
        <w:rPr>
          <w:color w:val="000000"/>
        </w:rPr>
        <w:t xml:space="preserve"> –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pPr>
      <w:r w:rsidRPr="005D2703">
        <w:rPr>
          <w:color w:val="000000"/>
        </w:rPr>
        <w:t>(1) Membership; (2) Function</w:t>
      </w:r>
      <w:r>
        <w:rPr>
          <w:color w:val="000000"/>
        </w:rPr>
        <w:t xml:space="preserve"> of the EU</w:t>
      </w:r>
      <w:r w:rsidRPr="005D2703">
        <w:rPr>
          <w:color w:val="000000"/>
        </w:rPr>
        <w:t xml:space="preserve">; (3); Integration; (4) The Euro; (5) Common Foreign Policy; (6) Enlargement and, finally, (7) Constitution/Treaties. </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The scoring system </w:t>
      </w:r>
      <w:r>
        <w:rPr>
          <w:color w:val="000000"/>
        </w:rPr>
        <w:t>has</w:t>
      </w:r>
      <w:r w:rsidRPr="005D2703">
        <w:rPr>
          <w:color w:val="000000"/>
        </w:rPr>
        <w:t xml:space="preserve"> </w:t>
      </w:r>
      <w:r>
        <w:rPr>
          <w:color w:val="000000"/>
        </w:rPr>
        <w:t>been</w:t>
      </w:r>
      <w:r w:rsidRPr="005D2703">
        <w:rPr>
          <w:color w:val="000000"/>
        </w:rPr>
        <w:t xml:space="preserve"> comparatively straight forward and based around statements that portray an overall </w:t>
      </w:r>
      <w:r w:rsidRPr="005D2703">
        <w:rPr>
          <w:i/>
          <w:color w:val="000000"/>
        </w:rPr>
        <w:t>Negative</w:t>
      </w:r>
      <w:r w:rsidRPr="005D2703">
        <w:rPr>
          <w:color w:val="000000"/>
        </w:rPr>
        <w:t xml:space="preserve"> (-1) –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‘The current drive for a political; monetary; economic and military union is only in the interests of business.” (SP, 1994) [Membership];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‘The EMU is an undemocratic construction//…//it is not run by the elected but by independent central bankers that follow dogmatic treaty texts.’ (V, 1998) [Euro]; </w:t>
      </w:r>
    </w:p>
    <w:p w:rsidR="00665186" w:rsidRPr="005D2703" w:rsidRDefault="00665186" w:rsidP="001A43AF">
      <w:pPr>
        <w:spacing w:line="480" w:lineRule="auto"/>
        <w:ind w:firstLine="720"/>
        <w:jc w:val="both"/>
        <w:rPr>
          <w:color w:val="000000"/>
        </w:rPr>
      </w:pPr>
    </w:p>
    <w:p w:rsidR="00665186" w:rsidRPr="005D2703" w:rsidRDefault="00665186" w:rsidP="001A43AF">
      <w:pPr>
        <w:spacing w:line="480" w:lineRule="auto"/>
        <w:jc w:val="both"/>
        <w:rPr>
          <w:color w:val="000000"/>
        </w:rPr>
      </w:pPr>
      <w:r w:rsidRPr="005D2703">
        <w:rPr>
          <w:color w:val="000000"/>
        </w:rPr>
        <w:t xml:space="preserve">- </w:t>
      </w:r>
      <w:proofErr w:type="gramStart"/>
      <w:r w:rsidRPr="005D2703">
        <w:rPr>
          <w:color w:val="000000"/>
        </w:rPr>
        <w:t>or</w:t>
      </w:r>
      <w:proofErr w:type="gramEnd"/>
      <w:r w:rsidRPr="005D2703">
        <w:rPr>
          <w:color w:val="000000"/>
        </w:rPr>
        <w:t xml:space="preserve"> </w:t>
      </w:r>
      <w:r w:rsidRPr="005D2703">
        <w:rPr>
          <w:i/>
          <w:color w:val="000000"/>
        </w:rPr>
        <w:t>Positive</w:t>
      </w:r>
      <w:r w:rsidRPr="005D2703">
        <w:rPr>
          <w:color w:val="000000"/>
        </w:rPr>
        <w:t xml:space="preserve"> view (+1) </w:t>
      </w:r>
    </w:p>
    <w:p w:rsidR="00665186" w:rsidRPr="005D2703" w:rsidRDefault="00665186" w:rsidP="001A43AF">
      <w:pPr>
        <w:spacing w:line="480" w:lineRule="auto"/>
        <w:ind w:firstLine="720"/>
        <w:jc w:val="both"/>
        <w:rPr>
          <w:color w:val="000000"/>
        </w:rPr>
      </w:pPr>
    </w:p>
    <w:p w:rsidR="00665186" w:rsidRPr="005D2703" w:rsidRDefault="00665186" w:rsidP="001A43AF">
      <w:pPr>
        <w:spacing w:line="480" w:lineRule="auto"/>
        <w:ind w:left="720"/>
        <w:jc w:val="both"/>
        <w:rPr>
          <w:color w:val="000000"/>
        </w:rPr>
      </w:pPr>
      <w:r w:rsidRPr="005D2703">
        <w:rPr>
          <w:color w:val="000000"/>
        </w:rPr>
        <w:t xml:space="preserve">‘Europe is essential for our prosperity and </w:t>
      </w:r>
      <w:r>
        <w:rPr>
          <w:color w:val="000000"/>
        </w:rPr>
        <w:t xml:space="preserve">for our </w:t>
      </w:r>
      <w:r w:rsidRPr="005D2703">
        <w:rPr>
          <w:color w:val="000000"/>
        </w:rPr>
        <w:t xml:space="preserve">security.’ (CD&amp;V, 2010) [Membership]; </w:t>
      </w:r>
    </w:p>
    <w:p w:rsidR="00665186" w:rsidRPr="005D2703" w:rsidRDefault="00665186" w:rsidP="001A43AF">
      <w:pPr>
        <w:spacing w:line="480" w:lineRule="auto"/>
        <w:jc w:val="both"/>
        <w:rPr>
          <w:color w:val="000000"/>
        </w:rPr>
      </w:pPr>
    </w:p>
    <w:p w:rsidR="00665186" w:rsidRPr="005D2703" w:rsidRDefault="00665186" w:rsidP="001A43AF">
      <w:pPr>
        <w:spacing w:line="480" w:lineRule="auto"/>
        <w:ind w:left="720"/>
        <w:jc w:val="both"/>
        <w:rPr>
          <w:color w:val="000000"/>
        </w:rPr>
      </w:pPr>
      <w:r w:rsidRPr="005D2703">
        <w:rPr>
          <w:color w:val="000000"/>
        </w:rPr>
        <w:lastRenderedPageBreak/>
        <w:t>‘Labour is pledged to do all it can to enable the first group of applicant countries to join in time to take part in the next European Parliamentary elections in 2004’ (Labour, 2001) [Enlargement].</w:t>
      </w:r>
    </w:p>
    <w:p w:rsidR="00665186" w:rsidRPr="005D2703" w:rsidRDefault="00665186" w:rsidP="001A43AF">
      <w:pPr>
        <w:spacing w:line="480" w:lineRule="auto"/>
        <w:jc w:val="both"/>
        <w:rPr>
          <w:color w:val="000000"/>
        </w:rPr>
      </w:pPr>
    </w:p>
    <w:p w:rsidR="00665186" w:rsidRPr="005D2703" w:rsidRDefault="00665186" w:rsidP="001A43AF">
      <w:pPr>
        <w:spacing w:line="480" w:lineRule="auto"/>
        <w:jc w:val="both"/>
        <w:rPr>
          <w:color w:val="000000"/>
        </w:rPr>
      </w:pPr>
      <w:r w:rsidRPr="005D2703">
        <w:rPr>
          <w:color w:val="000000"/>
        </w:rPr>
        <w:t xml:space="preserve">A similar situation </w:t>
      </w:r>
      <w:r>
        <w:rPr>
          <w:color w:val="000000"/>
        </w:rPr>
        <w:t>is likely to</w:t>
      </w:r>
      <w:r w:rsidRPr="005D2703">
        <w:rPr>
          <w:color w:val="000000"/>
        </w:rPr>
        <w:t xml:space="preserve"> apply to the immigration ‘issue’</w:t>
      </w:r>
      <w:r>
        <w:rPr>
          <w:color w:val="000000"/>
        </w:rPr>
        <w:t xml:space="preserve"> as well</w:t>
      </w:r>
      <w:r w:rsidRPr="005D2703">
        <w:rPr>
          <w:color w:val="000000"/>
        </w:rPr>
        <w:t xml:space="preserve">. That is, </w:t>
      </w:r>
      <w:r>
        <w:rPr>
          <w:color w:val="000000"/>
        </w:rPr>
        <w:t xml:space="preserve">it should </w:t>
      </w:r>
      <w:r w:rsidRPr="005D2703">
        <w:rPr>
          <w:color w:val="000000"/>
        </w:rPr>
        <w:t xml:space="preserve">be rare to find instances </w:t>
      </w:r>
      <w:r>
        <w:rPr>
          <w:color w:val="000000"/>
        </w:rPr>
        <w:t xml:space="preserve">where the </w:t>
      </w:r>
      <w:r w:rsidRPr="005D2703">
        <w:rPr>
          <w:color w:val="000000"/>
        </w:rPr>
        <w:t xml:space="preserve">aggregate </w:t>
      </w:r>
      <w:r>
        <w:rPr>
          <w:color w:val="000000"/>
        </w:rPr>
        <w:t>sum</w:t>
      </w:r>
      <w:r w:rsidRPr="005D2703">
        <w:rPr>
          <w:color w:val="000000"/>
        </w:rPr>
        <w:t xml:space="preserve"> </w:t>
      </w:r>
      <w:r>
        <w:rPr>
          <w:color w:val="000000"/>
        </w:rPr>
        <w:t xml:space="preserve">amounts to </w:t>
      </w:r>
      <w:r w:rsidRPr="005D2703">
        <w:rPr>
          <w:color w:val="000000"/>
        </w:rPr>
        <w:t xml:space="preserve">either </w:t>
      </w:r>
      <w:r>
        <w:rPr>
          <w:color w:val="000000"/>
        </w:rPr>
        <w:t xml:space="preserve">an </w:t>
      </w:r>
      <w:r w:rsidRPr="005D2703">
        <w:rPr>
          <w:color w:val="000000"/>
        </w:rPr>
        <w:t xml:space="preserve">exclusively ‘liberal’ or </w:t>
      </w:r>
      <w:r>
        <w:rPr>
          <w:color w:val="000000"/>
        </w:rPr>
        <w:t xml:space="preserve">an </w:t>
      </w:r>
      <w:r w:rsidRPr="005D2703">
        <w:rPr>
          <w:color w:val="000000"/>
        </w:rPr>
        <w:t>exclusively ‘restrictive’</w:t>
      </w:r>
      <w:r>
        <w:rPr>
          <w:color w:val="000000"/>
        </w:rPr>
        <w:t xml:space="preserve"> position</w:t>
      </w:r>
      <w:r w:rsidRPr="005D2703">
        <w:rPr>
          <w:color w:val="000000"/>
        </w:rPr>
        <w:t xml:space="preserve">. </w:t>
      </w:r>
      <w:r>
        <w:rPr>
          <w:color w:val="000000"/>
        </w:rPr>
        <w:t>It is</w:t>
      </w:r>
      <w:r w:rsidRPr="005D2703">
        <w:rPr>
          <w:color w:val="000000"/>
        </w:rPr>
        <w:t xml:space="preserve"> </w:t>
      </w:r>
      <w:r>
        <w:rPr>
          <w:color w:val="000000"/>
        </w:rPr>
        <w:t>rather expected to</w:t>
      </w:r>
      <w:r w:rsidRPr="005D2703">
        <w:rPr>
          <w:color w:val="000000"/>
        </w:rPr>
        <w:t xml:space="preserve"> fall somewhere </w:t>
      </w:r>
      <w:r>
        <w:rPr>
          <w:color w:val="000000"/>
        </w:rPr>
        <w:t>between</w:t>
      </w:r>
      <w:r w:rsidRPr="005D2703">
        <w:rPr>
          <w:color w:val="000000"/>
        </w:rPr>
        <w:t xml:space="preserve"> these two poles. It is equally expected that </w:t>
      </w:r>
      <w:r>
        <w:rPr>
          <w:color w:val="000000"/>
        </w:rPr>
        <w:t xml:space="preserve">these </w:t>
      </w:r>
      <w:r w:rsidRPr="005D2703">
        <w:rPr>
          <w:color w:val="000000"/>
        </w:rPr>
        <w:t xml:space="preserve">positions </w:t>
      </w:r>
      <w:r>
        <w:rPr>
          <w:color w:val="000000"/>
        </w:rPr>
        <w:t>will</w:t>
      </w:r>
      <w:r w:rsidRPr="005D2703">
        <w:rPr>
          <w:color w:val="000000"/>
        </w:rPr>
        <w:t xml:space="preserve"> vary </w:t>
      </w:r>
      <w:r>
        <w:rPr>
          <w:color w:val="000000"/>
        </w:rPr>
        <w:t>depending on</w:t>
      </w:r>
      <w:r w:rsidRPr="005D2703">
        <w:rPr>
          <w:color w:val="000000"/>
        </w:rPr>
        <w:t xml:space="preserve"> </w:t>
      </w:r>
      <w:r>
        <w:rPr>
          <w:color w:val="000000"/>
        </w:rPr>
        <w:t>what</w:t>
      </w:r>
      <w:r w:rsidRPr="005D2703">
        <w:rPr>
          <w:color w:val="000000"/>
        </w:rPr>
        <w:t xml:space="preserve"> </w:t>
      </w:r>
      <w:r w:rsidRPr="005D2703">
        <w:rPr>
          <w:i/>
          <w:iCs/>
          <w:color w:val="000000"/>
        </w:rPr>
        <w:t>type</w:t>
      </w:r>
      <w:r w:rsidRPr="005D2703">
        <w:rPr>
          <w:color w:val="000000"/>
        </w:rPr>
        <w:t xml:space="preserve"> of migrants </w:t>
      </w:r>
      <w:r>
        <w:rPr>
          <w:color w:val="000000"/>
        </w:rPr>
        <w:t xml:space="preserve">that the </w:t>
      </w:r>
      <w:r w:rsidRPr="005D2703">
        <w:rPr>
          <w:color w:val="000000"/>
        </w:rPr>
        <w:t xml:space="preserve">parties are more liberal or more restrictive towards. To </w:t>
      </w:r>
      <w:r>
        <w:rPr>
          <w:color w:val="000000"/>
        </w:rPr>
        <w:t xml:space="preserve">then </w:t>
      </w:r>
      <w:r w:rsidRPr="005D2703">
        <w:rPr>
          <w:color w:val="000000"/>
        </w:rPr>
        <w:t>capture the full range of newcomers, seven</w:t>
      </w:r>
      <w:r>
        <w:rPr>
          <w:color w:val="000000"/>
        </w:rPr>
        <w:t xml:space="preserve"> categories have been</w:t>
      </w:r>
      <w:r w:rsidRPr="005D2703">
        <w:rPr>
          <w:color w:val="000000"/>
        </w:rPr>
        <w:t xml:space="preserve"> identified. These cover the ‘typical’ (e.g. ‘Asylum Seeker/Refugees’) to the ‘atypical’ migrant (‘Retirement’).  </w:t>
      </w:r>
    </w:p>
    <w:p w:rsidR="00665186" w:rsidRPr="005D2703" w:rsidRDefault="00665186" w:rsidP="001A43AF">
      <w:pPr>
        <w:autoSpaceDE w:val="0"/>
        <w:autoSpaceDN w:val="0"/>
        <w:adjustRightInd w:val="0"/>
        <w:spacing w:line="480" w:lineRule="auto"/>
        <w:jc w:val="both"/>
        <w:rPr>
          <w:color w:val="000000"/>
        </w:rPr>
      </w:pPr>
    </w:p>
    <w:p w:rsidR="00665186" w:rsidRPr="005D2703" w:rsidRDefault="00665186" w:rsidP="001A43AF">
      <w:pPr>
        <w:numPr>
          <w:ilvl w:val="0"/>
          <w:numId w:val="8"/>
        </w:numPr>
        <w:spacing w:line="480" w:lineRule="auto"/>
        <w:ind w:left="0" w:firstLine="0"/>
        <w:jc w:val="both"/>
        <w:rPr>
          <w:color w:val="000000"/>
        </w:rPr>
      </w:pPr>
      <w:r w:rsidRPr="005D2703">
        <w:rPr>
          <w:color w:val="000000"/>
        </w:rPr>
        <w:t>Asylum Seekers/Refugees; (2) Labour; (3) Family Reunification; (4) Unaccompanied Minors; (5) Students:  (6) Retirement and (7) Immigration (in general)</w:t>
      </w:r>
      <w:r w:rsidRPr="005D2703">
        <w:rPr>
          <w:rStyle w:val="FootnoteReference"/>
          <w:color w:val="000000"/>
        </w:rPr>
        <w:footnoteReference w:id="1"/>
      </w:r>
      <w:r w:rsidRPr="005D2703">
        <w:rPr>
          <w:color w:val="000000"/>
        </w:rPr>
        <w:t xml:space="preserve">.  </w:t>
      </w:r>
    </w:p>
    <w:p w:rsidR="00665186" w:rsidRPr="005D2703" w:rsidRDefault="00665186" w:rsidP="001A43AF">
      <w:pPr>
        <w:spacing w:line="480" w:lineRule="auto"/>
        <w:jc w:val="both"/>
      </w:pPr>
    </w:p>
    <w:p w:rsidR="00665186" w:rsidRPr="005D2703" w:rsidRDefault="00665186" w:rsidP="001A43AF">
      <w:pPr>
        <w:autoSpaceDE w:val="0"/>
        <w:autoSpaceDN w:val="0"/>
        <w:adjustRightInd w:val="0"/>
        <w:spacing w:line="480" w:lineRule="auto"/>
        <w:jc w:val="both"/>
        <w:rPr>
          <w:color w:val="000000"/>
        </w:rPr>
      </w:pPr>
      <w:r w:rsidRPr="005D2703">
        <w:rPr>
          <w:color w:val="000000"/>
        </w:rPr>
        <w:t xml:space="preserve">Apart from ‘Immigration (in general)’ and ‘Student Migration’, the same scoring system </w:t>
      </w:r>
      <w:r>
        <w:rPr>
          <w:color w:val="000000"/>
        </w:rPr>
        <w:t>has been</w:t>
      </w:r>
      <w:r w:rsidRPr="005D2703">
        <w:rPr>
          <w:color w:val="000000"/>
        </w:rPr>
        <w:t xml:space="preserve"> used throughout: (-1) if the statement indicate</w:t>
      </w:r>
      <w:r>
        <w:rPr>
          <w:color w:val="000000"/>
        </w:rPr>
        <w:t>d</w:t>
      </w:r>
      <w:r w:rsidRPr="005D2703">
        <w:rPr>
          <w:color w:val="000000"/>
        </w:rPr>
        <w:t xml:space="preserve"> a more liberal approach, and (+1) if </w:t>
      </w:r>
      <w:r>
        <w:rPr>
          <w:color w:val="000000"/>
        </w:rPr>
        <w:t>it suggests</w:t>
      </w:r>
      <w:r w:rsidRPr="005D2703">
        <w:rPr>
          <w:color w:val="000000"/>
        </w:rPr>
        <w:t xml:space="preserve"> </w:t>
      </w:r>
      <w:r>
        <w:rPr>
          <w:color w:val="000000"/>
        </w:rPr>
        <w:t xml:space="preserve">a </w:t>
      </w:r>
      <w:r w:rsidRPr="005D2703">
        <w:rPr>
          <w:color w:val="000000"/>
        </w:rPr>
        <w:t xml:space="preserve">more restrictive one. </w:t>
      </w:r>
      <w:r w:rsidRPr="005D2703">
        <w:rPr>
          <w:bCs/>
          <w:iCs/>
          <w:color w:val="000000"/>
        </w:rPr>
        <w:t>E.g. FP’s statement in 2010 - ‘Sweden should be open to labour migrants’ - was given a score of -1, whereas SP’s line in 2002 - ‘No short-sighted imports of foreign labour’ - was allocated a score of (+1). The</w:t>
      </w:r>
      <w:r w:rsidRPr="005D2703">
        <w:rPr>
          <w:color w:val="000000"/>
        </w:rPr>
        <w:t xml:space="preserve"> two exceptions </w:t>
      </w:r>
      <w:r>
        <w:rPr>
          <w:color w:val="000000"/>
        </w:rPr>
        <w:t>were</w:t>
      </w:r>
      <w:r w:rsidRPr="005D2703">
        <w:rPr>
          <w:color w:val="000000"/>
        </w:rPr>
        <w:t xml:space="preserve"> </w:t>
      </w:r>
      <w:r>
        <w:rPr>
          <w:color w:val="000000"/>
        </w:rPr>
        <w:t>s</w:t>
      </w:r>
      <w:r w:rsidRPr="005D2703">
        <w:rPr>
          <w:color w:val="000000"/>
        </w:rPr>
        <w:t>core</w:t>
      </w:r>
      <w:r>
        <w:rPr>
          <w:color w:val="000000"/>
        </w:rPr>
        <w:t>d</w:t>
      </w:r>
      <w:r w:rsidRPr="005D2703">
        <w:rPr>
          <w:color w:val="000000"/>
        </w:rPr>
        <w:t xml:space="preserve"> depending on whether they </w:t>
      </w:r>
      <w:r>
        <w:rPr>
          <w:color w:val="000000"/>
        </w:rPr>
        <w:t xml:space="preserve">were </w:t>
      </w:r>
      <w:r w:rsidRPr="005D2703">
        <w:rPr>
          <w:color w:val="000000"/>
        </w:rPr>
        <w:t xml:space="preserve">considered to have a positive (-1) or </w:t>
      </w:r>
      <w:r>
        <w:rPr>
          <w:color w:val="000000"/>
        </w:rPr>
        <w:t xml:space="preserve">a </w:t>
      </w:r>
      <w:r w:rsidRPr="005D2703">
        <w:rPr>
          <w:color w:val="000000"/>
        </w:rPr>
        <w:t xml:space="preserve">negative (+1) </w:t>
      </w:r>
      <w:r>
        <w:rPr>
          <w:color w:val="000000"/>
        </w:rPr>
        <w:t>impact</w:t>
      </w:r>
      <w:r w:rsidRPr="005D2703">
        <w:rPr>
          <w:color w:val="000000"/>
        </w:rPr>
        <w:t xml:space="preserve"> on the receiving society</w:t>
      </w:r>
      <w:r w:rsidRPr="005D2703">
        <w:rPr>
          <w:rStyle w:val="FootnoteReference"/>
          <w:color w:val="000000"/>
        </w:rPr>
        <w:footnoteReference w:id="2"/>
      </w:r>
      <w:r w:rsidRPr="005D2703">
        <w:rPr>
          <w:color w:val="000000"/>
        </w:rPr>
        <w:t>.</w:t>
      </w:r>
    </w:p>
    <w:p w:rsidR="00665186" w:rsidRPr="005D2703" w:rsidRDefault="00665186" w:rsidP="001A43AF">
      <w:pPr>
        <w:autoSpaceDE w:val="0"/>
        <w:autoSpaceDN w:val="0"/>
        <w:adjustRightInd w:val="0"/>
        <w:spacing w:line="480" w:lineRule="auto"/>
        <w:jc w:val="both"/>
        <w:rPr>
          <w:bCs/>
          <w:iCs/>
          <w:color w:val="000000"/>
        </w:rPr>
      </w:pPr>
      <w:r w:rsidRPr="005D2703">
        <w:rPr>
          <w:bCs/>
          <w:iCs/>
          <w:color w:val="000000"/>
        </w:rPr>
        <w:lastRenderedPageBreak/>
        <w:t xml:space="preserve">And again, should statements be unclear or ambiguous (on either scale), a score of (0) </w:t>
      </w:r>
      <w:r>
        <w:rPr>
          <w:bCs/>
          <w:iCs/>
          <w:color w:val="000000"/>
        </w:rPr>
        <w:t>is</w:t>
      </w:r>
      <w:r w:rsidRPr="005D2703">
        <w:rPr>
          <w:bCs/>
          <w:iCs/>
          <w:color w:val="000000"/>
        </w:rPr>
        <w:t xml:space="preserve"> given, exemplified by CDA’s 2010 view on ‘Labour Migration’ – </w:t>
      </w:r>
    </w:p>
    <w:p w:rsidR="00665186" w:rsidRPr="005D2703" w:rsidRDefault="00665186" w:rsidP="001A43AF">
      <w:pPr>
        <w:autoSpaceDE w:val="0"/>
        <w:autoSpaceDN w:val="0"/>
        <w:adjustRightInd w:val="0"/>
        <w:spacing w:line="480" w:lineRule="auto"/>
        <w:jc w:val="both"/>
        <w:rPr>
          <w:bCs/>
          <w:iCs/>
          <w:color w:val="000000"/>
        </w:rPr>
      </w:pPr>
    </w:p>
    <w:p w:rsidR="00665186" w:rsidRPr="005D2703" w:rsidRDefault="00665186" w:rsidP="001A43AF">
      <w:pPr>
        <w:autoSpaceDE w:val="0"/>
        <w:autoSpaceDN w:val="0"/>
        <w:adjustRightInd w:val="0"/>
        <w:spacing w:line="480" w:lineRule="auto"/>
        <w:ind w:left="720"/>
        <w:jc w:val="both"/>
        <w:rPr>
          <w:bCs/>
          <w:iCs/>
          <w:color w:val="000000"/>
        </w:rPr>
      </w:pPr>
      <w:r w:rsidRPr="005D2703">
        <w:rPr>
          <w:bCs/>
          <w:iCs/>
          <w:color w:val="000000"/>
        </w:rPr>
        <w:t xml:space="preserve">‘Admission of migrant workers should be based upon the needs of the Dutch labour market’ – </w:t>
      </w:r>
    </w:p>
    <w:p w:rsidR="00665186" w:rsidRPr="005D2703" w:rsidRDefault="00665186" w:rsidP="001A43AF">
      <w:pPr>
        <w:autoSpaceDE w:val="0"/>
        <w:autoSpaceDN w:val="0"/>
        <w:adjustRightInd w:val="0"/>
        <w:spacing w:line="480" w:lineRule="auto"/>
        <w:jc w:val="both"/>
        <w:rPr>
          <w:bCs/>
          <w:iCs/>
          <w:color w:val="000000"/>
        </w:rPr>
      </w:pPr>
    </w:p>
    <w:p w:rsidR="00665186" w:rsidRPr="005D2703" w:rsidRDefault="00665186" w:rsidP="001A43AF">
      <w:pPr>
        <w:autoSpaceDE w:val="0"/>
        <w:autoSpaceDN w:val="0"/>
        <w:adjustRightInd w:val="0"/>
        <w:spacing w:line="480" w:lineRule="auto"/>
        <w:jc w:val="both"/>
        <w:rPr>
          <w:bCs/>
          <w:iCs/>
          <w:color w:val="000000"/>
        </w:rPr>
      </w:pPr>
      <w:proofErr w:type="gramStart"/>
      <w:r w:rsidRPr="005D2703">
        <w:rPr>
          <w:bCs/>
          <w:iCs/>
          <w:color w:val="000000"/>
        </w:rPr>
        <w:t>and</w:t>
      </w:r>
      <w:proofErr w:type="gramEnd"/>
      <w:r w:rsidRPr="005D2703">
        <w:rPr>
          <w:bCs/>
          <w:iCs/>
          <w:color w:val="000000"/>
        </w:rPr>
        <w:t xml:space="preserve"> by GL’s 2006 statement on ‘Enlargement’   – </w:t>
      </w:r>
    </w:p>
    <w:p w:rsidR="00665186" w:rsidRPr="005D2703" w:rsidRDefault="00665186" w:rsidP="001A43AF">
      <w:pPr>
        <w:autoSpaceDE w:val="0"/>
        <w:autoSpaceDN w:val="0"/>
        <w:adjustRightInd w:val="0"/>
        <w:spacing w:line="480" w:lineRule="auto"/>
        <w:jc w:val="both"/>
        <w:rPr>
          <w:bCs/>
          <w:iCs/>
          <w:color w:val="000000"/>
        </w:rPr>
      </w:pPr>
    </w:p>
    <w:p w:rsidR="00665186" w:rsidRPr="005D2703" w:rsidRDefault="00665186" w:rsidP="001A43AF">
      <w:pPr>
        <w:autoSpaceDE w:val="0"/>
        <w:autoSpaceDN w:val="0"/>
        <w:adjustRightInd w:val="0"/>
        <w:spacing w:line="480" w:lineRule="auto"/>
        <w:ind w:left="720"/>
        <w:jc w:val="both"/>
        <w:rPr>
          <w:bCs/>
          <w:iCs/>
          <w:color w:val="000000"/>
        </w:rPr>
      </w:pPr>
      <w:r w:rsidRPr="005D2703">
        <w:rPr>
          <w:bCs/>
          <w:iCs/>
          <w:color w:val="000000"/>
        </w:rPr>
        <w:t>‘The European Union took on the promise that Turkey and the countries of the Western Balkans could join if they meet the entry requirements.’</w:t>
      </w:r>
    </w:p>
    <w:p w:rsidR="00665186" w:rsidRPr="005D2703" w:rsidRDefault="00665186" w:rsidP="001A43AF">
      <w:pPr>
        <w:autoSpaceDE w:val="0"/>
        <w:autoSpaceDN w:val="0"/>
        <w:adjustRightInd w:val="0"/>
        <w:spacing w:line="480" w:lineRule="auto"/>
        <w:jc w:val="both"/>
        <w:rPr>
          <w:color w:val="000000"/>
        </w:rPr>
      </w:pPr>
    </w:p>
    <w:p w:rsidR="00665186" w:rsidRDefault="00665186" w:rsidP="001A43AF">
      <w:pPr>
        <w:spacing w:after="12" w:line="480" w:lineRule="auto"/>
        <w:jc w:val="both"/>
      </w:pPr>
      <w:r>
        <w:t xml:space="preserve">This measurement technique thus </w:t>
      </w:r>
      <w:r w:rsidRPr="007333A5">
        <w:t xml:space="preserve">differs from that of the CMP and </w:t>
      </w:r>
      <w:r>
        <w:t xml:space="preserve">CHES </w:t>
      </w:r>
      <w:r w:rsidRPr="007333A5">
        <w:t>(</w:t>
      </w:r>
      <w:r>
        <w:t xml:space="preserve">Bakker </w:t>
      </w:r>
      <w:r>
        <w:rPr>
          <w:i/>
        </w:rPr>
        <w:t>et al</w:t>
      </w:r>
      <w:r>
        <w:t xml:space="preserve">, 2012; </w:t>
      </w:r>
      <w:proofErr w:type="spellStart"/>
      <w:r>
        <w:t>Hooghe</w:t>
      </w:r>
      <w:proofErr w:type="spellEnd"/>
      <w:r>
        <w:t xml:space="preserve"> </w:t>
      </w:r>
      <w:r>
        <w:rPr>
          <w:i/>
        </w:rPr>
        <w:t>et al</w:t>
      </w:r>
      <w:r>
        <w:t xml:space="preserve">, 2010; </w:t>
      </w:r>
      <w:proofErr w:type="spellStart"/>
      <w:r>
        <w:t>Steenbergen</w:t>
      </w:r>
      <w:proofErr w:type="spellEnd"/>
      <w:r>
        <w:t xml:space="preserve"> and Marks, 2007; </w:t>
      </w:r>
      <w:r w:rsidRPr="00660145">
        <w:t>Budge</w:t>
      </w:r>
      <w:r>
        <w:t xml:space="preserve"> </w:t>
      </w:r>
      <w:r>
        <w:rPr>
          <w:i/>
        </w:rPr>
        <w:t>et al</w:t>
      </w:r>
      <w:r>
        <w:t xml:space="preserve">, 2001; </w:t>
      </w:r>
      <w:r w:rsidRPr="005D2703">
        <w:rPr>
          <w:color w:val="000000"/>
        </w:rPr>
        <w:t>Ray, 1999</w:t>
      </w:r>
      <w:r>
        <w:rPr>
          <w:color w:val="000000"/>
        </w:rPr>
        <w:t xml:space="preserve">; </w:t>
      </w:r>
      <w:r w:rsidRPr="007333A5">
        <w:t>Laver and Hunt, 1992). While the CMP data directly reflect the stated party position</w:t>
      </w:r>
      <w:r>
        <w:t>s</w:t>
      </w:r>
      <w:r w:rsidRPr="007333A5">
        <w:t xml:space="preserve"> and </w:t>
      </w:r>
      <w:r>
        <w:t xml:space="preserve">have </w:t>
      </w:r>
      <w:r w:rsidRPr="007333A5">
        <w:t>generate</w:t>
      </w:r>
      <w:r>
        <w:t>d</w:t>
      </w:r>
      <w:r w:rsidRPr="007333A5">
        <w:t xml:space="preserve"> a rich time-series set (Budge and </w:t>
      </w:r>
      <w:proofErr w:type="spellStart"/>
      <w:r w:rsidRPr="007333A5">
        <w:t>Pennings</w:t>
      </w:r>
      <w:proofErr w:type="spellEnd"/>
      <w:r w:rsidRPr="007333A5">
        <w:t xml:space="preserve">, 2007), </w:t>
      </w:r>
      <w:r>
        <w:t xml:space="preserve">they </w:t>
      </w:r>
      <w:r w:rsidRPr="007333A5">
        <w:t xml:space="preserve">also contain significant methodological ‘noise’ since </w:t>
      </w:r>
      <w:r>
        <w:t xml:space="preserve">the </w:t>
      </w:r>
      <w:r w:rsidRPr="007333A5">
        <w:t xml:space="preserve">economic and social policy positions </w:t>
      </w:r>
      <w:r>
        <w:t xml:space="preserve">are conflated </w:t>
      </w:r>
      <w:r w:rsidRPr="007333A5">
        <w:t>into one, unified left-right dimension</w:t>
      </w:r>
      <w:r>
        <w:t xml:space="preserve"> which may </w:t>
      </w:r>
      <w:r w:rsidRPr="007333A5">
        <w:t>exaggerat</w:t>
      </w:r>
      <w:r>
        <w:t xml:space="preserve">e positions as well as the </w:t>
      </w:r>
      <w:r w:rsidRPr="007333A5">
        <w:t>move</w:t>
      </w:r>
      <w:r>
        <w:t>s</w:t>
      </w:r>
      <w:r w:rsidRPr="007333A5">
        <w:t xml:space="preserve"> that parties make </w:t>
      </w:r>
      <w:r>
        <w:t xml:space="preserve">between elections </w:t>
      </w:r>
      <w:r w:rsidRPr="007333A5">
        <w:t xml:space="preserve">(Benoit and Laver, 2007). The </w:t>
      </w:r>
      <w:r>
        <w:t>CHES</w:t>
      </w:r>
      <w:r w:rsidRPr="007333A5">
        <w:t xml:space="preserve"> data </w:t>
      </w:r>
      <w:r>
        <w:t xml:space="preserve">has </w:t>
      </w:r>
      <w:r w:rsidRPr="007333A5">
        <w:t>tr</w:t>
      </w:r>
      <w:r>
        <w:t>ied</w:t>
      </w:r>
      <w:r w:rsidRPr="007333A5">
        <w:t xml:space="preserve"> to avoid the ‘mathematically constrained nature of the saliency-based CMP left-right measure’ (ibid</w:t>
      </w:r>
      <w:r>
        <w:t xml:space="preserve">: </w:t>
      </w:r>
      <w:r w:rsidRPr="007333A5">
        <w:t>103) by asking country experts to classify parties on four substantive dimensions – economic, social, loci of decision-making and environmental policy – plus a ‘direct measure of party positions on a general left-right scale’ (ibid</w:t>
      </w:r>
      <w:r>
        <w:t xml:space="preserve">: </w:t>
      </w:r>
      <w:r w:rsidRPr="007333A5">
        <w:t>91). Although th</w:t>
      </w:r>
      <w:r>
        <w:t>is</w:t>
      </w:r>
      <w:r w:rsidRPr="007333A5">
        <w:t xml:space="preserve"> </w:t>
      </w:r>
      <w:r>
        <w:t>method a</w:t>
      </w:r>
      <w:r w:rsidRPr="007333A5">
        <w:t xml:space="preserve">llows for more </w:t>
      </w:r>
      <w:r>
        <w:t xml:space="preserve">measurement </w:t>
      </w:r>
      <w:r w:rsidRPr="007333A5">
        <w:t xml:space="preserve">flexibility, the survey is </w:t>
      </w:r>
      <w:r>
        <w:t xml:space="preserve">also </w:t>
      </w:r>
      <w:r w:rsidRPr="007333A5">
        <w:t xml:space="preserve">limited by its current lack of comparative </w:t>
      </w:r>
      <w:r w:rsidRPr="009B221D">
        <w:rPr>
          <w:i/>
        </w:rPr>
        <w:t>time</w:t>
      </w:r>
      <w:r w:rsidRPr="007333A5">
        <w:t xml:space="preserve"> points. Furthermore, the key </w:t>
      </w:r>
      <w:r w:rsidRPr="007333A5">
        <w:lastRenderedPageBreak/>
        <w:t>finding suggests that ‘the substantive meaning of left-right is not constant’ (ibid</w:t>
      </w:r>
      <w:r>
        <w:t xml:space="preserve">: </w:t>
      </w:r>
      <w:r w:rsidRPr="007333A5">
        <w:t>103) and</w:t>
      </w:r>
      <w:r>
        <w:t>, as such,</w:t>
      </w:r>
      <w:r w:rsidRPr="007333A5">
        <w:t xml:space="preserve"> appears to be highly </w:t>
      </w:r>
      <w:r>
        <w:t xml:space="preserve">dependent on </w:t>
      </w:r>
      <w:r w:rsidRPr="007333A5">
        <w:t xml:space="preserve">context. This raises further questions as to what type of </w:t>
      </w:r>
      <w:r>
        <w:t>(</w:t>
      </w:r>
      <w:r w:rsidRPr="007333A5">
        <w:t>comparative</w:t>
      </w:r>
      <w:r>
        <w:t>)</w:t>
      </w:r>
      <w:r w:rsidRPr="007333A5">
        <w:t xml:space="preserve"> conclusions </w:t>
      </w:r>
      <w:r>
        <w:t xml:space="preserve">that </w:t>
      </w:r>
      <w:r w:rsidRPr="007333A5">
        <w:t xml:space="preserve">can actually be drawn if the </w:t>
      </w:r>
      <w:r>
        <w:t>tools</w:t>
      </w:r>
      <w:r w:rsidRPr="007333A5">
        <w:t xml:space="preserve"> </w:t>
      </w:r>
      <w:r>
        <w:t xml:space="preserve">are </w:t>
      </w:r>
      <w:r w:rsidRPr="007333A5">
        <w:t>not able to ‘travel’ between cases.</w:t>
      </w:r>
    </w:p>
    <w:p w:rsidR="00665186" w:rsidRDefault="00665186" w:rsidP="001A43AF">
      <w:pPr>
        <w:spacing w:after="12" w:line="480" w:lineRule="auto"/>
        <w:ind w:firstLine="720"/>
        <w:jc w:val="both"/>
        <w:rPr>
          <w:color w:val="000000"/>
        </w:rPr>
      </w:pPr>
      <w:r>
        <w:t>In contrast, t</w:t>
      </w:r>
      <w:r w:rsidRPr="007333A5">
        <w:rPr>
          <w:color w:val="000000"/>
        </w:rPr>
        <w:t>h</w:t>
      </w:r>
      <w:r>
        <w:rPr>
          <w:color w:val="000000"/>
        </w:rPr>
        <w:t>e</w:t>
      </w:r>
      <w:r w:rsidRPr="007333A5">
        <w:rPr>
          <w:color w:val="000000"/>
        </w:rPr>
        <w:t xml:space="preserve"> measurement technique </w:t>
      </w:r>
      <w:r>
        <w:rPr>
          <w:color w:val="000000"/>
        </w:rPr>
        <w:t xml:space="preserve">used within is less constrained by context and also </w:t>
      </w:r>
      <w:r w:rsidRPr="007333A5">
        <w:rPr>
          <w:color w:val="000000"/>
        </w:rPr>
        <w:t xml:space="preserve">offers a more nuanced view </w:t>
      </w:r>
      <w:r>
        <w:rPr>
          <w:color w:val="000000"/>
        </w:rPr>
        <w:t>on the key ‘issue’ variables.</w:t>
      </w:r>
      <w:r w:rsidRPr="005D2703">
        <w:rPr>
          <w:color w:val="000000"/>
        </w:rPr>
        <w:t xml:space="preserve"> </w:t>
      </w:r>
      <w:r>
        <w:rPr>
          <w:color w:val="000000"/>
        </w:rPr>
        <w:t>Although</w:t>
      </w:r>
      <w:r w:rsidRPr="005D2703">
        <w:rPr>
          <w:color w:val="000000"/>
        </w:rPr>
        <w:t xml:space="preserve"> the CMP covers e.g. ‘Membership’ and ‘Enlargement’, it does not include any specific indicators on the ‘Euro’, or a ‘Common Foreign Policy’. </w:t>
      </w:r>
      <w:r>
        <w:rPr>
          <w:color w:val="000000"/>
        </w:rPr>
        <w:t>And t</w:t>
      </w:r>
      <w:r w:rsidRPr="005D2703">
        <w:rPr>
          <w:color w:val="000000"/>
        </w:rPr>
        <w:t xml:space="preserve">he indicators used for immigration - ‘Underprivileged Minority Groups’ and ‘Multiculturalism: Positive/Negative’ - do again not capture such positions as much as they do integration. </w:t>
      </w:r>
      <w:r>
        <w:rPr>
          <w:color w:val="000000"/>
        </w:rPr>
        <w:t>T</w:t>
      </w:r>
      <w:r w:rsidRPr="005D2703">
        <w:rPr>
          <w:color w:val="000000"/>
        </w:rPr>
        <w:t>he CHES</w:t>
      </w:r>
      <w:r>
        <w:rPr>
          <w:color w:val="000000"/>
        </w:rPr>
        <w:t xml:space="preserve"> data, conversely,</w:t>
      </w:r>
      <w:r w:rsidRPr="005D2703">
        <w:rPr>
          <w:color w:val="000000"/>
        </w:rPr>
        <w:t xml:space="preserve"> provide more detail (especially on the EU) but </w:t>
      </w:r>
      <w:r>
        <w:rPr>
          <w:color w:val="000000"/>
        </w:rPr>
        <w:t>are</w:t>
      </w:r>
      <w:r w:rsidRPr="005D2703">
        <w:rPr>
          <w:color w:val="000000"/>
        </w:rPr>
        <w:t xml:space="preserve"> also mainly concerned with ‘leadership’</w:t>
      </w:r>
      <w:r>
        <w:rPr>
          <w:color w:val="000000"/>
        </w:rPr>
        <w:t xml:space="preserve"> rather than ‘party’</w:t>
      </w:r>
      <w:r w:rsidRPr="005D2703">
        <w:rPr>
          <w:color w:val="000000"/>
        </w:rPr>
        <w:t xml:space="preserve"> positions. And while the 2010 survey include</w:t>
      </w:r>
      <w:r>
        <w:rPr>
          <w:color w:val="000000"/>
        </w:rPr>
        <w:t>s</w:t>
      </w:r>
      <w:r w:rsidRPr="005D2703">
        <w:rPr>
          <w:color w:val="000000"/>
        </w:rPr>
        <w:t xml:space="preserve"> a general indicator on ‘Immigration’, it </w:t>
      </w:r>
      <w:r>
        <w:rPr>
          <w:color w:val="000000"/>
        </w:rPr>
        <w:t xml:space="preserve">has </w:t>
      </w:r>
      <w:r w:rsidRPr="005D2703">
        <w:rPr>
          <w:color w:val="000000"/>
        </w:rPr>
        <w:t xml:space="preserve">previously </w:t>
      </w:r>
      <w:r>
        <w:rPr>
          <w:color w:val="000000"/>
        </w:rPr>
        <w:t>been u</w:t>
      </w:r>
      <w:r w:rsidRPr="005D2703">
        <w:rPr>
          <w:color w:val="000000"/>
        </w:rPr>
        <w:t xml:space="preserve">nderstood as ‘Asylum’ </w:t>
      </w:r>
      <w:r w:rsidRPr="005D2703">
        <w:rPr>
          <w:i/>
          <w:color w:val="000000"/>
        </w:rPr>
        <w:t>only</w:t>
      </w:r>
      <w:r w:rsidRPr="005D2703">
        <w:rPr>
          <w:color w:val="000000"/>
        </w:rPr>
        <w:t xml:space="preserve"> </w:t>
      </w:r>
      <w:r>
        <w:rPr>
          <w:color w:val="000000"/>
        </w:rPr>
        <w:t>and will as such</w:t>
      </w:r>
      <w:r w:rsidRPr="005D2703">
        <w:rPr>
          <w:color w:val="000000"/>
        </w:rPr>
        <w:t xml:space="preserve"> miss to pick up any of the other categories of newcomers. </w:t>
      </w:r>
    </w:p>
    <w:p w:rsidR="00665186" w:rsidRPr="00C604B9" w:rsidRDefault="00665186" w:rsidP="001A43AF">
      <w:pPr>
        <w:spacing w:line="480" w:lineRule="auto"/>
        <w:ind w:firstLine="720"/>
        <w:jc w:val="both"/>
      </w:pPr>
      <w:r>
        <w:t>T</w:t>
      </w:r>
      <w:r w:rsidRPr="0029387D">
        <w:t xml:space="preserve">he calculations </w:t>
      </w:r>
      <w:r>
        <w:t xml:space="preserve">made for this book have however been compared </w:t>
      </w:r>
      <w:r w:rsidRPr="0029387D">
        <w:t xml:space="preserve">with the CMP and </w:t>
      </w:r>
      <w:r>
        <w:t xml:space="preserve">CHES results for </w:t>
      </w:r>
      <w:r w:rsidRPr="0029387D">
        <w:t>general directional fit</w:t>
      </w:r>
      <w:r>
        <w:t xml:space="preserve">, and the average party positions tend to fall in the same </w:t>
      </w:r>
      <w:r w:rsidRPr="0029387D">
        <w:t xml:space="preserve">ideological </w:t>
      </w:r>
      <w:r>
        <w:t>sphere</w:t>
      </w:r>
      <w:r w:rsidRPr="0029387D">
        <w:t xml:space="preserve"> as the two comparative benchmarks. </w:t>
      </w:r>
      <w:r w:rsidRPr="00663485">
        <w:t>And</w:t>
      </w:r>
      <w:r>
        <w:t xml:space="preserve"> </w:t>
      </w:r>
      <w:r w:rsidRPr="00663485">
        <w:t>none</w:t>
      </w:r>
      <w:r w:rsidRPr="0029387D">
        <w:t xml:space="preserve"> of the </w:t>
      </w:r>
      <w:r>
        <w:t xml:space="preserve">calculation </w:t>
      </w:r>
      <w:r w:rsidRPr="0029387D">
        <w:t xml:space="preserve">fall into the ‘CMP says </w:t>
      </w:r>
      <w:r>
        <w:t>‘r</w:t>
      </w:r>
      <w:r w:rsidRPr="0029387D">
        <w:t>ight</w:t>
      </w:r>
      <w:r>
        <w:t>’</w:t>
      </w:r>
      <w:r w:rsidRPr="0029387D">
        <w:t xml:space="preserve">, </w:t>
      </w:r>
      <w:r>
        <w:t>CHES</w:t>
      </w:r>
      <w:r w:rsidRPr="0029387D">
        <w:t xml:space="preserve"> says </w:t>
      </w:r>
      <w:r>
        <w:t>‘l</w:t>
      </w:r>
      <w:r w:rsidRPr="0029387D">
        <w:t>eft</w:t>
      </w:r>
      <w:r>
        <w:t>’</w:t>
      </w:r>
      <w:r w:rsidRPr="0029387D">
        <w:t xml:space="preserve">- category’. </w:t>
      </w:r>
      <w:r>
        <w:t>The estimations do</w:t>
      </w:r>
      <w:r w:rsidRPr="0029387D">
        <w:t xml:space="preserve">, </w:t>
      </w:r>
      <w:r>
        <w:t>however</w:t>
      </w:r>
      <w:r w:rsidRPr="0029387D">
        <w:t xml:space="preserve">, allocate </w:t>
      </w:r>
      <w:r>
        <w:t xml:space="preserve">some </w:t>
      </w:r>
      <w:r w:rsidRPr="0029387D">
        <w:t xml:space="preserve">parties </w:t>
      </w:r>
      <w:r>
        <w:t xml:space="preserve">with </w:t>
      </w:r>
      <w:r w:rsidRPr="0029387D">
        <w:t xml:space="preserve">a higher score. </w:t>
      </w:r>
      <w:r>
        <w:rPr>
          <w:bCs/>
        </w:rPr>
        <w:t xml:space="preserve">One reason for this discrepancy is because the SI – FM dimension (i.e. ‘old’ Left-Right) is defined in strictly economic terms whereas for the CMP, e.g., it is ‘a general scale dealing with social-economic policy positions’ </w:t>
      </w:r>
      <w:r w:rsidRPr="005D2077">
        <w:rPr>
          <w:bCs/>
        </w:rPr>
        <w:t>(Benoit and Laver, 2007: 100).</w:t>
      </w:r>
      <w:r>
        <w:rPr>
          <w:bCs/>
        </w:rPr>
        <w:t xml:space="preserve"> And since party positions are understood to be the sum of the proportion of right-wing categories minus the left-wing ones, they will naturally end up being closer to the mid-way point. </w:t>
      </w:r>
      <w:r w:rsidRPr="00C604B9">
        <w:rPr>
          <w:bCs/>
          <w:iCs/>
          <w:color w:val="000000"/>
        </w:rPr>
        <w:t xml:space="preserve">To </w:t>
      </w:r>
      <w:r>
        <w:rPr>
          <w:bCs/>
          <w:iCs/>
          <w:color w:val="000000"/>
        </w:rPr>
        <w:t xml:space="preserve">further </w:t>
      </w:r>
      <w:r w:rsidRPr="00C604B9">
        <w:rPr>
          <w:bCs/>
          <w:iCs/>
          <w:color w:val="000000"/>
        </w:rPr>
        <w:t>ensure coding consistency</w:t>
      </w:r>
      <w:r>
        <w:rPr>
          <w:bCs/>
          <w:iCs/>
          <w:color w:val="000000"/>
        </w:rPr>
        <w:t>, a series of</w:t>
      </w:r>
      <w:r w:rsidRPr="00C604B9">
        <w:rPr>
          <w:bCs/>
          <w:iCs/>
          <w:color w:val="000000"/>
        </w:rPr>
        <w:t xml:space="preserve"> inter-reliability checks </w:t>
      </w:r>
      <w:r>
        <w:rPr>
          <w:bCs/>
          <w:iCs/>
          <w:color w:val="000000"/>
        </w:rPr>
        <w:t>were</w:t>
      </w:r>
      <w:r w:rsidRPr="00C604B9">
        <w:rPr>
          <w:bCs/>
          <w:iCs/>
          <w:color w:val="000000"/>
        </w:rPr>
        <w:t xml:space="preserve"> carried out. </w:t>
      </w:r>
      <w:r>
        <w:rPr>
          <w:bCs/>
          <w:iCs/>
          <w:color w:val="000000"/>
        </w:rPr>
        <w:t>The relevant manifesto s</w:t>
      </w:r>
      <w:r w:rsidRPr="00C604B9">
        <w:rPr>
          <w:bCs/>
          <w:iCs/>
          <w:color w:val="000000"/>
        </w:rPr>
        <w:t xml:space="preserve">tatements were initially scored by </w:t>
      </w:r>
      <w:r>
        <w:rPr>
          <w:bCs/>
          <w:iCs/>
          <w:color w:val="000000"/>
        </w:rPr>
        <w:t>the</w:t>
      </w:r>
      <w:r w:rsidRPr="00C604B9">
        <w:rPr>
          <w:bCs/>
          <w:iCs/>
          <w:color w:val="000000"/>
        </w:rPr>
        <w:t xml:space="preserve"> author</w:t>
      </w:r>
      <w:r>
        <w:rPr>
          <w:bCs/>
          <w:iCs/>
          <w:color w:val="000000"/>
        </w:rPr>
        <w:t>,</w:t>
      </w:r>
      <w:r w:rsidRPr="00C604B9">
        <w:rPr>
          <w:bCs/>
          <w:iCs/>
          <w:color w:val="000000"/>
        </w:rPr>
        <w:t xml:space="preserve"> </w:t>
      </w:r>
      <w:r>
        <w:rPr>
          <w:bCs/>
          <w:iCs/>
          <w:color w:val="000000"/>
        </w:rPr>
        <w:t xml:space="preserve">or the research assistant, </w:t>
      </w:r>
      <w:r w:rsidRPr="00C604B9">
        <w:rPr>
          <w:bCs/>
          <w:iCs/>
          <w:color w:val="000000"/>
        </w:rPr>
        <w:lastRenderedPageBreak/>
        <w:t xml:space="preserve">and then passed on to </w:t>
      </w:r>
      <w:r>
        <w:rPr>
          <w:bCs/>
          <w:iCs/>
          <w:color w:val="000000"/>
        </w:rPr>
        <w:t>the other to</w:t>
      </w:r>
      <w:r w:rsidRPr="00C604B9">
        <w:rPr>
          <w:bCs/>
          <w:iCs/>
          <w:color w:val="000000"/>
        </w:rPr>
        <w:t xml:space="preserve"> score ‘blind’. Some </w:t>
      </w:r>
      <w:r>
        <w:rPr>
          <w:bCs/>
          <w:iCs/>
          <w:color w:val="000000"/>
        </w:rPr>
        <w:t xml:space="preserve">differences </w:t>
      </w:r>
      <w:r w:rsidRPr="00C604B9">
        <w:rPr>
          <w:bCs/>
          <w:iCs/>
          <w:color w:val="000000"/>
        </w:rPr>
        <w:t xml:space="preserve">were identified through this process, e.g. one </w:t>
      </w:r>
      <w:r>
        <w:rPr>
          <w:bCs/>
          <w:iCs/>
          <w:color w:val="000000"/>
        </w:rPr>
        <w:t>coder</w:t>
      </w:r>
      <w:r w:rsidRPr="00C604B9">
        <w:rPr>
          <w:bCs/>
          <w:iCs/>
          <w:color w:val="000000"/>
        </w:rPr>
        <w:t xml:space="preserve"> would allocate a score of (+1) whereas the other would give it a (0). These instances tended to arise when the concerned quasi-sentences were particularly lengthy, thus prompting a discussion, and occasional re-coding, of the score given.</w:t>
      </w:r>
    </w:p>
    <w:p w:rsidR="00665186" w:rsidRPr="005D2703" w:rsidRDefault="00665186" w:rsidP="001A43AF">
      <w:pPr>
        <w:autoSpaceDE w:val="0"/>
        <w:autoSpaceDN w:val="0"/>
        <w:adjustRightInd w:val="0"/>
        <w:spacing w:line="480" w:lineRule="auto"/>
        <w:jc w:val="both"/>
      </w:pPr>
      <w:r w:rsidRPr="005D2703">
        <w:t>Quantifying manifestos in this way provide</w:t>
      </w:r>
      <w:r>
        <w:t>s</w:t>
      </w:r>
      <w:r w:rsidRPr="005D2703">
        <w:t xml:space="preserve"> a positional range where the closer to (-7) the aggregate score is, the more SI/GAL/EU: Negative/Liberal the </w:t>
      </w:r>
      <w:r>
        <w:t xml:space="preserve">party’s </w:t>
      </w:r>
      <w:r w:rsidRPr="005D2703">
        <w:t xml:space="preserve">stance will be. </w:t>
      </w:r>
      <w:r>
        <w:t>In c</w:t>
      </w:r>
      <w:r w:rsidRPr="005D2703">
        <w:t xml:space="preserve">ontrast, the closer to (+7) the score is, the more FM/TAN/EU: Positive/Restrictive will the position be. To then establish which </w:t>
      </w:r>
      <w:r w:rsidRPr="005D2703">
        <w:rPr>
          <w:bCs/>
          <w:color w:val="000000"/>
        </w:rPr>
        <w:t xml:space="preserve">parties that </w:t>
      </w:r>
      <w:r>
        <w:rPr>
          <w:bCs/>
          <w:color w:val="000000"/>
        </w:rPr>
        <w:t>should be</w:t>
      </w:r>
      <w:r w:rsidRPr="005D2703">
        <w:rPr>
          <w:bCs/>
          <w:color w:val="000000"/>
        </w:rPr>
        <w:t xml:space="preserve"> more and less likely to experience any conflicting ideological ‘pull’, t</w:t>
      </w:r>
      <w:r w:rsidRPr="005D2703">
        <w:t>he average SI-FM and GAL-TAN position</w:t>
      </w:r>
      <w:r>
        <w:t xml:space="preserve"> has been </w:t>
      </w:r>
      <w:r w:rsidRPr="005D2703">
        <w:t xml:space="preserve">taken for the 22 elections that </w:t>
      </w:r>
      <w:r>
        <w:t>have been</w:t>
      </w:r>
      <w:r w:rsidRPr="005D2703">
        <w:t xml:space="preserve"> studied. The</w:t>
      </w:r>
      <w:r>
        <w:t xml:space="preserve"> </w:t>
      </w:r>
      <w:r w:rsidRPr="005D2703">
        <w:t xml:space="preserve">respective </w:t>
      </w:r>
      <w:r>
        <w:t xml:space="preserve">party </w:t>
      </w:r>
      <w:r w:rsidRPr="005D2703">
        <w:t xml:space="preserve">locations </w:t>
      </w:r>
      <w:r>
        <w:t>are</w:t>
      </w:r>
      <w:r w:rsidRPr="005D2703">
        <w:t xml:space="preserve"> plotted in a two-dimensional scatter diagram, and </w:t>
      </w:r>
      <w:r>
        <w:t>g</w:t>
      </w:r>
      <w:r w:rsidRPr="005D2703">
        <w:t>rouped together depending on pos</w:t>
      </w:r>
      <w:r w:rsidR="005B60D1">
        <w:t>itional configuration</w:t>
      </w:r>
      <w:r w:rsidRPr="005D2703">
        <w:t xml:space="preserve">. </w:t>
      </w:r>
    </w:p>
    <w:p w:rsidR="00F12BFF" w:rsidRDefault="001A43AF" w:rsidP="001A43AF">
      <w:pPr>
        <w:spacing w:line="480" w:lineRule="auto"/>
      </w:pPr>
    </w:p>
    <w:p w:rsidR="001A43AF" w:rsidRDefault="001A43AF" w:rsidP="001A43AF">
      <w:pPr>
        <w:spacing w:line="480" w:lineRule="auto"/>
      </w:pPr>
    </w:p>
    <w:p w:rsidR="001A43AF" w:rsidRDefault="001A43AF" w:rsidP="001A43AF">
      <w:pPr>
        <w:spacing w:line="480" w:lineRule="auto"/>
        <w:ind w:hanging="11"/>
        <w:jc w:val="both"/>
        <w:rPr>
          <w:rStyle w:val="bullet"/>
        </w:rPr>
      </w:pPr>
    </w:p>
    <w:p w:rsidR="001A43AF" w:rsidRDefault="001A43AF" w:rsidP="001A43AF">
      <w:pPr>
        <w:spacing w:line="480" w:lineRule="auto"/>
        <w:ind w:hanging="11"/>
        <w:jc w:val="both"/>
        <w:rPr>
          <w:rStyle w:val="bullet"/>
        </w:rPr>
      </w:pPr>
      <w:r w:rsidRPr="00DE0F9D">
        <w:rPr>
          <w:rStyle w:val="bullet"/>
        </w:rPr>
        <w:t xml:space="preserve">Bakker, R., de </w:t>
      </w:r>
      <w:proofErr w:type="spellStart"/>
      <w:r w:rsidRPr="00DE0F9D">
        <w:rPr>
          <w:rStyle w:val="bullet"/>
        </w:rPr>
        <w:t>Vries</w:t>
      </w:r>
      <w:proofErr w:type="spellEnd"/>
      <w:r w:rsidRPr="00DE0F9D">
        <w:rPr>
          <w:rStyle w:val="bullet"/>
        </w:rPr>
        <w:t xml:space="preserve">, C., Edwards, E., </w:t>
      </w:r>
      <w:proofErr w:type="spellStart"/>
      <w:r w:rsidRPr="00DE0F9D">
        <w:rPr>
          <w:rStyle w:val="bullet"/>
        </w:rPr>
        <w:t>Hooghe</w:t>
      </w:r>
      <w:proofErr w:type="spellEnd"/>
      <w:r w:rsidRPr="00DE0F9D">
        <w:rPr>
          <w:rStyle w:val="bullet"/>
        </w:rPr>
        <w:t xml:space="preserve">, L., Jolly, S., Marks, G., Polk, J., </w:t>
      </w:r>
      <w:proofErr w:type="spellStart"/>
      <w:r w:rsidRPr="00DE0F9D">
        <w:rPr>
          <w:rStyle w:val="bullet"/>
        </w:rPr>
        <w:t>Rovny</w:t>
      </w:r>
      <w:proofErr w:type="spellEnd"/>
      <w:r w:rsidRPr="00DE0F9D">
        <w:rPr>
          <w:rStyle w:val="bullet"/>
        </w:rPr>
        <w:t xml:space="preserve">, J., </w:t>
      </w:r>
      <w:proofErr w:type="spellStart"/>
      <w:r w:rsidRPr="00DE0F9D">
        <w:rPr>
          <w:rStyle w:val="bullet"/>
        </w:rPr>
        <w:t>Steenbergen</w:t>
      </w:r>
      <w:proofErr w:type="spellEnd"/>
      <w:r w:rsidRPr="00DE0F9D">
        <w:rPr>
          <w:rStyle w:val="bullet"/>
        </w:rPr>
        <w:t xml:space="preserve">, M. and </w:t>
      </w:r>
      <w:proofErr w:type="spellStart"/>
      <w:r w:rsidRPr="00DE0F9D">
        <w:rPr>
          <w:rStyle w:val="bullet"/>
        </w:rPr>
        <w:t>Vachudova</w:t>
      </w:r>
      <w:proofErr w:type="spellEnd"/>
      <w:r w:rsidRPr="00DE0F9D">
        <w:rPr>
          <w:rStyle w:val="bullet"/>
        </w:rPr>
        <w:t xml:space="preserve">, M (2012) ‘Measuring party positions in Europe: the Chapel Hill Expert Survey Trend File, 1999-2010’, unpublished </w:t>
      </w:r>
      <w:proofErr w:type="spellStart"/>
      <w:r w:rsidRPr="00DE0F9D">
        <w:rPr>
          <w:rStyle w:val="bullet"/>
        </w:rPr>
        <w:t>ms</w:t>
      </w:r>
      <w:proofErr w:type="spellEnd"/>
      <w:r w:rsidRPr="00DE0F9D">
        <w:rPr>
          <w:rStyle w:val="bullet"/>
        </w:rPr>
        <w:t>.</w:t>
      </w:r>
    </w:p>
    <w:p w:rsidR="001A43AF" w:rsidRDefault="001A43AF" w:rsidP="001A43AF">
      <w:pPr>
        <w:spacing w:line="480" w:lineRule="auto"/>
        <w:ind w:hanging="11"/>
        <w:jc w:val="both"/>
        <w:rPr>
          <w:rStyle w:val="bullet"/>
        </w:rPr>
      </w:pPr>
    </w:p>
    <w:p w:rsidR="001A43AF" w:rsidRPr="00DE0F9D" w:rsidRDefault="001A43AF" w:rsidP="001A43AF">
      <w:pPr>
        <w:autoSpaceDE w:val="0"/>
        <w:autoSpaceDN w:val="0"/>
        <w:adjustRightInd w:val="0"/>
        <w:spacing w:line="480" w:lineRule="auto"/>
        <w:jc w:val="both"/>
      </w:pPr>
      <w:r w:rsidRPr="00DE0F9D">
        <w:t>Benoit, K. and Laver, M (2007) ‘</w:t>
      </w:r>
      <w:proofErr w:type="gramStart"/>
      <w:r w:rsidRPr="00DE0F9D">
        <w:t>Estimating</w:t>
      </w:r>
      <w:proofErr w:type="gramEnd"/>
      <w:r w:rsidRPr="00DE0F9D">
        <w:t xml:space="preserve"> party policy positions: comparing expert surveys and hand-coded content analysis’, </w:t>
      </w:r>
      <w:r w:rsidRPr="00DE0F9D">
        <w:rPr>
          <w:i/>
        </w:rPr>
        <w:t>Electoral Studies</w:t>
      </w:r>
      <w:r w:rsidRPr="00DE0F9D">
        <w:t xml:space="preserve"> 26(1): 90–107.</w:t>
      </w:r>
    </w:p>
    <w:p w:rsidR="001A43AF" w:rsidRPr="00DE0F9D" w:rsidRDefault="001A43AF" w:rsidP="001A43AF">
      <w:pPr>
        <w:spacing w:line="480" w:lineRule="auto"/>
        <w:ind w:hanging="11"/>
        <w:jc w:val="both"/>
        <w:rPr>
          <w:rStyle w:val="bullet"/>
        </w:rPr>
      </w:pPr>
    </w:p>
    <w:p w:rsidR="001A43AF" w:rsidRDefault="001A43AF" w:rsidP="001A43AF">
      <w:pPr>
        <w:autoSpaceDE w:val="0"/>
        <w:autoSpaceDN w:val="0"/>
        <w:adjustRightInd w:val="0"/>
        <w:spacing w:line="480" w:lineRule="auto"/>
        <w:jc w:val="both"/>
      </w:pPr>
      <w:r w:rsidRPr="00DE0F9D">
        <w:t xml:space="preserve">Budge, I., Klingemann, H-D., </w:t>
      </w:r>
      <w:proofErr w:type="spellStart"/>
      <w:r w:rsidRPr="00DE0F9D">
        <w:t>Volkens</w:t>
      </w:r>
      <w:proofErr w:type="spellEnd"/>
      <w:r w:rsidRPr="00DE0F9D">
        <w:t xml:space="preserve">, A., Bara, J. and Tanenbaum, E (2001) </w:t>
      </w:r>
      <w:r w:rsidRPr="00DE0F9D">
        <w:rPr>
          <w:i/>
        </w:rPr>
        <w:t>Mapping policy preferences. Estimates for parties, governments and electors 1945– 1998</w:t>
      </w:r>
      <w:r w:rsidRPr="00DE0F9D">
        <w:t xml:space="preserve"> (Oxford: Oxford University Press).</w:t>
      </w:r>
    </w:p>
    <w:p w:rsidR="001A43AF" w:rsidRDefault="001A43AF" w:rsidP="001A43AF">
      <w:pPr>
        <w:autoSpaceDE w:val="0"/>
        <w:autoSpaceDN w:val="0"/>
        <w:adjustRightInd w:val="0"/>
        <w:spacing w:line="480" w:lineRule="auto"/>
        <w:jc w:val="both"/>
      </w:pPr>
    </w:p>
    <w:p w:rsidR="001A43AF" w:rsidRPr="00DE0F9D" w:rsidRDefault="001A43AF" w:rsidP="001A43AF">
      <w:pPr>
        <w:autoSpaceDE w:val="0"/>
        <w:autoSpaceDN w:val="0"/>
        <w:adjustRightInd w:val="0"/>
        <w:spacing w:line="480" w:lineRule="auto"/>
        <w:jc w:val="both"/>
      </w:pPr>
      <w:r w:rsidRPr="00DE0F9D">
        <w:lastRenderedPageBreak/>
        <w:t xml:space="preserve">Budge, I and </w:t>
      </w:r>
      <w:proofErr w:type="spellStart"/>
      <w:r w:rsidRPr="00DE0F9D">
        <w:t>Pennings</w:t>
      </w:r>
      <w:proofErr w:type="spellEnd"/>
      <w:r w:rsidRPr="00DE0F9D">
        <w:t xml:space="preserve">, P (2007) ‘Do they work? Validating computerised word frequency estimates against policy series’, </w:t>
      </w:r>
      <w:r w:rsidRPr="00DE0F9D">
        <w:rPr>
          <w:i/>
        </w:rPr>
        <w:t>Electoral Studies</w:t>
      </w:r>
      <w:r w:rsidRPr="00DE0F9D">
        <w:t xml:space="preserve"> 26(1): 121–129.</w:t>
      </w:r>
    </w:p>
    <w:p w:rsidR="001A43AF" w:rsidRDefault="001A43AF" w:rsidP="001A43AF">
      <w:pPr>
        <w:spacing w:line="480" w:lineRule="auto"/>
        <w:jc w:val="both"/>
      </w:pPr>
    </w:p>
    <w:p w:rsidR="001A43AF" w:rsidRPr="00DE0F9D" w:rsidRDefault="001A43AF" w:rsidP="001A43AF">
      <w:pPr>
        <w:spacing w:line="480" w:lineRule="auto"/>
        <w:jc w:val="both"/>
      </w:pPr>
      <w:r w:rsidRPr="00DE0F9D">
        <w:t xml:space="preserve">De Lange, S (2007) ‘A new winning formula? The programmatic appeal of the radical right’, </w:t>
      </w:r>
      <w:r w:rsidRPr="00DE0F9D">
        <w:rPr>
          <w:i/>
        </w:rPr>
        <w:t>Party Politics</w:t>
      </w:r>
      <w:r w:rsidRPr="00DE0F9D">
        <w:t xml:space="preserve"> 13(4): 411-435. </w:t>
      </w:r>
    </w:p>
    <w:p w:rsidR="001A43AF" w:rsidRDefault="001A43AF" w:rsidP="001A43AF">
      <w:pPr>
        <w:tabs>
          <w:tab w:val="left" w:pos="7380"/>
        </w:tabs>
        <w:autoSpaceDE w:val="0"/>
        <w:autoSpaceDN w:val="0"/>
        <w:adjustRightInd w:val="0"/>
        <w:spacing w:line="480" w:lineRule="auto"/>
        <w:jc w:val="both"/>
      </w:pPr>
    </w:p>
    <w:p w:rsidR="001A43AF" w:rsidRPr="00DE0F9D" w:rsidRDefault="001A43AF" w:rsidP="001A43AF">
      <w:pPr>
        <w:tabs>
          <w:tab w:val="left" w:pos="7380"/>
        </w:tabs>
        <w:autoSpaceDE w:val="0"/>
        <w:autoSpaceDN w:val="0"/>
        <w:adjustRightInd w:val="0"/>
        <w:spacing w:line="480" w:lineRule="auto"/>
        <w:jc w:val="both"/>
      </w:pPr>
      <w:r w:rsidRPr="00DE0F9D">
        <w:t xml:space="preserve">Franklin, M (1992) 'The decline of cleavage politics' in Franklin, M., Mackie, T and </w:t>
      </w:r>
      <w:proofErr w:type="spellStart"/>
      <w:r w:rsidRPr="00DE0F9D">
        <w:t>Valen</w:t>
      </w:r>
      <w:proofErr w:type="spellEnd"/>
      <w:r w:rsidRPr="00DE0F9D">
        <w:t>, H (</w:t>
      </w:r>
      <w:proofErr w:type="spellStart"/>
      <w:proofErr w:type="gramStart"/>
      <w:r w:rsidRPr="00DE0F9D">
        <w:t>eds</w:t>
      </w:r>
      <w:proofErr w:type="spellEnd"/>
      <w:proofErr w:type="gramEnd"/>
      <w:r w:rsidRPr="00DE0F9D">
        <w:t xml:space="preserve">) </w:t>
      </w:r>
      <w:r w:rsidRPr="00DE0F9D">
        <w:rPr>
          <w:i/>
          <w:iCs/>
        </w:rPr>
        <w:t xml:space="preserve">Electoral change. Responses to evolving social and attitudinal structures in Western countries </w:t>
      </w:r>
      <w:r w:rsidRPr="00DE0F9D">
        <w:rPr>
          <w:iCs/>
        </w:rPr>
        <w:t>(</w:t>
      </w:r>
      <w:r w:rsidRPr="00DE0F9D">
        <w:t xml:space="preserve">Cambridge: Cambridge University Press): 383-405. </w:t>
      </w:r>
    </w:p>
    <w:p w:rsidR="001A43AF" w:rsidRDefault="001A43AF" w:rsidP="001A43AF">
      <w:pPr>
        <w:spacing w:line="480" w:lineRule="auto"/>
        <w:ind w:hanging="11"/>
        <w:jc w:val="both"/>
      </w:pPr>
    </w:p>
    <w:p w:rsidR="001A43AF" w:rsidRPr="00DE0F9D" w:rsidRDefault="001A43AF" w:rsidP="001A43AF">
      <w:pPr>
        <w:spacing w:line="480" w:lineRule="auto"/>
        <w:ind w:hanging="11"/>
        <w:jc w:val="both"/>
        <w:rPr>
          <w:lang w:val="sv-SE"/>
        </w:rPr>
      </w:pPr>
      <w:proofErr w:type="spellStart"/>
      <w:r w:rsidRPr="00DE0F9D">
        <w:t>Hooghe</w:t>
      </w:r>
      <w:proofErr w:type="spellEnd"/>
      <w:r w:rsidRPr="00DE0F9D">
        <w:t>, L., Marks, G and Wilson, C (2002) ’Does left/right structure party positions on European integration?</w:t>
      </w:r>
      <w:proofErr w:type="gramStart"/>
      <w:r w:rsidRPr="00DE0F9D">
        <w:t>’,</w:t>
      </w:r>
      <w:proofErr w:type="gramEnd"/>
      <w:r w:rsidRPr="00DE0F9D">
        <w:t xml:space="preserve"> </w:t>
      </w:r>
      <w:r w:rsidRPr="00DE0F9D">
        <w:rPr>
          <w:i/>
        </w:rPr>
        <w:t>Comparative Political Studies</w:t>
      </w:r>
      <w:r w:rsidRPr="00DE0F9D">
        <w:t xml:space="preserve"> 35(8): 962-</w:t>
      </w:r>
      <w:r w:rsidRPr="00DE0F9D">
        <w:rPr>
          <w:lang w:val="sv-SE"/>
        </w:rPr>
        <w:t>989.</w:t>
      </w:r>
    </w:p>
    <w:p w:rsidR="001A43AF" w:rsidRDefault="001A43AF" w:rsidP="001A43AF">
      <w:pPr>
        <w:autoSpaceDE w:val="0"/>
        <w:autoSpaceDN w:val="0"/>
        <w:adjustRightInd w:val="0"/>
        <w:spacing w:line="480" w:lineRule="auto"/>
        <w:jc w:val="both"/>
        <w:rPr>
          <w:lang w:val="sv-SE"/>
        </w:rPr>
      </w:pPr>
    </w:p>
    <w:p w:rsidR="001A43AF" w:rsidRPr="00DE0F9D" w:rsidRDefault="001A43AF" w:rsidP="001A43AF">
      <w:pPr>
        <w:spacing w:line="480" w:lineRule="auto"/>
        <w:ind w:hanging="11"/>
        <w:jc w:val="both"/>
      </w:pPr>
      <w:proofErr w:type="spellStart"/>
      <w:r w:rsidRPr="00DE0F9D">
        <w:t>Hooghe</w:t>
      </w:r>
      <w:proofErr w:type="spellEnd"/>
      <w:r w:rsidRPr="00DE0F9D">
        <w:t xml:space="preserve">, L., Bakker, R., </w:t>
      </w:r>
      <w:proofErr w:type="spellStart"/>
      <w:r w:rsidRPr="00DE0F9D">
        <w:t>Brigevich</w:t>
      </w:r>
      <w:proofErr w:type="spellEnd"/>
      <w:r w:rsidRPr="00DE0F9D">
        <w:t xml:space="preserve">, A., de </w:t>
      </w:r>
      <w:proofErr w:type="spellStart"/>
      <w:r w:rsidRPr="00DE0F9D">
        <w:t>Vries</w:t>
      </w:r>
      <w:proofErr w:type="spellEnd"/>
      <w:r w:rsidRPr="00DE0F9D">
        <w:t xml:space="preserve">, C, Edwards, E., Marks, G., </w:t>
      </w:r>
      <w:proofErr w:type="spellStart"/>
      <w:r w:rsidRPr="00DE0F9D">
        <w:t>Rovny</w:t>
      </w:r>
      <w:proofErr w:type="spellEnd"/>
      <w:r w:rsidRPr="00DE0F9D">
        <w:t xml:space="preserve">, J., </w:t>
      </w:r>
      <w:proofErr w:type="spellStart"/>
      <w:r w:rsidRPr="00DE0F9D">
        <w:t>Steenbergen</w:t>
      </w:r>
      <w:proofErr w:type="spellEnd"/>
      <w:r w:rsidRPr="00DE0F9D">
        <w:t xml:space="preserve">, </w:t>
      </w:r>
      <w:proofErr w:type="gramStart"/>
      <w:r w:rsidRPr="00DE0F9D">
        <w:t>M</w:t>
      </w:r>
      <w:proofErr w:type="gramEnd"/>
      <w:r w:rsidRPr="00DE0F9D">
        <w:t xml:space="preserve">. (2010) ‘Reliability and validity if measuring party positions: the Chapel Hill Expert Surveys of 2002 and 2006’, </w:t>
      </w:r>
      <w:r w:rsidRPr="00DE0F9D">
        <w:rPr>
          <w:i/>
        </w:rPr>
        <w:t xml:space="preserve">European Journal of Political Research </w:t>
      </w:r>
      <w:r w:rsidRPr="00DE0F9D">
        <w:t>49(5): 687-703.</w:t>
      </w:r>
    </w:p>
    <w:p w:rsidR="001A43AF" w:rsidRPr="00A74880" w:rsidRDefault="001A43AF" w:rsidP="001A43AF">
      <w:pPr>
        <w:autoSpaceDE w:val="0"/>
        <w:autoSpaceDN w:val="0"/>
        <w:adjustRightInd w:val="0"/>
        <w:spacing w:line="480" w:lineRule="auto"/>
        <w:jc w:val="both"/>
      </w:pPr>
    </w:p>
    <w:p w:rsidR="001A43AF" w:rsidRPr="00DE0F9D" w:rsidRDefault="001A43AF" w:rsidP="001A43AF">
      <w:pPr>
        <w:autoSpaceDE w:val="0"/>
        <w:autoSpaceDN w:val="0"/>
        <w:adjustRightInd w:val="0"/>
        <w:spacing w:line="480" w:lineRule="auto"/>
        <w:jc w:val="both"/>
      </w:pPr>
      <w:proofErr w:type="spellStart"/>
      <w:r w:rsidRPr="00DE0F9D">
        <w:t>Inglehart</w:t>
      </w:r>
      <w:proofErr w:type="spellEnd"/>
      <w:r w:rsidRPr="00DE0F9D">
        <w:t xml:space="preserve">, R (1990) </w:t>
      </w:r>
      <w:r w:rsidRPr="00DE0F9D">
        <w:rPr>
          <w:i/>
        </w:rPr>
        <w:t xml:space="preserve">Culture shift in advanced industrial society </w:t>
      </w:r>
      <w:r w:rsidRPr="00DE0F9D">
        <w:t xml:space="preserve">(Princeton, NJ: Princeton University Press). </w:t>
      </w:r>
    </w:p>
    <w:p w:rsidR="001A43AF" w:rsidRDefault="001A43AF" w:rsidP="001A43AF">
      <w:pPr>
        <w:spacing w:line="480" w:lineRule="auto"/>
        <w:jc w:val="both"/>
      </w:pPr>
    </w:p>
    <w:p w:rsidR="001A43AF" w:rsidRDefault="001A43AF" w:rsidP="001A43AF">
      <w:pPr>
        <w:spacing w:line="480" w:lineRule="auto"/>
        <w:jc w:val="both"/>
      </w:pPr>
      <w:proofErr w:type="spellStart"/>
      <w:r w:rsidRPr="00DE0F9D">
        <w:t>Kitschelt</w:t>
      </w:r>
      <w:proofErr w:type="spellEnd"/>
      <w:r w:rsidRPr="00DE0F9D">
        <w:t xml:space="preserve">, H and </w:t>
      </w:r>
      <w:proofErr w:type="spellStart"/>
      <w:r w:rsidRPr="00DE0F9D">
        <w:t>McGann</w:t>
      </w:r>
      <w:proofErr w:type="spellEnd"/>
      <w:r w:rsidRPr="00DE0F9D">
        <w:t xml:space="preserve">, A (1995) </w:t>
      </w:r>
      <w:proofErr w:type="gramStart"/>
      <w:r w:rsidRPr="00DE0F9D">
        <w:rPr>
          <w:i/>
          <w:iCs/>
        </w:rPr>
        <w:t>The</w:t>
      </w:r>
      <w:proofErr w:type="gramEnd"/>
      <w:r w:rsidRPr="00DE0F9D">
        <w:rPr>
          <w:i/>
          <w:iCs/>
        </w:rPr>
        <w:t xml:space="preserve"> radical right in Western Europe. A comparative analysis</w:t>
      </w:r>
      <w:r w:rsidRPr="00DE0F9D">
        <w:t xml:space="preserve">. (Ann </w:t>
      </w:r>
      <w:proofErr w:type="spellStart"/>
      <w:r w:rsidRPr="00DE0F9D">
        <w:t>Arbor</w:t>
      </w:r>
      <w:proofErr w:type="spellEnd"/>
      <w:r w:rsidRPr="00DE0F9D">
        <w:t>, MI: University of Michigan Press).</w:t>
      </w:r>
    </w:p>
    <w:p w:rsidR="001A43AF" w:rsidRDefault="001A43AF" w:rsidP="001A43AF">
      <w:pPr>
        <w:spacing w:line="480" w:lineRule="auto"/>
        <w:jc w:val="both"/>
      </w:pPr>
    </w:p>
    <w:p w:rsidR="001A43AF" w:rsidRPr="00DE0F9D" w:rsidRDefault="001A43AF" w:rsidP="001A43AF">
      <w:pPr>
        <w:spacing w:line="480" w:lineRule="auto"/>
        <w:jc w:val="both"/>
      </w:pPr>
      <w:proofErr w:type="spellStart"/>
      <w:r w:rsidRPr="00DE0F9D">
        <w:t>Kopecky</w:t>
      </w:r>
      <w:proofErr w:type="spellEnd"/>
      <w:r w:rsidRPr="00DE0F9D">
        <w:t xml:space="preserve">, P and </w:t>
      </w:r>
      <w:proofErr w:type="spellStart"/>
      <w:r w:rsidRPr="00DE0F9D">
        <w:t>Mudde</w:t>
      </w:r>
      <w:proofErr w:type="spellEnd"/>
      <w:r w:rsidRPr="00DE0F9D">
        <w:t>, C (2002) ‘</w:t>
      </w:r>
      <w:proofErr w:type="gramStart"/>
      <w:r w:rsidRPr="00DE0F9D">
        <w:t>The</w:t>
      </w:r>
      <w:proofErr w:type="gramEnd"/>
      <w:r w:rsidRPr="00DE0F9D">
        <w:t xml:space="preserve"> two sides of Euroscepticism: party positions on European integration in East Central Europe’, </w:t>
      </w:r>
      <w:r w:rsidRPr="00DE0F9D">
        <w:rPr>
          <w:i/>
        </w:rPr>
        <w:t xml:space="preserve">European Union Politics </w:t>
      </w:r>
      <w:r w:rsidRPr="00DE0F9D">
        <w:t xml:space="preserve">3(3): 297-326. </w:t>
      </w:r>
    </w:p>
    <w:p w:rsidR="001A43AF" w:rsidRDefault="001A43AF" w:rsidP="001A43AF">
      <w:pPr>
        <w:spacing w:line="480" w:lineRule="auto"/>
        <w:jc w:val="both"/>
      </w:pPr>
    </w:p>
    <w:p w:rsidR="001A43AF" w:rsidRDefault="001A43AF" w:rsidP="001A43AF">
      <w:pPr>
        <w:spacing w:line="480" w:lineRule="auto"/>
        <w:jc w:val="both"/>
      </w:pPr>
      <w:r w:rsidRPr="00DE0F9D">
        <w:t xml:space="preserve">Laver, M and Hunt, B (1992) </w:t>
      </w:r>
      <w:r w:rsidRPr="00DE0F9D">
        <w:rPr>
          <w:i/>
        </w:rPr>
        <w:t>Party and policy</w:t>
      </w:r>
      <w:r w:rsidRPr="00DE0F9D">
        <w:t xml:space="preserve"> competition (London: Routledge).</w:t>
      </w:r>
    </w:p>
    <w:p w:rsidR="001A43AF" w:rsidRDefault="001A43AF" w:rsidP="001A43AF">
      <w:pPr>
        <w:spacing w:line="480" w:lineRule="auto"/>
        <w:jc w:val="both"/>
      </w:pPr>
    </w:p>
    <w:p w:rsidR="001A43AF" w:rsidRPr="00DE0F9D" w:rsidRDefault="001A43AF" w:rsidP="001A43AF">
      <w:pPr>
        <w:spacing w:line="480" w:lineRule="auto"/>
        <w:ind w:hanging="11"/>
        <w:jc w:val="both"/>
        <w:rPr>
          <w:lang w:val="en-US"/>
        </w:rPr>
      </w:pPr>
      <w:proofErr w:type="spellStart"/>
      <w:r w:rsidRPr="00DE0F9D">
        <w:rPr>
          <w:lang w:val="en-US"/>
        </w:rPr>
        <w:t>Mayring</w:t>
      </w:r>
      <w:proofErr w:type="spellEnd"/>
      <w:r w:rsidRPr="00DE0F9D">
        <w:rPr>
          <w:lang w:val="en-US"/>
        </w:rPr>
        <w:t>, P (2000) ‘Qualitative content analysis’ in (</w:t>
      </w:r>
      <w:proofErr w:type="spellStart"/>
      <w:proofErr w:type="gramStart"/>
      <w:r w:rsidRPr="00DE0F9D">
        <w:rPr>
          <w:lang w:val="en-US"/>
        </w:rPr>
        <w:t>eds</w:t>
      </w:r>
      <w:proofErr w:type="spellEnd"/>
      <w:proofErr w:type="gramEnd"/>
      <w:r w:rsidRPr="00DE0F9D">
        <w:rPr>
          <w:lang w:val="en-US"/>
        </w:rPr>
        <w:t>)</w:t>
      </w:r>
      <w:r w:rsidRPr="00DE0F9D">
        <w:rPr>
          <w:i/>
          <w:lang w:val="en-US"/>
        </w:rPr>
        <w:t xml:space="preserve"> </w:t>
      </w:r>
      <w:r w:rsidRPr="00DE0F9D">
        <w:rPr>
          <w:lang w:val="en-US"/>
        </w:rPr>
        <w:t xml:space="preserve">Flick, U., von </w:t>
      </w:r>
      <w:proofErr w:type="spellStart"/>
      <w:r w:rsidRPr="00DE0F9D">
        <w:rPr>
          <w:lang w:val="en-US"/>
        </w:rPr>
        <w:t>Kardoff</w:t>
      </w:r>
      <w:proofErr w:type="spellEnd"/>
      <w:r w:rsidRPr="00DE0F9D">
        <w:rPr>
          <w:lang w:val="en-US"/>
        </w:rPr>
        <w:t xml:space="preserve">, E and Steinke, </w:t>
      </w:r>
      <w:r w:rsidRPr="00DE0F9D">
        <w:rPr>
          <w:i/>
          <w:lang w:val="en-US"/>
        </w:rPr>
        <w:t xml:space="preserve">A companion to qualitative research </w:t>
      </w:r>
      <w:r w:rsidRPr="00DE0F9D">
        <w:rPr>
          <w:lang w:val="en-US"/>
        </w:rPr>
        <w:t xml:space="preserve">(London: Sage): 266 – 270.   </w:t>
      </w:r>
    </w:p>
    <w:p w:rsidR="001A43AF" w:rsidRPr="00A74880" w:rsidRDefault="001A43AF" w:rsidP="001A43AF">
      <w:pPr>
        <w:spacing w:line="480" w:lineRule="auto"/>
        <w:jc w:val="both"/>
        <w:rPr>
          <w:lang w:val="en-US"/>
        </w:rPr>
      </w:pPr>
    </w:p>
    <w:p w:rsidR="001A43AF" w:rsidRPr="001A43AF" w:rsidRDefault="001A43AF" w:rsidP="001A43AF">
      <w:pPr>
        <w:pStyle w:val="Heading2"/>
        <w:spacing w:line="480" w:lineRule="auto"/>
        <w:rPr>
          <w:rFonts w:ascii="Times New Roman" w:hAnsi="Times New Roman" w:cs="Times New Roman"/>
          <w:color w:val="auto"/>
          <w:sz w:val="24"/>
          <w:szCs w:val="24"/>
        </w:rPr>
      </w:pPr>
      <w:r w:rsidRPr="001A43AF">
        <w:rPr>
          <w:rFonts w:ascii="Times New Roman" w:hAnsi="Times New Roman" w:cs="Times New Roman"/>
          <w:color w:val="auto"/>
          <w:sz w:val="24"/>
          <w:szCs w:val="24"/>
        </w:rPr>
        <w:t xml:space="preserve">Odmalm, P (2012) ‘Party competition and positions on immigration: Strategic advantages and spatial locations’, </w:t>
      </w:r>
      <w:r w:rsidRPr="001A43AF">
        <w:rPr>
          <w:rFonts w:ascii="Times New Roman" w:hAnsi="Times New Roman" w:cs="Times New Roman"/>
          <w:i/>
          <w:color w:val="auto"/>
          <w:sz w:val="24"/>
          <w:szCs w:val="24"/>
        </w:rPr>
        <w:t>Comparative European Politics</w:t>
      </w:r>
      <w:r w:rsidRPr="001A43AF">
        <w:rPr>
          <w:rFonts w:ascii="Times New Roman" w:hAnsi="Times New Roman" w:cs="Times New Roman"/>
          <w:color w:val="auto"/>
          <w:sz w:val="24"/>
          <w:szCs w:val="24"/>
        </w:rPr>
        <w:t xml:space="preserve"> 10 (1): 1-22.</w:t>
      </w:r>
    </w:p>
    <w:p w:rsidR="001A43AF" w:rsidRPr="00DE0F9D" w:rsidRDefault="001A43AF" w:rsidP="001A43AF">
      <w:pPr>
        <w:pStyle w:val="Heading1"/>
        <w:spacing w:line="480" w:lineRule="auto"/>
        <w:jc w:val="both"/>
        <w:rPr>
          <w:b w:val="0"/>
          <w:sz w:val="24"/>
          <w:szCs w:val="24"/>
        </w:rPr>
      </w:pPr>
      <w:r w:rsidRPr="00DE0F9D">
        <w:rPr>
          <w:b w:val="0"/>
          <w:sz w:val="24"/>
          <w:szCs w:val="24"/>
        </w:rPr>
        <w:t xml:space="preserve">Patton, M. Q (2002) </w:t>
      </w:r>
      <w:r w:rsidRPr="00DE0F9D">
        <w:rPr>
          <w:b w:val="0"/>
          <w:i/>
          <w:sz w:val="24"/>
          <w:szCs w:val="24"/>
        </w:rPr>
        <w:t>Qualitative research and evaluation methods</w:t>
      </w:r>
      <w:r w:rsidRPr="00DE0F9D">
        <w:rPr>
          <w:b w:val="0"/>
          <w:sz w:val="24"/>
          <w:szCs w:val="24"/>
        </w:rPr>
        <w:t xml:space="preserve"> (London: Sage).</w:t>
      </w:r>
    </w:p>
    <w:p w:rsidR="001A43AF" w:rsidRDefault="001A43AF" w:rsidP="001A43AF">
      <w:pPr>
        <w:tabs>
          <w:tab w:val="left" w:pos="1080"/>
        </w:tabs>
        <w:spacing w:line="480" w:lineRule="auto"/>
        <w:jc w:val="both"/>
      </w:pPr>
      <w:proofErr w:type="spellStart"/>
      <w:r w:rsidRPr="00DE0F9D">
        <w:t>Pellikaan</w:t>
      </w:r>
      <w:proofErr w:type="spellEnd"/>
      <w:r w:rsidRPr="00DE0F9D">
        <w:t xml:space="preserve">, H., van der Meer, T and de Lange, S (2003) ‘The road from a depoliticized to a centrifugal democracy’, </w:t>
      </w:r>
      <w:proofErr w:type="spellStart"/>
      <w:r w:rsidRPr="00DE0F9D">
        <w:rPr>
          <w:i/>
        </w:rPr>
        <w:t>Acta</w:t>
      </w:r>
      <w:proofErr w:type="spellEnd"/>
      <w:r w:rsidRPr="00DE0F9D">
        <w:rPr>
          <w:i/>
        </w:rPr>
        <w:t xml:space="preserve"> </w:t>
      </w:r>
      <w:proofErr w:type="spellStart"/>
      <w:r w:rsidRPr="00DE0F9D">
        <w:rPr>
          <w:i/>
        </w:rPr>
        <w:t>Politica</w:t>
      </w:r>
      <w:proofErr w:type="spellEnd"/>
      <w:r w:rsidRPr="00DE0F9D">
        <w:rPr>
          <w:i/>
        </w:rPr>
        <w:t xml:space="preserve"> </w:t>
      </w:r>
      <w:r w:rsidRPr="00DE0F9D">
        <w:t>38(1): 1-27.</w:t>
      </w:r>
    </w:p>
    <w:p w:rsidR="001A43AF" w:rsidRDefault="001A43AF" w:rsidP="001A43AF">
      <w:pPr>
        <w:tabs>
          <w:tab w:val="left" w:pos="1080"/>
        </w:tabs>
        <w:spacing w:line="480" w:lineRule="auto"/>
        <w:jc w:val="both"/>
      </w:pPr>
    </w:p>
    <w:p w:rsidR="001A43AF" w:rsidRPr="00DE0F9D" w:rsidRDefault="001A43AF" w:rsidP="001A43AF">
      <w:pPr>
        <w:spacing w:line="480" w:lineRule="auto"/>
        <w:jc w:val="both"/>
      </w:pPr>
      <w:r w:rsidRPr="00DE0F9D">
        <w:t xml:space="preserve">Ray, L (1999) ‘Measuring party orientations towards European integration: results from an expert survey’, </w:t>
      </w:r>
      <w:r w:rsidRPr="00DE0F9D">
        <w:rPr>
          <w:i/>
        </w:rPr>
        <w:t xml:space="preserve">European Journal of Political Research </w:t>
      </w:r>
      <w:r w:rsidRPr="00DE0F9D">
        <w:t>36(2): 283-306.</w:t>
      </w:r>
    </w:p>
    <w:p w:rsidR="001A43AF" w:rsidRDefault="001A43AF" w:rsidP="001A43AF">
      <w:pPr>
        <w:tabs>
          <w:tab w:val="left" w:pos="1080"/>
        </w:tabs>
        <w:spacing w:line="480" w:lineRule="auto"/>
        <w:jc w:val="both"/>
      </w:pPr>
    </w:p>
    <w:p w:rsidR="001A43AF" w:rsidRPr="00DE0F9D" w:rsidRDefault="001A43AF" w:rsidP="001A43AF">
      <w:pPr>
        <w:spacing w:line="480" w:lineRule="auto"/>
        <w:jc w:val="both"/>
      </w:pPr>
      <w:proofErr w:type="spellStart"/>
      <w:r w:rsidRPr="00DE0F9D">
        <w:t>Steenbergen</w:t>
      </w:r>
      <w:proofErr w:type="spellEnd"/>
      <w:r w:rsidRPr="00DE0F9D">
        <w:t xml:space="preserve">, M and Marks, G (2007) ‘Evaluating expert surveys’, </w:t>
      </w:r>
      <w:r w:rsidRPr="00DE0F9D">
        <w:rPr>
          <w:i/>
        </w:rPr>
        <w:t>European Journal of Political Research</w:t>
      </w:r>
      <w:r w:rsidRPr="00DE0F9D">
        <w:t xml:space="preserve"> 46(3): 37-366.</w:t>
      </w:r>
    </w:p>
    <w:p w:rsidR="001A43AF" w:rsidRDefault="001A43AF" w:rsidP="001A43AF">
      <w:pPr>
        <w:spacing w:line="480" w:lineRule="auto"/>
      </w:pPr>
    </w:p>
    <w:p w:rsidR="001A43AF" w:rsidRPr="00DE0F9D" w:rsidRDefault="001A43AF" w:rsidP="001A43AF">
      <w:pPr>
        <w:spacing w:line="480" w:lineRule="auto"/>
        <w:jc w:val="both"/>
      </w:pPr>
      <w:r w:rsidRPr="00DE0F9D">
        <w:t>Taggart, P (1998) ‘</w:t>
      </w:r>
      <w:proofErr w:type="gramStart"/>
      <w:r w:rsidRPr="00DE0F9D">
        <w:t>A</w:t>
      </w:r>
      <w:proofErr w:type="gramEnd"/>
      <w:r w:rsidRPr="00DE0F9D">
        <w:t xml:space="preserve"> touchstone of dissent: Euroscepticism in contemporary Western European party systems’, </w:t>
      </w:r>
      <w:r w:rsidRPr="00DE0F9D">
        <w:rPr>
          <w:i/>
        </w:rPr>
        <w:t xml:space="preserve">European Journal of Political Research </w:t>
      </w:r>
      <w:r w:rsidRPr="00DE0F9D">
        <w:t>33(3):363-388.</w:t>
      </w:r>
    </w:p>
    <w:p w:rsidR="001A43AF" w:rsidRPr="00DE0F9D" w:rsidRDefault="001A43AF" w:rsidP="001A43AF">
      <w:pPr>
        <w:spacing w:line="480" w:lineRule="auto"/>
        <w:jc w:val="both"/>
      </w:pPr>
    </w:p>
    <w:p w:rsidR="001A43AF" w:rsidRDefault="001A43AF" w:rsidP="001A43AF">
      <w:pPr>
        <w:spacing w:line="480" w:lineRule="auto"/>
        <w:jc w:val="both"/>
      </w:pPr>
      <w:r w:rsidRPr="00DE0F9D">
        <w:t xml:space="preserve">Taggart, P and </w:t>
      </w:r>
      <w:proofErr w:type="spellStart"/>
      <w:r w:rsidRPr="00DE0F9D">
        <w:t>Szczerbiak</w:t>
      </w:r>
      <w:proofErr w:type="spellEnd"/>
      <w:r w:rsidRPr="00DE0F9D">
        <w:t>, A (200</w:t>
      </w:r>
      <w:r>
        <w:t>1</w:t>
      </w:r>
      <w:r w:rsidRPr="00DE0F9D">
        <w:t>) ‘The party politics of Euroscepticism in EU member and candidate states’ SEI Working Paper No 51/Opposing Europe Research Network Working Paper No 6 (</w:t>
      </w:r>
      <w:r w:rsidRPr="00DE0F9D">
        <w:rPr>
          <w:bCs/>
        </w:rPr>
        <w:t>Sussex European Institute</w:t>
      </w:r>
      <w:r w:rsidRPr="00DE0F9D">
        <w:rPr>
          <w:b/>
          <w:bCs/>
        </w:rPr>
        <w:t xml:space="preserve">: </w:t>
      </w:r>
      <w:r w:rsidRPr="00DE0F9D">
        <w:t>ISSN 1350-4649).</w:t>
      </w:r>
      <w:bookmarkStart w:id="0" w:name="_GoBack"/>
      <w:bookmarkEnd w:id="0"/>
    </w:p>
    <w:sectPr w:rsidR="001A43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86" w:rsidRDefault="00665186" w:rsidP="00665186">
      <w:r>
        <w:separator/>
      </w:r>
    </w:p>
  </w:endnote>
  <w:endnote w:type="continuationSeparator" w:id="0">
    <w:p w:rsidR="00665186" w:rsidRDefault="00665186" w:rsidP="0066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86" w:rsidRDefault="00665186" w:rsidP="00665186">
      <w:r>
        <w:separator/>
      </w:r>
    </w:p>
  </w:footnote>
  <w:footnote w:type="continuationSeparator" w:id="0">
    <w:p w:rsidR="00665186" w:rsidRDefault="00665186" w:rsidP="00665186">
      <w:r>
        <w:continuationSeparator/>
      </w:r>
    </w:p>
  </w:footnote>
  <w:footnote w:id="1">
    <w:p w:rsidR="00665186" w:rsidRPr="005D2703" w:rsidRDefault="00665186" w:rsidP="00665186">
      <w:pPr>
        <w:pStyle w:val="FootnoteText"/>
        <w:jc w:val="both"/>
      </w:pPr>
      <w:r w:rsidRPr="005D2703">
        <w:rPr>
          <w:rStyle w:val="FootnoteReference"/>
        </w:rPr>
        <w:footnoteRef/>
      </w:r>
      <w:r w:rsidRPr="005D2703">
        <w:t xml:space="preserve"> </w:t>
      </w:r>
      <w:r w:rsidRPr="005D2703">
        <w:rPr>
          <w:color w:val="000000"/>
        </w:rPr>
        <w:t xml:space="preserve">This category includes any mentions not covered by the other categories. </w:t>
      </w:r>
    </w:p>
  </w:footnote>
  <w:footnote w:id="2">
    <w:p w:rsidR="00665186" w:rsidRPr="005D2703" w:rsidRDefault="00665186" w:rsidP="00665186">
      <w:pPr>
        <w:pStyle w:val="FootnoteText"/>
        <w:jc w:val="both"/>
      </w:pPr>
      <w:r w:rsidRPr="005D2703">
        <w:rPr>
          <w:rStyle w:val="FootnoteReference"/>
        </w:rPr>
        <w:footnoteRef/>
      </w:r>
      <w:r w:rsidRPr="005D2703">
        <w:t xml:space="preserve"> E</w:t>
      </w:r>
      <w:r w:rsidRPr="005D2703">
        <w:rPr>
          <w:color w:val="000000"/>
        </w:rPr>
        <w:t xml:space="preserve">.g. [Immigration (in general)] ‘People from abroad make a positive contribution to British society. (Labour, 2001) (-1); ‘Do you know that 100,000 asylum-seekers have entered our country in the past seven years and that most of them have stayed illegally? (MR, 1995) (+1); [Student Migration] ‘America and China know how to lure the best students and scientists. These people must come and stay here!’ (VVD, 2006); (-1); ‘We want to encourage students to come to our universities and colleges, but our student visa system has become the biggest weakness in our border controls.’ (Conservatives, 2010) (+1). </w:t>
      </w:r>
    </w:p>
    <w:p w:rsidR="00665186" w:rsidRPr="005D2703" w:rsidRDefault="00665186" w:rsidP="0066518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E5B8C"/>
    <w:multiLevelType w:val="hybridMultilevel"/>
    <w:tmpl w:val="E286F1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76A24"/>
    <w:multiLevelType w:val="hybridMultilevel"/>
    <w:tmpl w:val="80A84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17D3F"/>
    <w:multiLevelType w:val="hybridMultilevel"/>
    <w:tmpl w:val="9EE2D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748B0"/>
    <w:multiLevelType w:val="hybridMultilevel"/>
    <w:tmpl w:val="38A454E8"/>
    <w:lvl w:ilvl="0" w:tplc="C974E5F2">
      <w:start w:val="1"/>
      <w:numFmt w:val="decimal"/>
      <w:lvlText w:val="%1."/>
      <w:lvlJc w:val="left"/>
      <w:pPr>
        <w:ind w:left="2160" w:hanging="360"/>
      </w:pPr>
      <w:rPr>
        <w:rFonts w:ascii="Times New Roman" w:eastAsia="Times New Roman" w:hAnsi="Times New Roman" w:cs="Times New Roman"/>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546027EB"/>
    <w:multiLevelType w:val="hybridMultilevel"/>
    <w:tmpl w:val="FB48BF34"/>
    <w:lvl w:ilvl="0" w:tplc="3C2008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8A1066"/>
    <w:multiLevelType w:val="hybridMultilevel"/>
    <w:tmpl w:val="9FB2F826"/>
    <w:lvl w:ilvl="0" w:tplc="BDF84E62">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D12CE2"/>
    <w:multiLevelType w:val="hybridMultilevel"/>
    <w:tmpl w:val="2A0ECD58"/>
    <w:lvl w:ilvl="0" w:tplc="3FB09E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F71A36"/>
    <w:multiLevelType w:val="hybridMultilevel"/>
    <w:tmpl w:val="1DE4F7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129DA"/>
    <w:multiLevelType w:val="hybridMultilevel"/>
    <w:tmpl w:val="7CECEF5C"/>
    <w:lvl w:ilvl="0" w:tplc="2AF8E2C6">
      <w:start w:val="1"/>
      <w:numFmt w:val="decimal"/>
      <w:lvlText w:val="%1"/>
      <w:lvlJc w:val="left"/>
      <w:pPr>
        <w:ind w:left="1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8C49DB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FAADE1C">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476EDA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1F0B08A">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E32159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846B0F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4BEDA4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E1E7EF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7"/>
  </w:num>
  <w:num w:numId="5">
    <w:abstractNumId w:val="1"/>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86"/>
    <w:rsid w:val="000510A9"/>
    <w:rsid w:val="001A43AF"/>
    <w:rsid w:val="001B5315"/>
    <w:rsid w:val="005B60D1"/>
    <w:rsid w:val="00665186"/>
    <w:rsid w:val="00B12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F9C24-3A92-48A2-9570-AFE181D6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18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66518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A43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65186"/>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semiHidden/>
    <w:rsid w:val="00665186"/>
    <w:rPr>
      <w:sz w:val="20"/>
      <w:szCs w:val="20"/>
    </w:rPr>
  </w:style>
  <w:style w:type="character" w:customStyle="1" w:styleId="EndnoteTextChar">
    <w:name w:val="Endnote Text Char"/>
    <w:basedOn w:val="DefaultParagraphFont"/>
    <w:link w:val="EndnoteText"/>
    <w:semiHidden/>
    <w:rsid w:val="00665186"/>
    <w:rPr>
      <w:rFonts w:ascii="Times New Roman" w:eastAsia="Times New Roman" w:hAnsi="Times New Roman" w:cs="Times New Roman"/>
      <w:sz w:val="20"/>
      <w:szCs w:val="20"/>
      <w:lang w:eastAsia="en-GB"/>
    </w:rPr>
  </w:style>
  <w:style w:type="paragraph" w:styleId="CommentText">
    <w:name w:val="annotation text"/>
    <w:basedOn w:val="Normal"/>
    <w:link w:val="CommentTextChar"/>
    <w:rsid w:val="00665186"/>
    <w:pPr>
      <w:spacing w:after="200" w:line="276" w:lineRule="auto"/>
    </w:pPr>
    <w:rPr>
      <w:rFonts w:ascii="Calibri" w:hAnsi="Calibri"/>
      <w:sz w:val="20"/>
      <w:szCs w:val="20"/>
      <w:lang w:val="x-none" w:eastAsia="x-none"/>
    </w:rPr>
  </w:style>
  <w:style w:type="character" w:customStyle="1" w:styleId="CommentTextChar">
    <w:name w:val="Comment Text Char"/>
    <w:basedOn w:val="DefaultParagraphFont"/>
    <w:link w:val="CommentText"/>
    <w:rsid w:val="00665186"/>
    <w:rPr>
      <w:rFonts w:ascii="Calibri" w:eastAsia="Times New Roman" w:hAnsi="Calibri" w:cs="Times New Roman"/>
      <w:sz w:val="20"/>
      <w:szCs w:val="20"/>
      <w:lang w:val="x-none" w:eastAsia="x-none"/>
    </w:rPr>
  </w:style>
  <w:style w:type="character" w:styleId="EndnoteReference">
    <w:name w:val="endnote reference"/>
    <w:semiHidden/>
    <w:rsid w:val="00665186"/>
    <w:rPr>
      <w:vertAlign w:val="superscript"/>
    </w:rPr>
  </w:style>
  <w:style w:type="character" w:customStyle="1" w:styleId="googqs-tidbitgoogqs-tidbit-0">
    <w:name w:val="goog_qs-tidbit goog_qs-tidbit-0"/>
    <w:basedOn w:val="DefaultParagraphFont"/>
    <w:rsid w:val="00665186"/>
  </w:style>
  <w:style w:type="character" w:customStyle="1" w:styleId="fn">
    <w:name w:val="fn"/>
    <w:basedOn w:val="DefaultParagraphFont"/>
    <w:rsid w:val="00665186"/>
  </w:style>
  <w:style w:type="character" w:customStyle="1" w:styleId="fnorg">
    <w:name w:val="fn org"/>
    <w:basedOn w:val="DefaultParagraphFont"/>
    <w:rsid w:val="00665186"/>
  </w:style>
  <w:style w:type="character" w:styleId="Emphasis">
    <w:name w:val="Emphasis"/>
    <w:qFormat/>
    <w:rsid w:val="00665186"/>
    <w:rPr>
      <w:b/>
      <w:bCs/>
      <w:i w:val="0"/>
      <w:iCs w:val="0"/>
    </w:rPr>
  </w:style>
  <w:style w:type="character" w:styleId="CommentReference">
    <w:name w:val="annotation reference"/>
    <w:rsid w:val="00665186"/>
    <w:rPr>
      <w:sz w:val="16"/>
      <w:szCs w:val="16"/>
    </w:rPr>
  </w:style>
  <w:style w:type="character" w:customStyle="1" w:styleId="hps">
    <w:name w:val="hps"/>
    <w:basedOn w:val="DefaultParagraphFont"/>
    <w:rsid w:val="00665186"/>
  </w:style>
  <w:style w:type="paragraph" w:styleId="BalloonText">
    <w:name w:val="Balloon Text"/>
    <w:basedOn w:val="Normal"/>
    <w:link w:val="BalloonTextChar"/>
    <w:semiHidden/>
    <w:rsid w:val="00665186"/>
    <w:rPr>
      <w:rFonts w:ascii="Tahoma" w:hAnsi="Tahoma" w:cs="Tahoma"/>
      <w:sz w:val="16"/>
      <w:szCs w:val="16"/>
    </w:rPr>
  </w:style>
  <w:style w:type="character" w:customStyle="1" w:styleId="BalloonTextChar">
    <w:name w:val="Balloon Text Char"/>
    <w:basedOn w:val="DefaultParagraphFont"/>
    <w:link w:val="BalloonText"/>
    <w:semiHidden/>
    <w:rsid w:val="00665186"/>
    <w:rPr>
      <w:rFonts w:ascii="Tahoma" w:eastAsia="Times New Roman" w:hAnsi="Tahoma" w:cs="Tahoma"/>
      <w:sz w:val="16"/>
      <w:szCs w:val="16"/>
      <w:lang w:eastAsia="en-GB"/>
    </w:rPr>
  </w:style>
  <w:style w:type="paragraph" w:styleId="FootnoteText">
    <w:name w:val="footnote text"/>
    <w:basedOn w:val="Normal"/>
    <w:link w:val="FootnoteTextChar"/>
    <w:rsid w:val="00665186"/>
    <w:rPr>
      <w:sz w:val="20"/>
      <w:szCs w:val="20"/>
    </w:rPr>
  </w:style>
  <w:style w:type="character" w:customStyle="1" w:styleId="FootnoteTextChar">
    <w:name w:val="Footnote Text Char"/>
    <w:basedOn w:val="DefaultParagraphFont"/>
    <w:link w:val="FootnoteText"/>
    <w:rsid w:val="00665186"/>
    <w:rPr>
      <w:rFonts w:ascii="Times New Roman" w:eastAsia="Times New Roman" w:hAnsi="Times New Roman" w:cs="Times New Roman"/>
      <w:sz w:val="20"/>
      <w:szCs w:val="20"/>
      <w:lang w:eastAsia="en-GB"/>
    </w:rPr>
  </w:style>
  <w:style w:type="character" w:styleId="FootnoteReference">
    <w:name w:val="footnote reference"/>
    <w:rsid w:val="00665186"/>
    <w:rPr>
      <w:vertAlign w:val="superscript"/>
    </w:rPr>
  </w:style>
  <w:style w:type="paragraph" w:styleId="CommentSubject">
    <w:name w:val="annotation subject"/>
    <w:basedOn w:val="CommentText"/>
    <w:next w:val="CommentText"/>
    <w:link w:val="CommentSubjectChar"/>
    <w:rsid w:val="00665186"/>
    <w:pPr>
      <w:spacing w:after="0" w:line="240" w:lineRule="auto"/>
    </w:pPr>
    <w:rPr>
      <w:rFonts w:ascii="Times New Roman" w:hAnsi="Times New Roman"/>
      <w:b/>
      <w:bCs/>
      <w:lang w:val="en-GB" w:eastAsia="en-GB"/>
    </w:rPr>
  </w:style>
  <w:style w:type="character" w:customStyle="1" w:styleId="CommentSubjectChar">
    <w:name w:val="Comment Subject Char"/>
    <w:basedOn w:val="CommentTextChar"/>
    <w:link w:val="CommentSubject"/>
    <w:rsid w:val="00665186"/>
    <w:rPr>
      <w:rFonts w:ascii="Times New Roman" w:eastAsia="Times New Roman" w:hAnsi="Times New Roman" w:cs="Times New Roman"/>
      <w:b/>
      <w:bCs/>
      <w:sz w:val="20"/>
      <w:szCs w:val="20"/>
      <w:lang w:val="x-none" w:eastAsia="en-GB"/>
    </w:rPr>
  </w:style>
  <w:style w:type="character" w:styleId="Hyperlink">
    <w:name w:val="Hyperlink"/>
    <w:uiPriority w:val="99"/>
    <w:unhideWhenUsed/>
    <w:rsid w:val="00665186"/>
    <w:rPr>
      <w:color w:val="0000FF"/>
      <w:u w:val="single"/>
    </w:rPr>
  </w:style>
  <w:style w:type="character" w:customStyle="1" w:styleId="Heading2Char">
    <w:name w:val="Heading 2 Char"/>
    <w:basedOn w:val="DefaultParagraphFont"/>
    <w:link w:val="Heading2"/>
    <w:uiPriority w:val="9"/>
    <w:semiHidden/>
    <w:rsid w:val="001A43AF"/>
    <w:rPr>
      <w:rFonts w:asciiTheme="majorHAnsi" w:eastAsiaTheme="majorEastAsia" w:hAnsiTheme="majorHAnsi" w:cstheme="majorBidi"/>
      <w:color w:val="2E74B5" w:themeColor="accent1" w:themeShade="BF"/>
      <w:sz w:val="26"/>
      <w:szCs w:val="26"/>
      <w:lang w:eastAsia="en-GB"/>
    </w:rPr>
  </w:style>
  <w:style w:type="character" w:customStyle="1" w:styleId="bullet">
    <w:name w:val="bullet"/>
    <w:basedOn w:val="DefaultParagraphFont"/>
    <w:rsid w:val="001A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ODMALM Pontus</dc:creator>
  <cp:keywords/>
  <dc:description/>
  <cp:lastModifiedBy>ODMALM Pontus</cp:lastModifiedBy>
  <cp:revision>3</cp:revision>
  <dcterms:created xsi:type="dcterms:W3CDTF">2017-03-01T14:26:00Z</dcterms:created>
  <dcterms:modified xsi:type="dcterms:W3CDTF">2017-03-01T14:41:00Z</dcterms:modified>
</cp:coreProperties>
</file>