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A0D" w:rsidRPr="00484A0D" w:rsidRDefault="00484A0D" w:rsidP="00484A0D">
      <w:pPr>
        <w:autoSpaceDE w:val="0"/>
        <w:autoSpaceDN w:val="0"/>
        <w:adjustRightInd w:val="0"/>
        <w:spacing w:line="480" w:lineRule="auto"/>
        <w:jc w:val="both"/>
        <w:rPr>
          <w:b/>
        </w:rPr>
      </w:pPr>
      <w:r>
        <w:rPr>
          <w:b/>
        </w:rPr>
        <w:t xml:space="preserve">Interview methodology </w:t>
      </w:r>
    </w:p>
    <w:p w:rsidR="00484A0D" w:rsidRDefault="00484A0D" w:rsidP="00484A0D">
      <w:pPr>
        <w:autoSpaceDE w:val="0"/>
        <w:autoSpaceDN w:val="0"/>
        <w:adjustRightInd w:val="0"/>
        <w:spacing w:line="480" w:lineRule="auto"/>
        <w:jc w:val="both"/>
      </w:pPr>
    </w:p>
    <w:p w:rsidR="00EA0843" w:rsidRDefault="00EA0843" w:rsidP="00484A0D">
      <w:pPr>
        <w:autoSpaceDE w:val="0"/>
        <w:autoSpaceDN w:val="0"/>
        <w:adjustRightInd w:val="0"/>
        <w:spacing w:line="480" w:lineRule="auto"/>
        <w:jc w:val="both"/>
      </w:pPr>
      <w:r w:rsidRPr="005D2703">
        <w:t xml:space="preserve">To assess the </w:t>
      </w:r>
      <w:r>
        <w:t xml:space="preserve">party </w:t>
      </w:r>
      <w:r w:rsidRPr="005D2703">
        <w:t xml:space="preserve">management of these ‘pulls’ </w:t>
      </w:r>
      <w:r>
        <w:t>a substantial number of semi-structured</w:t>
      </w:r>
      <w:r w:rsidRPr="005D2703">
        <w:t xml:space="preserve"> interviews were </w:t>
      </w:r>
      <w:r>
        <w:t>carried out</w:t>
      </w:r>
      <w:r w:rsidRPr="005D2703">
        <w:t xml:space="preserve"> with MPs or </w:t>
      </w:r>
      <w:r>
        <w:t xml:space="preserve">with </w:t>
      </w:r>
      <w:r w:rsidRPr="005D2703">
        <w:t>party strategists in the four case countries (61 in total). The</w:t>
      </w:r>
      <w:r>
        <w:t>y</w:t>
      </w:r>
      <w:r w:rsidRPr="005D2703">
        <w:t xml:space="preserve"> centred on a set of pre-arranged themes (</w:t>
      </w:r>
      <w:r w:rsidRPr="005D2703">
        <w:rPr>
          <w:i/>
        </w:rPr>
        <w:t xml:space="preserve">ideology; policy position(s) </w:t>
      </w:r>
      <w:r w:rsidRPr="005D2703">
        <w:t>and</w:t>
      </w:r>
      <w:r w:rsidRPr="005D2703">
        <w:rPr>
          <w:i/>
        </w:rPr>
        <w:t xml:space="preserve"> party competition</w:t>
      </w:r>
      <w:r w:rsidRPr="005D2703">
        <w:t>)</w:t>
      </w:r>
      <w:r>
        <w:t xml:space="preserve"> but also </w:t>
      </w:r>
      <w:r w:rsidRPr="005D2703">
        <w:t>allow</w:t>
      </w:r>
      <w:r>
        <w:t>ed</w:t>
      </w:r>
      <w:r w:rsidRPr="005D2703">
        <w:t xml:space="preserve"> </w:t>
      </w:r>
      <w:r>
        <w:t xml:space="preserve">for </w:t>
      </w:r>
      <w:r w:rsidRPr="005D2703">
        <w:t xml:space="preserve">follow-up questions </w:t>
      </w:r>
      <w:r>
        <w:t xml:space="preserve">to be asked </w:t>
      </w:r>
      <w:r w:rsidRPr="005D2703">
        <w:t xml:space="preserve">should </w:t>
      </w:r>
      <w:r>
        <w:t xml:space="preserve">the </w:t>
      </w:r>
      <w:r w:rsidRPr="005D2703">
        <w:t>answers</w:t>
      </w:r>
      <w:r>
        <w:t xml:space="preserve"> </w:t>
      </w:r>
      <w:r w:rsidRPr="005D2703">
        <w:t xml:space="preserve">be vague or off-topic (Devine, 2002). To get as representative a view as possible, a purposive sample was drawn from those elites that were assumed to have particular knowledge of the three themes (Patton, 2002). The selection criteria included past, and current, memberships of committee/s (e.g. </w:t>
      </w:r>
      <w:r w:rsidRPr="005D2703">
        <w:rPr>
          <w:rStyle w:val="hps"/>
        </w:rPr>
        <w:t>Labour Market or Home Affairs); position/s held (e.g. political secretary or committee chair),</w:t>
      </w:r>
      <w:r w:rsidRPr="005D2703">
        <w:t xml:space="preserve"> and time as an MP. Due to issues of access (particularly in the British case), a ‘snow-balling’ technique was also employed (</w:t>
      </w:r>
      <w:proofErr w:type="spellStart"/>
      <w:r w:rsidRPr="005D2703">
        <w:t>Biernacki</w:t>
      </w:r>
      <w:proofErr w:type="spellEnd"/>
      <w:r w:rsidRPr="005D2703">
        <w:t xml:space="preserve"> and Waldorf, 1981) which </w:t>
      </w:r>
      <w:r>
        <w:t xml:space="preserve">subsequently </w:t>
      </w:r>
      <w:r w:rsidRPr="005D2703">
        <w:t xml:space="preserve">led to some former MPs and party strategists being approached. </w:t>
      </w:r>
      <w:r>
        <w:t xml:space="preserve">To minimise any steering effect that the interviewer may have had on the interviewee, </w:t>
      </w:r>
      <w:r w:rsidRPr="005D2703">
        <w:t xml:space="preserve">open-ended questions </w:t>
      </w:r>
      <w:r>
        <w:t xml:space="preserve">were employed and </w:t>
      </w:r>
      <w:r w:rsidRPr="005D2703">
        <w:t>asked in a balanced fashion</w:t>
      </w:r>
      <w:r>
        <w:t xml:space="preserve"> (e.g.</w:t>
      </w:r>
      <w:r w:rsidRPr="005D2703">
        <w:t xml:space="preserve"> ‘some parties would describe themselves as being for more state intervention in the market, while others favour more market freedom. How would you describe [party] in these terms?’</w:t>
      </w:r>
      <w:r>
        <w:t>).</w:t>
      </w:r>
      <w:r w:rsidRPr="005D2703">
        <w:t xml:space="preserve"> The </w:t>
      </w:r>
      <w:r>
        <w:t xml:space="preserve">interviews </w:t>
      </w:r>
      <w:r w:rsidRPr="005D2703">
        <w:t>were then transcribed by the author and the research assistant and followed a ‘</w:t>
      </w:r>
      <w:proofErr w:type="spellStart"/>
      <w:r w:rsidRPr="005D2703">
        <w:t>denaturalist</w:t>
      </w:r>
      <w:proofErr w:type="spellEnd"/>
      <w:r w:rsidRPr="005D2703">
        <w:t xml:space="preserve">’ approach which removed any ‘idiosyncratic elements of speech (e.g., stutters, pauses, </w:t>
      </w:r>
      <w:proofErr w:type="spellStart"/>
      <w:r w:rsidRPr="005D2703">
        <w:t>nonverbals</w:t>
      </w:r>
      <w:proofErr w:type="spellEnd"/>
      <w:r w:rsidRPr="005D2703">
        <w:t>, involuntary vocalizations)’</w:t>
      </w:r>
      <w:r w:rsidRPr="005D2703">
        <w:rPr>
          <w:rFonts w:ascii="Arial" w:hAnsi="Arial" w:cs="Arial"/>
          <w:sz w:val="17"/>
          <w:szCs w:val="17"/>
        </w:rPr>
        <w:t xml:space="preserve"> </w:t>
      </w:r>
      <w:r w:rsidRPr="005D2703">
        <w:t xml:space="preserve">(Oliver </w:t>
      </w:r>
      <w:r w:rsidRPr="005D2703">
        <w:rPr>
          <w:i/>
        </w:rPr>
        <w:t>et al</w:t>
      </w:r>
      <w:r w:rsidRPr="005D2703">
        <w:t xml:space="preserve">, 2005: 173-74). </w:t>
      </w:r>
      <w:r>
        <w:t xml:space="preserve">And prior to being incorporated into Chapter 4 all </w:t>
      </w:r>
      <w:r w:rsidRPr="005D2703">
        <w:t xml:space="preserve">quotes </w:t>
      </w:r>
      <w:r>
        <w:t>were</w:t>
      </w:r>
      <w:r w:rsidRPr="005D2703">
        <w:t xml:space="preserve"> checked for relevance</w:t>
      </w:r>
      <w:r>
        <w:t xml:space="preserve"> and fit</w:t>
      </w:r>
      <w:r w:rsidRPr="005D2703">
        <w:t xml:space="preserve">. </w:t>
      </w:r>
    </w:p>
    <w:p w:rsidR="00EA0843" w:rsidRPr="005D2703" w:rsidRDefault="00EA0843" w:rsidP="00484A0D">
      <w:pPr>
        <w:autoSpaceDE w:val="0"/>
        <w:autoSpaceDN w:val="0"/>
        <w:adjustRightInd w:val="0"/>
        <w:spacing w:line="480" w:lineRule="auto"/>
        <w:ind w:firstLine="720"/>
        <w:jc w:val="both"/>
      </w:pPr>
      <w:r w:rsidRPr="005D2703">
        <w:t xml:space="preserve">As an </w:t>
      </w:r>
      <w:r>
        <w:t xml:space="preserve">additional </w:t>
      </w:r>
      <w:r w:rsidRPr="005D2703">
        <w:t>ethical precaution all interviewees were informed that the data would be anonymised for future publications. They were also given the option to view a copy of the transcript. In a minority of cases, they suggested changes to be made. These</w:t>
      </w:r>
      <w:r>
        <w:t xml:space="preserve"> </w:t>
      </w:r>
      <w:r w:rsidRPr="005D2703">
        <w:t xml:space="preserve">primarily </w:t>
      </w:r>
      <w:r>
        <w:t>related to</w:t>
      </w:r>
      <w:r w:rsidRPr="005D2703">
        <w:t xml:space="preserve"> incorrect spelling of names and places</w:t>
      </w:r>
      <w:r>
        <w:t xml:space="preserve"> rather than to any misinterpretation or representation </w:t>
      </w:r>
      <w:r>
        <w:lastRenderedPageBreak/>
        <w:t>of what had been discussed</w:t>
      </w:r>
      <w:r w:rsidRPr="005D2703">
        <w:t xml:space="preserve">. Some of the validity concerns that can emerge when using qualitative data </w:t>
      </w:r>
      <w:r>
        <w:t>were</w:t>
      </w:r>
      <w:r w:rsidRPr="005D2703">
        <w:t xml:space="preserve"> </w:t>
      </w:r>
      <w:r>
        <w:t xml:space="preserve">able to be </w:t>
      </w:r>
      <w:r w:rsidRPr="005D2703">
        <w:t>‘controlled’ for while others proved more difficult. The material was returned to ‘over and over again to see if the constructs, categories, explanations, and interpretations ma[d]e sense’ (Patton, 1980: 339), and special attention was paid to the latter when the quotes were applied. But the data were also revisited to try and identify emerging patterns, e.g. did different interviewees portray their party’s ideology in a similar fashion? Were the effects of the EU</w:t>
      </w:r>
      <w:r>
        <w:t xml:space="preserve"> or </w:t>
      </w:r>
      <w:r w:rsidRPr="005D2703">
        <w:t>immigration understood differently depending on age</w:t>
      </w:r>
      <w:r>
        <w:t xml:space="preserve"> and/or </w:t>
      </w:r>
      <w:r w:rsidRPr="005D2703">
        <w:t>role in party? Yet other aspects, e.g. ‘how accurately the account represent[</w:t>
      </w:r>
      <w:proofErr w:type="spellStart"/>
      <w:r w:rsidRPr="005D2703">
        <w:t>ed</w:t>
      </w:r>
      <w:proofErr w:type="spellEnd"/>
      <w:r w:rsidRPr="005D2703">
        <w:t xml:space="preserve">] participants’ realities of the social phenomena’ (Creswell and Miller, 2000: 124) </w:t>
      </w:r>
      <w:r>
        <w:t>were</w:t>
      </w:r>
      <w:r w:rsidRPr="005D2703">
        <w:t xml:space="preserve"> more challenging as it had to be accepted that the information provided </w:t>
      </w:r>
      <w:r>
        <w:t>was</w:t>
      </w:r>
      <w:r w:rsidRPr="005D2703">
        <w:t xml:space="preserve"> a truthful account of these ‘realities’. </w:t>
      </w:r>
      <w:r>
        <w:t>As such, t</w:t>
      </w:r>
      <w:r w:rsidRPr="005D2703">
        <w:t xml:space="preserve">he conducted research </w:t>
      </w:r>
      <w:r>
        <w:t xml:space="preserve">has made use of </w:t>
      </w:r>
      <w:r w:rsidRPr="005D2703">
        <w:t xml:space="preserve">‘mixed methodology’ (quantifying manifestos; semi-structured interviews) as well as ‘mixed modelling’ techniques when </w:t>
      </w:r>
      <w:r>
        <w:t>the two approaches were combined across all stages of the research process</w:t>
      </w:r>
      <w:r w:rsidRPr="005D2703">
        <w:t xml:space="preserve"> (</w:t>
      </w:r>
      <w:proofErr w:type="spellStart"/>
      <w:r w:rsidRPr="005D2703">
        <w:t>Tashakkori</w:t>
      </w:r>
      <w:proofErr w:type="spellEnd"/>
      <w:r w:rsidRPr="005D2703">
        <w:t xml:space="preserve"> and </w:t>
      </w:r>
      <w:proofErr w:type="spellStart"/>
      <w:r w:rsidRPr="005D2703">
        <w:t>Teddlie</w:t>
      </w:r>
      <w:proofErr w:type="spellEnd"/>
      <w:r w:rsidRPr="005D2703">
        <w:t xml:space="preserve">, 1998). </w:t>
      </w:r>
    </w:p>
    <w:p w:rsidR="00EA0843" w:rsidRPr="005D2703" w:rsidRDefault="00EA0843" w:rsidP="00484A0D">
      <w:pPr>
        <w:spacing w:line="480" w:lineRule="auto"/>
        <w:ind w:firstLine="720"/>
        <w:jc w:val="both"/>
        <w:rPr>
          <w:color w:val="000000"/>
        </w:rPr>
      </w:pPr>
      <w:r>
        <w:rPr>
          <w:color w:val="000000"/>
        </w:rPr>
        <w:t>And finally, t</w:t>
      </w:r>
      <w:r w:rsidRPr="005D2703">
        <w:rPr>
          <w:color w:val="000000"/>
        </w:rPr>
        <w:t xml:space="preserve">he number of interviews break down as follows: </w:t>
      </w:r>
    </w:p>
    <w:p w:rsidR="00EA0843" w:rsidRPr="005D2703" w:rsidRDefault="00EA0843" w:rsidP="00484A0D">
      <w:pPr>
        <w:spacing w:line="480" w:lineRule="auto"/>
        <w:jc w:val="both"/>
        <w:rPr>
          <w:color w:val="000000"/>
        </w:rPr>
      </w:pPr>
    </w:p>
    <w:p w:rsidR="00EA0843" w:rsidRPr="005D2703" w:rsidRDefault="00EA0843" w:rsidP="00484A0D">
      <w:pPr>
        <w:spacing w:line="480" w:lineRule="auto"/>
        <w:jc w:val="both"/>
        <w:rPr>
          <w:color w:val="000000"/>
        </w:rPr>
      </w:pPr>
      <w:r w:rsidRPr="005D2703">
        <w:rPr>
          <w:color w:val="000000"/>
        </w:rPr>
        <w:t xml:space="preserve">Belgium: CD&amp;V (2); </w:t>
      </w:r>
      <w:proofErr w:type="spellStart"/>
      <w:r w:rsidRPr="005D2703">
        <w:rPr>
          <w:color w:val="000000"/>
        </w:rPr>
        <w:t>Ecolo</w:t>
      </w:r>
      <w:proofErr w:type="spellEnd"/>
      <w:r w:rsidRPr="005D2703">
        <w:rPr>
          <w:color w:val="000000"/>
        </w:rPr>
        <w:t xml:space="preserve"> (1); GA (1); MR (1); PS (3); </w:t>
      </w:r>
      <w:proofErr w:type="spellStart"/>
      <w:r w:rsidRPr="005D2703">
        <w:rPr>
          <w:color w:val="000000"/>
        </w:rPr>
        <w:t>Sp.a</w:t>
      </w:r>
      <w:proofErr w:type="spellEnd"/>
      <w:r w:rsidRPr="005D2703">
        <w:rPr>
          <w:color w:val="000000"/>
        </w:rPr>
        <w:t>. (2); VLD (2); CDH (0)</w:t>
      </w:r>
      <w:r w:rsidRPr="005D2703">
        <w:rPr>
          <w:rStyle w:val="FootnoteReference"/>
          <w:color w:val="000000"/>
        </w:rPr>
        <w:footnoteReference w:id="1"/>
      </w:r>
      <w:r w:rsidRPr="005D2703">
        <w:rPr>
          <w:color w:val="000000"/>
        </w:rPr>
        <w:t xml:space="preserve">; </w:t>
      </w:r>
    </w:p>
    <w:p w:rsidR="00EA0843" w:rsidRPr="005D2703" w:rsidRDefault="00EA0843" w:rsidP="00484A0D">
      <w:pPr>
        <w:spacing w:line="480" w:lineRule="auto"/>
        <w:ind w:firstLine="720"/>
        <w:jc w:val="both"/>
        <w:rPr>
          <w:color w:val="000000"/>
        </w:rPr>
      </w:pPr>
    </w:p>
    <w:p w:rsidR="00EA0843" w:rsidRPr="005D2703" w:rsidRDefault="00EA0843" w:rsidP="00484A0D">
      <w:pPr>
        <w:spacing w:line="480" w:lineRule="auto"/>
        <w:jc w:val="both"/>
        <w:rPr>
          <w:color w:val="000000"/>
        </w:rPr>
      </w:pPr>
      <w:r w:rsidRPr="005D2703">
        <w:rPr>
          <w:color w:val="000000"/>
        </w:rPr>
        <w:t>Britain: Labour (4); Liberal Democrats</w:t>
      </w:r>
      <w:r w:rsidRPr="005D2703">
        <w:rPr>
          <w:i/>
          <w:color w:val="000000"/>
        </w:rPr>
        <w:t xml:space="preserve"> </w:t>
      </w:r>
      <w:r w:rsidRPr="005D2703">
        <w:rPr>
          <w:color w:val="000000"/>
        </w:rPr>
        <w:t>(5) and Conservative (7));</w:t>
      </w:r>
    </w:p>
    <w:p w:rsidR="00EA0843" w:rsidRPr="005D2703" w:rsidRDefault="00EA0843" w:rsidP="00484A0D">
      <w:pPr>
        <w:spacing w:line="480" w:lineRule="auto"/>
        <w:ind w:hanging="11"/>
        <w:jc w:val="both"/>
        <w:rPr>
          <w:color w:val="000000"/>
        </w:rPr>
      </w:pPr>
    </w:p>
    <w:p w:rsidR="00EA0843" w:rsidRPr="005D2703" w:rsidRDefault="00EA0843" w:rsidP="00484A0D">
      <w:pPr>
        <w:spacing w:line="480" w:lineRule="auto"/>
        <w:ind w:hanging="11"/>
        <w:jc w:val="both"/>
        <w:rPr>
          <w:color w:val="000000"/>
        </w:rPr>
      </w:pPr>
      <w:proofErr w:type="gramStart"/>
      <w:r w:rsidRPr="005D2703">
        <w:rPr>
          <w:color w:val="000000"/>
        </w:rPr>
        <w:t>the</w:t>
      </w:r>
      <w:proofErr w:type="gramEnd"/>
      <w:r w:rsidRPr="005D2703">
        <w:rPr>
          <w:color w:val="000000"/>
        </w:rPr>
        <w:t xml:space="preserve"> Netherlands: CDA (4); D’66 (1); GL (1); </w:t>
      </w:r>
      <w:proofErr w:type="spellStart"/>
      <w:r w:rsidRPr="005D2703">
        <w:rPr>
          <w:color w:val="000000"/>
        </w:rPr>
        <w:t>PvdA</w:t>
      </w:r>
      <w:proofErr w:type="spellEnd"/>
      <w:r w:rsidRPr="005D2703">
        <w:rPr>
          <w:color w:val="000000"/>
        </w:rPr>
        <w:t xml:space="preserve"> (3); SP (2); VVD (3)</w:t>
      </w:r>
    </w:p>
    <w:p w:rsidR="00EA0843" w:rsidRPr="005D2703" w:rsidRDefault="00EA0843" w:rsidP="00484A0D">
      <w:pPr>
        <w:spacing w:line="480" w:lineRule="auto"/>
        <w:ind w:firstLine="60"/>
        <w:jc w:val="both"/>
        <w:rPr>
          <w:color w:val="000000"/>
        </w:rPr>
      </w:pPr>
    </w:p>
    <w:p w:rsidR="00EA0843" w:rsidRPr="005D2703" w:rsidRDefault="00EA0843" w:rsidP="00484A0D">
      <w:pPr>
        <w:spacing w:line="480" w:lineRule="auto"/>
        <w:ind w:firstLine="60"/>
        <w:jc w:val="both"/>
        <w:rPr>
          <w:color w:val="000000"/>
        </w:rPr>
      </w:pPr>
      <w:proofErr w:type="gramStart"/>
      <w:r w:rsidRPr="005D2703">
        <w:rPr>
          <w:color w:val="000000"/>
        </w:rPr>
        <w:t>and</w:t>
      </w:r>
      <w:proofErr w:type="gramEnd"/>
      <w:r w:rsidRPr="005D2703">
        <w:rPr>
          <w:color w:val="000000"/>
        </w:rPr>
        <w:t xml:space="preserve"> Sweden: V (4); MP (2); SAP</w:t>
      </w:r>
      <w:r w:rsidRPr="005D2703">
        <w:rPr>
          <w:i/>
          <w:color w:val="000000"/>
        </w:rPr>
        <w:t xml:space="preserve"> </w:t>
      </w:r>
      <w:r w:rsidRPr="005D2703">
        <w:rPr>
          <w:color w:val="000000"/>
        </w:rPr>
        <w:t>(4) ; CP (3); FP</w:t>
      </w:r>
      <w:r w:rsidRPr="005D2703">
        <w:rPr>
          <w:i/>
          <w:color w:val="000000"/>
        </w:rPr>
        <w:t xml:space="preserve"> </w:t>
      </w:r>
      <w:r w:rsidRPr="005D2703">
        <w:rPr>
          <w:color w:val="000000"/>
        </w:rPr>
        <w:t>(3); KD and M</w:t>
      </w:r>
      <w:r w:rsidRPr="005D2703">
        <w:rPr>
          <w:i/>
          <w:iCs/>
          <w:color w:val="000000"/>
        </w:rPr>
        <w:t xml:space="preserve"> </w:t>
      </w:r>
      <w:r w:rsidRPr="005D2703">
        <w:rPr>
          <w:color w:val="000000"/>
        </w:rPr>
        <w:t xml:space="preserve">(3). </w:t>
      </w:r>
      <w:r w:rsidRPr="005D2703">
        <w:rPr>
          <w:bCs/>
          <w:color w:val="000000"/>
        </w:rPr>
        <w:t xml:space="preserve"> </w:t>
      </w:r>
    </w:p>
    <w:p w:rsidR="00F12BFF" w:rsidRDefault="00484A0D" w:rsidP="00484A0D">
      <w:pPr>
        <w:spacing w:line="480" w:lineRule="auto"/>
      </w:pPr>
    </w:p>
    <w:p w:rsidR="00484A0D" w:rsidRDefault="00484A0D" w:rsidP="00484A0D">
      <w:pPr>
        <w:pStyle w:val="timesnewroman"/>
        <w:spacing w:after="0" w:line="480" w:lineRule="auto"/>
        <w:jc w:val="both"/>
        <w:rPr>
          <w:rFonts w:ascii="Times New Roman" w:hAnsi="Times New Roman"/>
          <w:sz w:val="24"/>
          <w:szCs w:val="24"/>
        </w:rPr>
      </w:pPr>
      <w:proofErr w:type="spellStart"/>
      <w:r w:rsidRPr="00DE0F9D">
        <w:rPr>
          <w:rFonts w:ascii="Times New Roman" w:hAnsi="Times New Roman"/>
          <w:sz w:val="24"/>
          <w:szCs w:val="24"/>
        </w:rPr>
        <w:lastRenderedPageBreak/>
        <w:t>Biernacki</w:t>
      </w:r>
      <w:proofErr w:type="spellEnd"/>
      <w:r w:rsidRPr="00DE0F9D">
        <w:rPr>
          <w:rFonts w:ascii="Times New Roman" w:hAnsi="Times New Roman"/>
          <w:sz w:val="24"/>
          <w:szCs w:val="24"/>
        </w:rPr>
        <w:t xml:space="preserve">, P. and Waldorf, D (1981) ‘Snowball sampling: problems and techniques of chain referral sampling’, </w:t>
      </w:r>
      <w:r w:rsidRPr="00DE0F9D">
        <w:rPr>
          <w:rFonts w:ascii="Times New Roman" w:hAnsi="Times New Roman"/>
          <w:i/>
          <w:iCs/>
          <w:sz w:val="24"/>
          <w:szCs w:val="24"/>
        </w:rPr>
        <w:t>Sociological Methods and Research</w:t>
      </w:r>
      <w:r w:rsidRPr="00DE0F9D">
        <w:rPr>
          <w:rFonts w:ascii="Times New Roman" w:hAnsi="Times New Roman"/>
          <w:sz w:val="24"/>
          <w:szCs w:val="24"/>
        </w:rPr>
        <w:t xml:space="preserve"> 10(2): 141-163.</w:t>
      </w:r>
    </w:p>
    <w:p w:rsidR="00484A0D" w:rsidRDefault="00484A0D" w:rsidP="00484A0D">
      <w:pPr>
        <w:autoSpaceDE w:val="0"/>
        <w:autoSpaceDN w:val="0"/>
        <w:adjustRightInd w:val="0"/>
        <w:spacing w:line="480" w:lineRule="auto"/>
        <w:jc w:val="both"/>
      </w:pPr>
    </w:p>
    <w:p w:rsidR="00484A0D" w:rsidRPr="00DE0F9D" w:rsidRDefault="00484A0D" w:rsidP="00484A0D">
      <w:pPr>
        <w:autoSpaceDE w:val="0"/>
        <w:autoSpaceDN w:val="0"/>
        <w:adjustRightInd w:val="0"/>
        <w:spacing w:line="480" w:lineRule="auto"/>
        <w:jc w:val="both"/>
      </w:pPr>
      <w:r w:rsidRPr="00DE0F9D">
        <w:t xml:space="preserve">Creswell, J.W and Miller, D.L (2000) ‘Determining validity in qualitative inquiry’, </w:t>
      </w:r>
      <w:r w:rsidRPr="00DE0F9D">
        <w:rPr>
          <w:i/>
        </w:rPr>
        <w:t xml:space="preserve">Theory and Practice </w:t>
      </w:r>
      <w:r w:rsidRPr="00DE0F9D">
        <w:t xml:space="preserve">39(3): 124 -130. </w:t>
      </w:r>
    </w:p>
    <w:p w:rsidR="00484A0D" w:rsidRDefault="00484A0D" w:rsidP="00484A0D">
      <w:pPr>
        <w:spacing w:line="480" w:lineRule="auto"/>
        <w:jc w:val="both"/>
      </w:pPr>
    </w:p>
    <w:p w:rsidR="00484A0D" w:rsidRDefault="00484A0D" w:rsidP="00484A0D">
      <w:pPr>
        <w:spacing w:line="480" w:lineRule="auto"/>
        <w:jc w:val="both"/>
      </w:pPr>
      <w:r w:rsidRPr="00DE0F9D">
        <w:t xml:space="preserve">Devine, F (2002) ‘Qualitative methods’ in Marsh, D and Stoker, G (eds.) </w:t>
      </w:r>
      <w:r w:rsidRPr="00DE0F9D">
        <w:rPr>
          <w:i/>
        </w:rPr>
        <w:t>Theory and methods in political s</w:t>
      </w:r>
      <w:r w:rsidRPr="00DE0F9D">
        <w:t>cience (Basingstoke: Palgrave), 197—230.</w:t>
      </w:r>
    </w:p>
    <w:p w:rsidR="00484A0D" w:rsidRDefault="00484A0D" w:rsidP="00484A0D">
      <w:pPr>
        <w:spacing w:line="480" w:lineRule="auto"/>
        <w:jc w:val="both"/>
      </w:pPr>
    </w:p>
    <w:p w:rsidR="00484A0D" w:rsidRPr="00DE0F9D" w:rsidRDefault="00484A0D" w:rsidP="00484A0D">
      <w:pPr>
        <w:spacing w:line="480" w:lineRule="auto"/>
        <w:jc w:val="both"/>
        <w:rPr>
          <w:b/>
        </w:rPr>
      </w:pPr>
      <w:r w:rsidRPr="00DE0F9D">
        <w:t xml:space="preserve">Oliver, D.G., </w:t>
      </w:r>
      <w:proofErr w:type="spellStart"/>
      <w:r w:rsidRPr="00DE0F9D">
        <w:t>Serovich</w:t>
      </w:r>
      <w:proofErr w:type="spellEnd"/>
      <w:r w:rsidRPr="00DE0F9D">
        <w:t xml:space="preserve">, J.M and Mason, T.L (2005) ‘Constraints and opportunities with interview transcription: towards reflection in qualitative research’, </w:t>
      </w:r>
      <w:r w:rsidRPr="00DE0F9D">
        <w:rPr>
          <w:i/>
        </w:rPr>
        <w:t xml:space="preserve">Social Forces </w:t>
      </w:r>
      <w:r w:rsidRPr="00DE0F9D">
        <w:t xml:space="preserve">84(2): 1273 – 1289. </w:t>
      </w:r>
    </w:p>
    <w:p w:rsidR="00484A0D" w:rsidRDefault="00484A0D" w:rsidP="00484A0D">
      <w:pPr>
        <w:pStyle w:val="Heading1"/>
        <w:spacing w:before="0" w:beforeAutospacing="0" w:after="0" w:afterAutospacing="0" w:line="480" w:lineRule="auto"/>
        <w:jc w:val="both"/>
        <w:rPr>
          <w:b w:val="0"/>
          <w:sz w:val="24"/>
          <w:szCs w:val="24"/>
        </w:rPr>
      </w:pPr>
    </w:p>
    <w:p w:rsidR="00484A0D" w:rsidRPr="00DE0F9D" w:rsidRDefault="00484A0D" w:rsidP="00484A0D">
      <w:pPr>
        <w:pStyle w:val="Heading1"/>
        <w:spacing w:before="0" w:beforeAutospacing="0" w:after="0" w:afterAutospacing="0" w:line="480" w:lineRule="auto"/>
        <w:jc w:val="both"/>
        <w:rPr>
          <w:b w:val="0"/>
          <w:sz w:val="24"/>
          <w:szCs w:val="24"/>
        </w:rPr>
      </w:pPr>
      <w:r w:rsidRPr="00DE0F9D">
        <w:rPr>
          <w:b w:val="0"/>
          <w:sz w:val="24"/>
          <w:szCs w:val="24"/>
        </w:rPr>
        <w:t xml:space="preserve">Patton, M. Q (2002) </w:t>
      </w:r>
      <w:r w:rsidRPr="00DE0F9D">
        <w:rPr>
          <w:b w:val="0"/>
          <w:i/>
          <w:sz w:val="24"/>
          <w:szCs w:val="24"/>
        </w:rPr>
        <w:t>Qualitative research and evaluation methods</w:t>
      </w:r>
      <w:r w:rsidRPr="00DE0F9D">
        <w:rPr>
          <w:b w:val="0"/>
          <w:sz w:val="24"/>
          <w:szCs w:val="24"/>
        </w:rPr>
        <w:t xml:space="preserve"> (London: Sage).</w:t>
      </w:r>
    </w:p>
    <w:p w:rsidR="00484A0D" w:rsidRDefault="00484A0D" w:rsidP="00484A0D">
      <w:pPr>
        <w:spacing w:line="480" w:lineRule="auto"/>
        <w:jc w:val="both"/>
      </w:pPr>
    </w:p>
    <w:p w:rsidR="00484A0D" w:rsidRPr="00DE0F9D" w:rsidRDefault="00484A0D" w:rsidP="00484A0D">
      <w:pPr>
        <w:spacing w:line="480" w:lineRule="auto"/>
        <w:jc w:val="both"/>
      </w:pPr>
      <w:proofErr w:type="spellStart"/>
      <w:r w:rsidRPr="00DE0F9D">
        <w:t>Tashakkori</w:t>
      </w:r>
      <w:proofErr w:type="spellEnd"/>
      <w:r w:rsidRPr="00DE0F9D">
        <w:t xml:space="preserve">, A. and </w:t>
      </w:r>
      <w:proofErr w:type="spellStart"/>
      <w:r w:rsidRPr="00DE0F9D">
        <w:t>Teddile</w:t>
      </w:r>
      <w:proofErr w:type="spellEnd"/>
      <w:r w:rsidRPr="00DE0F9D">
        <w:t xml:space="preserve">, C (1998) </w:t>
      </w:r>
      <w:r w:rsidRPr="00DE0F9D">
        <w:rPr>
          <w:i/>
        </w:rPr>
        <w:t>Mixed methodology: combining qualitative and quantitative approaches</w:t>
      </w:r>
      <w:r w:rsidRPr="00DE0F9D">
        <w:t xml:space="preserve"> (London: Sage). </w:t>
      </w:r>
    </w:p>
    <w:p w:rsidR="00484A0D" w:rsidRDefault="00484A0D" w:rsidP="00484A0D">
      <w:pPr>
        <w:spacing w:line="480" w:lineRule="auto"/>
      </w:pPr>
    </w:p>
    <w:p w:rsidR="00484A0D" w:rsidRDefault="00484A0D" w:rsidP="00484A0D">
      <w:pPr>
        <w:spacing w:line="480" w:lineRule="auto"/>
      </w:pPr>
      <w:bookmarkStart w:id="0" w:name="_GoBack"/>
      <w:bookmarkEnd w:id="0"/>
    </w:p>
    <w:sectPr w:rsidR="00484A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43" w:rsidRDefault="00EA0843" w:rsidP="00EA0843">
      <w:r>
        <w:separator/>
      </w:r>
    </w:p>
  </w:endnote>
  <w:endnote w:type="continuationSeparator" w:id="0">
    <w:p w:rsidR="00EA0843" w:rsidRDefault="00EA0843" w:rsidP="00EA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43" w:rsidRDefault="00EA0843" w:rsidP="00EA0843">
      <w:r>
        <w:separator/>
      </w:r>
    </w:p>
  </w:footnote>
  <w:footnote w:type="continuationSeparator" w:id="0">
    <w:p w:rsidR="00EA0843" w:rsidRDefault="00EA0843" w:rsidP="00EA0843">
      <w:r>
        <w:continuationSeparator/>
      </w:r>
    </w:p>
  </w:footnote>
  <w:footnote w:id="1">
    <w:p w:rsidR="00EA0843" w:rsidRDefault="00EA0843" w:rsidP="00EA0843">
      <w:pPr>
        <w:pStyle w:val="FootnoteText"/>
      </w:pPr>
      <w:r w:rsidRPr="005D2703">
        <w:rPr>
          <w:rStyle w:val="FootnoteReference"/>
        </w:rPr>
        <w:footnoteRef/>
      </w:r>
      <w:r w:rsidRPr="005D2703">
        <w:t xml:space="preserve"> Despite several attempts, the research assistant was not able to carry out any interviews with representatives from CDH.</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43"/>
    <w:rsid w:val="000510A9"/>
    <w:rsid w:val="001B5315"/>
    <w:rsid w:val="00484A0D"/>
    <w:rsid w:val="00EA0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00295-71CE-4DDE-90D3-52FD7ABA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84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4A0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A0843"/>
  </w:style>
  <w:style w:type="paragraph" w:styleId="FootnoteText">
    <w:name w:val="footnote text"/>
    <w:basedOn w:val="Normal"/>
    <w:link w:val="FootnoteTextChar"/>
    <w:rsid w:val="00EA0843"/>
    <w:rPr>
      <w:sz w:val="20"/>
      <w:szCs w:val="20"/>
    </w:rPr>
  </w:style>
  <w:style w:type="character" w:customStyle="1" w:styleId="FootnoteTextChar">
    <w:name w:val="Footnote Text Char"/>
    <w:basedOn w:val="DefaultParagraphFont"/>
    <w:link w:val="FootnoteText"/>
    <w:rsid w:val="00EA0843"/>
    <w:rPr>
      <w:rFonts w:ascii="Times New Roman" w:eastAsia="Times New Roman" w:hAnsi="Times New Roman" w:cs="Times New Roman"/>
      <w:sz w:val="20"/>
      <w:szCs w:val="20"/>
      <w:lang w:eastAsia="en-GB"/>
    </w:rPr>
  </w:style>
  <w:style w:type="character" w:styleId="FootnoteReference">
    <w:name w:val="footnote reference"/>
    <w:rsid w:val="00EA0843"/>
    <w:rPr>
      <w:vertAlign w:val="superscript"/>
    </w:rPr>
  </w:style>
  <w:style w:type="character" w:customStyle="1" w:styleId="Heading1Char">
    <w:name w:val="Heading 1 Char"/>
    <w:basedOn w:val="DefaultParagraphFont"/>
    <w:link w:val="Heading1"/>
    <w:uiPriority w:val="9"/>
    <w:rsid w:val="00484A0D"/>
    <w:rPr>
      <w:rFonts w:ascii="Times New Roman" w:eastAsia="Times New Roman" w:hAnsi="Times New Roman" w:cs="Times New Roman"/>
      <w:b/>
      <w:bCs/>
      <w:kern w:val="36"/>
      <w:sz w:val="48"/>
      <w:szCs w:val="48"/>
      <w:lang w:eastAsia="en-GB"/>
    </w:rPr>
  </w:style>
  <w:style w:type="paragraph" w:customStyle="1" w:styleId="timesnewroman">
    <w:name w:val="times new roman"/>
    <w:basedOn w:val="Normal"/>
    <w:rsid w:val="00484A0D"/>
    <w:pPr>
      <w:suppressAutoHyphens/>
      <w:spacing w:after="200" w:line="276" w:lineRule="auto"/>
    </w:pPr>
    <w:rPr>
      <w:rFonts w:ascii="Calibri" w:eastAsia="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ODMALM Pontus</dc:creator>
  <cp:keywords/>
  <dc:description/>
  <cp:lastModifiedBy>ODMALM Pontus</cp:lastModifiedBy>
  <cp:revision>2</cp:revision>
  <dcterms:created xsi:type="dcterms:W3CDTF">2017-03-01T14:27:00Z</dcterms:created>
  <dcterms:modified xsi:type="dcterms:W3CDTF">2017-03-01T14:46:00Z</dcterms:modified>
</cp:coreProperties>
</file>