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A45" w:rsidRDefault="00507A45" w:rsidP="00507A45">
      <w:pPr>
        <w:rPr>
          <w:rFonts w:ascii="Garamond" w:hAnsi="Garamond"/>
          <w:b/>
          <w:sz w:val="26"/>
          <w:szCs w:val="26"/>
        </w:rPr>
      </w:pPr>
      <w:r w:rsidRPr="00507A45">
        <w:rPr>
          <w:rFonts w:ascii="Garamond" w:hAnsi="Garamond"/>
          <w:b/>
          <w:sz w:val="26"/>
          <w:szCs w:val="26"/>
        </w:rPr>
        <w:t>DATA ARCHIVE RESPONSE</w:t>
      </w:r>
    </w:p>
    <w:p w:rsidR="00507A45" w:rsidRDefault="00507A45" w:rsidP="00507A45">
      <w:pPr>
        <w:rPr>
          <w:rFonts w:ascii="Garamond" w:hAnsi="Garamond"/>
          <w:b/>
          <w:sz w:val="26"/>
          <w:szCs w:val="26"/>
        </w:rPr>
      </w:pPr>
      <w:hyperlink r:id="rId6" w:history="1">
        <w:r w:rsidRPr="00C14E5A">
          <w:rPr>
            <w:rStyle w:val="Hyperlink"/>
            <w:rFonts w:ascii="Garamond" w:hAnsi="Garamond"/>
            <w:b/>
            <w:sz w:val="26"/>
            <w:szCs w:val="26"/>
          </w:rPr>
          <w:t>http://gtr.rcuk.ac.uk/projects?ref=ES/K004883/1</w:t>
        </w:r>
      </w:hyperlink>
    </w:p>
    <w:p w:rsidR="00507A45" w:rsidRPr="00507A45" w:rsidRDefault="00507A45" w:rsidP="00507A45">
      <w:pPr>
        <w:rPr>
          <w:rFonts w:ascii="Garamond" w:hAnsi="Garamond"/>
          <w:b/>
          <w:sz w:val="26"/>
          <w:szCs w:val="26"/>
        </w:rPr>
      </w:pPr>
    </w:p>
    <w:p w:rsidR="00507A45" w:rsidRDefault="00507A45" w:rsidP="00507A45">
      <w:pPr>
        <w:rPr>
          <w:rFonts w:ascii="Garamond" w:hAnsi="Garamond"/>
          <w:sz w:val="26"/>
          <w:szCs w:val="26"/>
        </w:rPr>
      </w:pPr>
      <w:bookmarkStart w:id="0" w:name="_GoBack"/>
      <w:bookmarkEnd w:id="0"/>
    </w:p>
    <w:p w:rsidR="00507A45" w:rsidRPr="00507A45" w:rsidRDefault="00507A45" w:rsidP="00507A45">
      <w:pPr>
        <w:rPr>
          <w:rFonts w:ascii="Garamond" w:hAnsi="Garamond"/>
          <w:sz w:val="26"/>
          <w:szCs w:val="26"/>
        </w:rPr>
      </w:pPr>
      <w:r w:rsidRPr="00507A45">
        <w:rPr>
          <w:rFonts w:ascii="Garamond" w:hAnsi="Garamond"/>
          <w:sz w:val="26"/>
          <w:szCs w:val="26"/>
        </w:rPr>
        <w:t>Research</w:t>
      </w:r>
      <w:r w:rsidRPr="00507A45">
        <w:rPr>
          <w:rFonts w:ascii="Garamond" w:hAnsi="Garamond"/>
          <w:sz w:val="26"/>
          <w:szCs w:val="26"/>
        </w:rPr>
        <w:t xml:space="preserve"> objectives </w:t>
      </w:r>
      <w:r w:rsidRPr="00507A45">
        <w:rPr>
          <w:rFonts w:ascii="Garamond" w:hAnsi="Garamond"/>
          <w:sz w:val="26"/>
          <w:szCs w:val="26"/>
        </w:rPr>
        <w:t>were</w:t>
      </w:r>
      <w:r w:rsidRPr="00507A45">
        <w:rPr>
          <w:rFonts w:ascii="Garamond" w:hAnsi="Garamond"/>
          <w:sz w:val="26"/>
          <w:szCs w:val="26"/>
        </w:rPr>
        <w:t xml:space="preserve"> tackled though the following AIMS of our empirical work: </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Data was collected to meet the empirical objectives of the research:</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 xml:space="preserve">1. To conduct key stakeholder interviews with representatives of disabled people's organisations; disability lawyers; policy makers; campaign groups to assess their perspectives on the Big Society and civil society for disabled people; </w:t>
      </w:r>
    </w:p>
    <w:p w:rsidR="00507A45" w:rsidRPr="00507A45" w:rsidRDefault="00507A45" w:rsidP="00507A45">
      <w:pPr>
        <w:rPr>
          <w:rFonts w:ascii="Garamond" w:hAnsi="Garamond"/>
          <w:sz w:val="26"/>
          <w:szCs w:val="26"/>
        </w:rPr>
      </w:pPr>
      <w:r w:rsidRPr="00507A45">
        <w:rPr>
          <w:rFonts w:ascii="Garamond" w:hAnsi="Garamond"/>
          <w:sz w:val="26"/>
          <w:szCs w:val="26"/>
        </w:rPr>
        <w:t>2. To implement a literature review and a longitudinal documentary analysis of coalition government policy and legislation related to learning disabilities and disability with particular emphasis on the Big Society agenda and the work of the Office for Civil Society</w:t>
      </w:r>
      <w:proofErr w:type="gramStart"/>
      <w:r w:rsidRPr="00507A45">
        <w:rPr>
          <w:rFonts w:ascii="Garamond" w:hAnsi="Garamond"/>
          <w:sz w:val="26"/>
          <w:szCs w:val="26"/>
        </w:rPr>
        <w:t>;</w:t>
      </w:r>
      <w:proofErr w:type="gramEnd"/>
      <w:r w:rsidRPr="00507A45">
        <w:rPr>
          <w:rFonts w:ascii="Garamond" w:hAnsi="Garamond"/>
          <w:sz w:val="26"/>
          <w:szCs w:val="26"/>
        </w:rPr>
        <w:t xml:space="preserve"> </w:t>
      </w:r>
    </w:p>
    <w:p w:rsidR="00507A45" w:rsidRPr="00507A45" w:rsidRDefault="00507A45" w:rsidP="00507A45">
      <w:pPr>
        <w:rPr>
          <w:rFonts w:ascii="Garamond" w:hAnsi="Garamond"/>
          <w:sz w:val="26"/>
          <w:szCs w:val="26"/>
        </w:rPr>
      </w:pPr>
      <w:r w:rsidRPr="00507A45">
        <w:rPr>
          <w:rFonts w:ascii="Garamond" w:hAnsi="Garamond"/>
          <w:sz w:val="26"/>
          <w:szCs w:val="26"/>
        </w:rPr>
        <w:t xml:space="preserve">3. To conduct an ethnographic case study of three civil society partners' practices including Circles of Support; Real Employment and Speak up Self-advocacy. </w:t>
      </w:r>
    </w:p>
    <w:p w:rsidR="00507A45" w:rsidRPr="00507A45" w:rsidRDefault="00507A45" w:rsidP="00507A45">
      <w:pPr>
        <w:rPr>
          <w:rFonts w:ascii="Garamond" w:hAnsi="Garamond"/>
          <w:sz w:val="26"/>
          <w:szCs w:val="26"/>
        </w:rPr>
      </w:pPr>
      <w:r w:rsidRPr="00507A45">
        <w:rPr>
          <w:rFonts w:ascii="Garamond" w:hAnsi="Garamond"/>
          <w:sz w:val="26"/>
          <w:szCs w:val="26"/>
        </w:rPr>
        <w:t xml:space="preserve">4. As part of the ethnography, to work with our civil society partners as co-researchers, drawing on their expertise and experience to capture their civil society practices in the context of the Big Society </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Following ongoing checking of informed consent, dialogue and consistent meetings with co-researchers with intellectual disabilities and civil society partners they sanctioned limited data to be deposited. This fits with:</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1. The original ethical plans of the ESRC bid</w:t>
      </w:r>
    </w:p>
    <w:p w:rsidR="00794F2F" w:rsidRPr="00507A45" w:rsidRDefault="00507A45" w:rsidP="00507A45">
      <w:pPr>
        <w:rPr>
          <w:rFonts w:ascii="Garamond" w:hAnsi="Garamond"/>
          <w:sz w:val="26"/>
          <w:szCs w:val="26"/>
        </w:rPr>
      </w:pPr>
      <w:r w:rsidRPr="00507A45">
        <w:rPr>
          <w:rFonts w:ascii="Garamond" w:hAnsi="Garamond"/>
          <w:sz w:val="26"/>
          <w:szCs w:val="26"/>
        </w:rPr>
        <w:t>2. Agreement (or not) to share their data with the Data archive as detailed in the information sheet and consent forms shared with co-researchers and civil society partners.</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Participants and co-researchers decided against depositing their data for three main reasons:</w:t>
      </w:r>
    </w:p>
    <w:p w:rsidR="00507A45" w:rsidRPr="00507A45" w:rsidRDefault="00507A45" w:rsidP="00507A45">
      <w:pPr>
        <w:rPr>
          <w:rFonts w:ascii="Garamond" w:hAnsi="Garamond"/>
          <w:sz w:val="26"/>
          <w:szCs w:val="26"/>
        </w:rPr>
      </w:pPr>
    </w:p>
    <w:p w:rsidR="00507A45" w:rsidRPr="00507A45" w:rsidRDefault="00507A45" w:rsidP="00507A45">
      <w:pPr>
        <w:pStyle w:val="ListParagraph"/>
        <w:numPr>
          <w:ilvl w:val="0"/>
          <w:numId w:val="1"/>
        </w:numPr>
        <w:rPr>
          <w:rFonts w:ascii="Garamond" w:hAnsi="Garamond"/>
          <w:sz w:val="26"/>
          <w:szCs w:val="26"/>
        </w:rPr>
      </w:pPr>
      <w:r w:rsidRPr="00507A45">
        <w:rPr>
          <w:rFonts w:ascii="Garamond" w:hAnsi="Garamond"/>
          <w:sz w:val="26"/>
          <w:szCs w:val="26"/>
        </w:rPr>
        <w:t>Adding to the stigma associated with people with intellectual disabilities being an over-researched population of the population that might arise as a consequence of other researchers using the data archive;</w:t>
      </w:r>
    </w:p>
    <w:p w:rsidR="00507A45" w:rsidRPr="00507A45" w:rsidRDefault="00507A45" w:rsidP="00507A45">
      <w:pPr>
        <w:pStyle w:val="ListParagraph"/>
        <w:numPr>
          <w:ilvl w:val="0"/>
          <w:numId w:val="1"/>
        </w:numPr>
        <w:rPr>
          <w:rFonts w:ascii="Garamond" w:hAnsi="Garamond"/>
          <w:sz w:val="26"/>
          <w:szCs w:val="26"/>
        </w:rPr>
      </w:pPr>
      <w:r w:rsidRPr="00507A45">
        <w:rPr>
          <w:rFonts w:ascii="Garamond" w:hAnsi="Garamond"/>
          <w:sz w:val="26"/>
          <w:szCs w:val="26"/>
        </w:rPr>
        <w:t>Concerns about anonymity in relation to the data at a time when many people with intellectual disabilities were feeling anxious about their social position in a time of austerity;</w:t>
      </w:r>
    </w:p>
    <w:p w:rsidR="00507A45" w:rsidRPr="00507A45" w:rsidRDefault="00507A45" w:rsidP="00507A45">
      <w:pPr>
        <w:pStyle w:val="ListParagraph"/>
        <w:numPr>
          <w:ilvl w:val="0"/>
          <w:numId w:val="1"/>
        </w:numPr>
        <w:rPr>
          <w:rFonts w:ascii="Garamond" w:hAnsi="Garamond"/>
          <w:sz w:val="26"/>
          <w:szCs w:val="26"/>
        </w:rPr>
      </w:pPr>
      <w:r w:rsidRPr="00507A45">
        <w:rPr>
          <w:rFonts w:ascii="Garamond" w:hAnsi="Garamond"/>
          <w:sz w:val="26"/>
          <w:szCs w:val="26"/>
        </w:rPr>
        <w:t>Concerns from civil society partners that their words might be misconstrued at a time when many of their organisations were facing risky futures in a time of austerity.</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Rather than making their data available, the co-researchers, civil society partners and participants were more comfortable with the following outputs being shared with other researchers:</w:t>
      </w:r>
    </w:p>
    <w:p w:rsidR="00507A45" w:rsidRPr="00507A45" w:rsidRDefault="00507A45" w:rsidP="00507A45">
      <w:pPr>
        <w:rPr>
          <w:rFonts w:ascii="Garamond" w:hAnsi="Garamond"/>
          <w:sz w:val="26"/>
          <w:szCs w:val="26"/>
        </w:rPr>
      </w:pPr>
    </w:p>
    <w:p w:rsidR="00507A45" w:rsidRPr="00507A45" w:rsidRDefault="00507A45" w:rsidP="00507A45">
      <w:pPr>
        <w:ind w:left="720"/>
        <w:rPr>
          <w:rFonts w:ascii="Garamond" w:hAnsi="Garamond"/>
          <w:sz w:val="26"/>
          <w:szCs w:val="26"/>
        </w:rPr>
      </w:pPr>
      <w:r w:rsidRPr="00507A45">
        <w:rPr>
          <w:rFonts w:ascii="Garamond" w:hAnsi="Garamond"/>
          <w:sz w:val="26"/>
          <w:szCs w:val="26"/>
        </w:rPr>
        <w:t>https://bigsocietydis.wordpress.com/briefing-cards-findings-summaries-to-download-and-print/</w:t>
      </w:r>
    </w:p>
    <w:p w:rsidR="00507A45" w:rsidRPr="00507A45" w:rsidRDefault="00507A45" w:rsidP="00507A45">
      <w:pPr>
        <w:rPr>
          <w:rFonts w:ascii="Garamond" w:hAnsi="Garamond"/>
          <w:sz w:val="26"/>
          <w:szCs w:val="26"/>
        </w:rPr>
      </w:pPr>
    </w:p>
    <w:p w:rsidR="00507A45" w:rsidRPr="00507A45" w:rsidRDefault="00507A45" w:rsidP="00507A45">
      <w:pPr>
        <w:rPr>
          <w:rFonts w:ascii="Garamond" w:hAnsi="Garamond"/>
          <w:sz w:val="26"/>
          <w:szCs w:val="26"/>
        </w:rPr>
      </w:pPr>
      <w:r w:rsidRPr="00507A45">
        <w:rPr>
          <w:rFonts w:ascii="Garamond" w:hAnsi="Garamond"/>
          <w:sz w:val="26"/>
          <w:szCs w:val="26"/>
        </w:rPr>
        <w:t>Many of these documents were produced together with academic researchers.</w:t>
      </w:r>
    </w:p>
    <w:p w:rsidR="00507A45" w:rsidRPr="00507A45" w:rsidRDefault="00507A45" w:rsidP="00507A45">
      <w:pPr>
        <w:ind w:left="360"/>
        <w:rPr>
          <w:rFonts w:ascii="Garamond" w:hAnsi="Garamond"/>
          <w:sz w:val="26"/>
          <w:szCs w:val="26"/>
        </w:rPr>
      </w:pPr>
    </w:p>
    <w:sectPr w:rsidR="00507A45" w:rsidRPr="00507A45" w:rsidSect="003E5AA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A681F"/>
    <w:multiLevelType w:val="hybridMultilevel"/>
    <w:tmpl w:val="FB8A9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45"/>
    <w:rsid w:val="003E5AA3"/>
    <w:rsid w:val="00507A45"/>
    <w:rsid w:val="00794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0333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A45"/>
    <w:pPr>
      <w:ind w:left="720"/>
      <w:contextualSpacing/>
    </w:pPr>
  </w:style>
  <w:style w:type="character" w:styleId="Hyperlink">
    <w:name w:val="Hyperlink"/>
    <w:basedOn w:val="DefaultParagraphFont"/>
    <w:uiPriority w:val="99"/>
    <w:unhideWhenUsed/>
    <w:rsid w:val="00507A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A45"/>
    <w:pPr>
      <w:ind w:left="720"/>
      <w:contextualSpacing/>
    </w:pPr>
  </w:style>
  <w:style w:type="character" w:styleId="Hyperlink">
    <w:name w:val="Hyperlink"/>
    <w:basedOn w:val="DefaultParagraphFont"/>
    <w:uiPriority w:val="99"/>
    <w:unhideWhenUsed/>
    <w:rsid w:val="00507A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tr.rcuk.ac.uk/projects?ref=ES/K004883/1"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2227</Characters>
  <Application>Microsoft Macintosh Word</Application>
  <DocSecurity>0</DocSecurity>
  <Lines>18</Lines>
  <Paragraphs>5</Paragraphs>
  <ScaleCrop>false</ScaleCrop>
  <Company>TUOS</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of Education DES</dc:creator>
  <cp:keywords/>
  <dc:description/>
  <cp:lastModifiedBy>School of Education DES</cp:lastModifiedBy>
  <cp:revision>1</cp:revision>
  <dcterms:created xsi:type="dcterms:W3CDTF">2015-11-26T14:50:00Z</dcterms:created>
  <dcterms:modified xsi:type="dcterms:W3CDTF">2015-11-26T14:57:00Z</dcterms:modified>
</cp:coreProperties>
</file>