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F141B" w14:textId="71AB6235" w:rsidR="00B43CCE" w:rsidRPr="00B43CCE" w:rsidRDefault="00B43CCE" w:rsidP="00B43CCE">
      <w:pPr>
        <w:jc w:val="center"/>
        <w:rPr>
          <w:b/>
        </w:rPr>
      </w:pPr>
      <w:bookmarkStart w:id="0" w:name="_GoBack"/>
      <w:bookmarkEnd w:id="0"/>
      <w:r w:rsidRPr="00B43CCE">
        <w:rPr>
          <w:b/>
        </w:rPr>
        <w:t>Metadata for Tacit collusion in EC mergers</w:t>
      </w:r>
      <w:r>
        <w:rPr>
          <w:rStyle w:val="FootnoteReference"/>
          <w:b/>
        </w:rPr>
        <w:footnoteReference w:id="1"/>
      </w:r>
    </w:p>
    <w:p w14:paraId="202343BA" w14:textId="77777777" w:rsidR="00B43CCE" w:rsidRPr="00B43CCE" w:rsidRDefault="00B43CCE">
      <w:pPr>
        <w:rPr>
          <w:b/>
        </w:rPr>
      </w:pPr>
    </w:p>
    <w:p w14:paraId="56B53DCA" w14:textId="1CB191B2" w:rsidR="00CC2F25" w:rsidRDefault="00B43CCE">
      <w:r>
        <w:t xml:space="preserve">Sheet 1: </w:t>
      </w:r>
      <w:r w:rsidRPr="00B43CCE">
        <w:rPr>
          <w:i/>
        </w:rPr>
        <w:t>94 mergers</w:t>
      </w:r>
      <w:r>
        <w:t xml:space="preserve"> </w:t>
      </w:r>
      <w:r w:rsidR="00E36DAA">
        <w:t xml:space="preserve"> </w:t>
      </w:r>
    </w:p>
    <w:p w14:paraId="0210611A" w14:textId="77777777" w:rsidR="00E36DAA" w:rsidRDefault="00E36DAA"/>
    <w:p w14:paraId="4969D971" w14:textId="024A6779" w:rsidR="00E36DAA" w:rsidRDefault="00E36DAA" w:rsidP="00B43CCE">
      <w:pPr>
        <w:jc w:val="both"/>
      </w:pPr>
      <w:r>
        <w:t>Lists 94 mergers from all examined by the European Commission</w:t>
      </w:r>
      <w:r w:rsidR="00B43CCE">
        <w:t xml:space="preserve"> (EC)</w:t>
      </w:r>
      <w:r>
        <w:t xml:space="preserve"> between</w:t>
      </w:r>
      <w:r w:rsidR="00B43CCE">
        <w:t xml:space="preserve"> </w:t>
      </w:r>
      <w:r>
        <w:t>1990 and the revision to the EC</w:t>
      </w:r>
      <w:r w:rsidR="00B43CCE">
        <w:t xml:space="preserve"> merger regulation in 2004 i</w:t>
      </w:r>
      <w:r>
        <w:t xml:space="preserve">n which one of the following phrases was used at least once in the merger report: joint dominance, collective dominance, (tacit) collusion, oligopolistic dominance. </w:t>
      </w:r>
    </w:p>
    <w:p w14:paraId="7CC7AA54" w14:textId="77777777" w:rsidR="00E36DAA" w:rsidRDefault="00E36DAA"/>
    <w:p w14:paraId="179849DB" w14:textId="1D0EAA50" w:rsidR="00E36DAA" w:rsidRDefault="00E36DAA" w:rsidP="00B43CCE">
      <w:pPr>
        <w:jc w:val="both"/>
        <w:rPr>
          <w:rFonts w:asciiTheme="majorHAnsi" w:eastAsia="Times New Roman" w:hAnsiTheme="majorHAnsi" w:cs="Arial"/>
        </w:rPr>
      </w:pPr>
      <w:r>
        <w:t>Note that</w:t>
      </w:r>
      <w:r w:rsidR="00B43CCE">
        <w:t xml:space="preserve"> M.2389 – SHELL/DEA – 29.12.2001 and M.2533 – BP/E.ON – 20.12.2001 </w:t>
      </w:r>
      <w:r w:rsidR="00B43CCE">
        <w:rPr>
          <w:rFonts w:asciiTheme="majorHAnsi" w:eastAsia="Times New Roman" w:hAnsiTheme="majorHAnsi" w:cs="Arial"/>
        </w:rPr>
        <w:t xml:space="preserve">are treated as a single case as they were covered by the same investigation. </w:t>
      </w:r>
    </w:p>
    <w:p w14:paraId="56A87AC7" w14:textId="77777777" w:rsidR="00B43CCE" w:rsidRDefault="00B43CCE" w:rsidP="00E36DAA">
      <w:pPr>
        <w:rPr>
          <w:rFonts w:ascii="Arial" w:eastAsia="Times New Roman" w:hAnsi="Arial" w:cs="Arial"/>
          <w:color w:val="0000D4"/>
          <w:sz w:val="20"/>
          <w:szCs w:val="20"/>
          <w:u w:val="single"/>
        </w:rPr>
      </w:pPr>
    </w:p>
    <w:p w14:paraId="7C870C6A" w14:textId="01AEC860" w:rsidR="00B43CCE" w:rsidRDefault="00E36DAA" w:rsidP="00B43CCE">
      <w:pPr>
        <w:widowControl w:val="0"/>
        <w:tabs>
          <w:tab w:val="left" w:pos="220"/>
          <w:tab w:val="left" w:pos="720"/>
        </w:tabs>
        <w:autoSpaceDE w:val="0"/>
        <w:autoSpaceDN w:val="0"/>
        <w:adjustRightInd w:val="0"/>
        <w:spacing w:after="240"/>
        <w:jc w:val="both"/>
        <w:rPr>
          <w:rFonts w:cs="Times"/>
          <w:lang w:val="en-US"/>
        </w:rPr>
      </w:pPr>
      <w:r w:rsidRPr="00B43CCE">
        <w:t xml:space="preserve">Subsequent sheets focus on the 62 </w:t>
      </w:r>
      <w:r w:rsidRPr="00B43CCE">
        <w:rPr>
          <w:rFonts w:cs="Times"/>
          <w:lang w:val="en-US"/>
        </w:rPr>
        <w:t xml:space="preserve">of these 94 mergers for each of which the text of the Commission's report includes a non-trivial discussion of the possibility that the merger might lead to collective dominance in at least one market. </w:t>
      </w:r>
    </w:p>
    <w:p w14:paraId="20A4EB59" w14:textId="77777777" w:rsidR="00B43CCE" w:rsidRDefault="00B43CCE">
      <w:pPr>
        <w:rPr>
          <w:rFonts w:cs="Times"/>
          <w:lang w:val="en-US"/>
        </w:rPr>
      </w:pPr>
    </w:p>
    <w:p w14:paraId="295B5AF7" w14:textId="5EB5DB66" w:rsidR="00E36DAA" w:rsidRDefault="00B43CCE">
      <w:r>
        <w:t>S</w:t>
      </w:r>
      <w:r w:rsidR="00E36DAA">
        <w:t>heet</w:t>
      </w:r>
      <w:r>
        <w:t xml:space="preserve"> 2: </w:t>
      </w:r>
      <w:r w:rsidR="00E36DAA" w:rsidRPr="00B43CCE">
        <w:rPr>
          <w:i/>
        </w:rPr>
        <w:t>main 62 mergers (386mkts)</w:t>
      </w:r>
      <w:r w:rsidR="00E36DAA">
        <w:t xml:space="preserve"> </w:t>
      </w:r>
    </w:p>
    <w:p w14:paraId="0EB361E1" w14:textId="77777777" w:rsidR="00B43CCE" w:rsidRDefault="00B43CCE"/>
    <w:p w14:paraId="30BD91BE" w14:textId="271D0DBE" w:rsidR="0027493C" w:rsidRDefault="00E36DAA" w:rsidP="00B43CCE">
      <w:pPr>
        <w:jc w:val="both"/>
      </w:pPr>
      <w:r>
        <w:t xml:space="preserve">These 62 mergers </w:t>
      </w:r>
      <w:r w:rsidR="0027493C">
        <w:t xml:space="preserve">(listed in column B) </w:t>
      </w:r>
      <w:r>
        <w:t>cover 386 individual markets</w:t>
      </w:r>
      <w:r w:rsidR="0027493C">
        <w:t xml:space="preserve"> (product and geographic market defined in</w:t>
      </w:r>
      <w:r w:rsidR="00B43CCE">
        <w:t xml:space="preserve"> columns I and J) each numbered</w:t>
      </w:r>
      <w:r>
        <w:t xml:space="preserve"> with an indicator in column A</w:t>
      </w:r>
      <w:r w:rsidR="0027493C">
        <w:t xml:space="preserve"> and ea</w:t>
      </w:r>
      <w:r w:rsidR="00B43CCE">
        <w:t xml:space="preserve">ch merger by an indicator </w:t>
      </w:r>
      <w:r w:rsidR="0027493C">
        <w:t>in column D</w:t>
      </w:r>
      <w:r>
        <w:t>.</w:t>
      </w:r>
    </w:p>
    <w:p w14:paraId="03910F57" w14:textId="77777777" w:rsidR="0027493C" w:rsidRDefault="0027493C"/>
    <w:p w14:paraId="5B586856" w14:textId="28FD3940" w:rsidR="0027493C" w:rsidRDefault="0027493C" w:rsidP="00B43CCE">
      <w:pPr>
        <w:jc w:val="both"/>
      </w:pPr>
      <w:r>
        <w:t>Merger type in column F detail whether the decision was in phase 1 or 2 an</w:t>
      </w:r>
      <w:r w:rsidR="00B43CCE">
        <w:t xml:space="preserve">d whether remedies were imposed. </w:t>
      </w:r>
      <w:r>
        <w:t xml:space="preserve">Phase in column G then lists whether or the case was decided in phase 1 or 2. </w:t>
      </w:r>
    </w:p>
    <w:p w14:paraId="69A77F62" w14:textId="77777777" w:rsidR="0027493C" w:rsidRDefault="0027493C"/>
    <w:p w14:paraId="59CED221" w14:textId="7C854D75" w:rsidR="0027493C" w:rsidRDefault="00B43CCE" w:rsidP="002F78B4">
      <w:pPr>
        <w:jc w:val="both"/>
      </w:pPr>
      <w:proofErr w:type="spellStart"/>
      <w:r>
        <w:t>Indlet</w:t>
      </w:r>
      <w:proofErr w:type="spellEnd"/>
      <w:r>
        <w:t xml:space="preserve"> provides the </w:t>
      </w:r>
      <w:r w:rsidR="002F78B4">
        <w:t xml:space="preserve">letter from the NACE code identifying the sector in which the merging parties operate. </w:t>
      </w:r>
    </w:p>
    <w:p w14:paraId="6E601BAB" w14:textId="77777777" w:rsidR="0027493C" w:rsidRDefault="0027493C"/>
    <w:p w14:paraId="78126D99" w14:textId="77777777" w:rsidR="00DB40D0" w:rsidRDefault="0027493C" w:rsidP="002F78B4">
      <w:pPr>
        <w:jc w:val="both"/>
      </w:pPr>
      <w:r>
        <w:t xml:space="preserve">Where available me1ms and me2ms in columns K and L provide the </w:t>
      </w:r>
      <w:r w:rsidR="00DB40D0">
        <w:t xml:space="preserve">separate </w:t>
      </w:r>
      <w:r>
        <w:t xml:space="preserve">market shares of the </w:t>
      </w:r>
      <w:r w:rsidR="00DB40D0">
        <w:t>two merging firms (as a %).</w:t>
      </w:r>
    </w:p>
    <w:p w14:paraId="760377CC" w14:textId="77777777" w:rsidR="00DB40D0" w:rsidRDefault="00DB40D0"/>
    <w:p w14:paraId="43E186CF" w14:textId="08620267" w:rsidR="00DB40D0" w:rsidRDefault="00DB40D0" w:rsidP="002F78B4">
      <w:pPr>
        <w:jc w:val="both"/>
      </w:pPr>
      <w:r>
        <w:t>Post s1, post s2</w:t>
      </w:r>
      <w:proofErr w:type="gramStart"/>
      <w:r w:rsidR="002F78B4">
        <w:t xml:space="preserve">, </w:t>
      </w:r>
      <w:r>
        <w:t>……….</w:t>
      </w:r>
      <w:r w:rsidR="002F78B4">
        <w:t>,</w:t>
      </w:r>
      <w:proofErr w:type="gramEnd"/>
      <w:r w:rsidR="002F78B4">
        <w:t xml:space="preserve"> </w:t>
      </w:r>
      <w:r>
        <w:t xml:space="preserve">post s5 are the post merger market shares of the first, second,……., fifth largest firms. HHI in column R is then the </w:t>
      </w:r>
      <w:proofErr w:type="spellStart"/>
      <w:r>
        <w:t>Herfindahl</w:t>
      </w:r>
      <w:proofErr w:type="spellEnd"/>
      <w:r>
        <w:t xml:space="preserve"> index calculated using these market shares. </w:t>
      </w:r>
    </w:p>
    <w:p w14:paraId="3DFD9009" w14:textId="77777777" w:rsidR="00DB40D0" w:rsidRDefault="00DB40D0"/>
    <w:p w14:paraId="438B8522" w14:textId="12891A80" w:rsidR="00DB40D0" w:rsidRDefault="00DB40D0" w:rsidP="002F78B4">
      <w:pPr>
        <w:jc w:val="both"/>
      </w:pPr>
      <w:r>
        <w:t xml:space="preserve">Decision in column S indicates the </w:t>
      </w:r>
      <w:r w:rsidR="002F78B4">
        <w:t>EC’s decision in the market: 0=n</w:t>
      </w:r>
      <w:r>
        <w:t>on-intervention, 1=single dominance and 2=collective dominance. In column T a 1 indicates that the collective dominance decision was based on structural links (s</w:t>
      </w:r>
      <w:r w:rsidR="002F78B4">
        <w:t>ee Davies et al., 2010</w:t>
      </w:r>
      <w:r>
        <w:t xml:space="preserve">). </w:t>
      </w:r>
    </w:p>
    <w:p w14:paraId="5D7B54E8" w14:textId="77777777" w:rsidR="00DB40D0" w:rsidRDefault="00DB40D0"/>
    <w:p w14:paraId="5F75209F" w14:textId="77777777" w:rsidR="00DB40D0" w:rsidRDefault="00DB40D0">
      <w:r>
        <w:t xml:space="preserve">Sum is post merger s1 + post merger s2 (column N + column M) and ratio is post merger s2/post merger s1 (column N/column M). </w:t>
      </w:r>
    </w:p>
    <w:p w14:paraId="2B715386" w14:textId="77777777" w:rsidR="00DB40D0" w:rsidRDefault="00DB40D0"/>
    <w:p w14:paraId="359DF467" w14:textId="62B872CA" w:rsidR="00DB40D0" w:rsidRPr="002F78B4" w:rsidRDefault="00C158DC" w:rsidP="002F78B4">
      <w:pPr>
        <w:widowControl w:val="0"/>
        <w:autoSpaceDE w:val="0"/>
        <w:autoSpaceDN w:val="0"/>
        <w:adjustRightInd w:val="0"/>
        <w:spacing w:after="240"/>
        <w:jc w:val="both"/>
        <w:rPr>
          <w:rFonts w:cs="Times"/>
          <w:lang w:val="en-US"/>
        </w:rPr>
      </w:pPr>
      <w:r w:rsidRPr="002F78B4">
        <w:t>Big5</w:t>
      </w:r>
      <w:r w:rsidR="00DB40D0" w:rsidRPr="002F78B4">
        <w:t>EU</w:t>
      </w:r>
      <w:r w:rsidR="002F78B4" w:rsidRPr="002F78B4">
        <w:t xml:space="preserve">: </w:t>
      </w:r>
      <w:r w:rsidR="002F78B4" w:rsidRPr="002F78B4">
        <w:rPr>
          <w:rFonts w:cs="Times"/>
          <w:lang w:val="en-US"/>
        </w:rPr>
        <w:t xml:space="preserve">a dummy variable taking the value of 1 if at least one of the merging parties is based in one of the five largest member states . </w:t>
      </w:r>
    </w:p>
    <w:p w14:paraId="4CBCDB94" w14:textId="52A7A470" w:rsidR="002F78B4" w:rsidRPr="002F78B4" w:rsidRDefault="002F78B4" w:rsidP="002F78B4">
      <w:pPr>
        <w:widowControl w:val="0"/>
        <w:autoSpaceDE w:val="0"/>
        <w:autoSpaceDN w:val="0"/>
        <w:adjustRightInd w:val="0"/>
        <w:spacing w:after="240"/>
        <w:jc w:val="both"/>
        <w:rPr>
          <w:rFonts w:cs="Times"/>
          <w:lang w:val="en-US"/>
        </w:rPr>
      </w:pPr>
      <w:proofErr w:type="gramStart"/>
      <w:r w:rsidRPr="002F78B4">
        <w:t>us</w:t>
      </w:r>
      <w:proofErr w:type="gramEnd"/>
      <w:r w:rsidRPr="002F78B4">
        <w:t xml:space="preserve">: </w:t>
      </w:r>
      <w:r w:rsidRPr="002F78B4">
        <w:rPr>
          <w:rFonts w:cs="Times"/>
          <w:lang w:val="en-US"/>
        </w:rPr>
        <w:t>a dummy variable taking the value of 1 if at least one of the merging parties is based in the US.</w:t>
      </w:r>
    </w:p>
    <w:p w14:paraId="67B959F4" w14:textId="65ADABE0" w:rsidR="002F78B4" w:rsidRPr="002F78B4" w:rsidRDefault="00C158DC" w:rsidP="002F78B4">
      <w:pPr>
        <w:widowControl w:val="0"/>
        <w:autoSpaceDE w:val="0"/>
        <w:autoSpaceDN w:val="0"/>
        <w:adjustRightInd w:val="0"/>
        <w:spacing w:after="240"/>
        <w:jc w:val="both"/>
        <w:rPr>
          <w:rFonts w:cs="Times"/>
          <w:lang w:val="en-US"/>
        </w:rPr>
      </w:pPr>
      <w:proofErr w:type="spellStart"/>
      <w:proofErr w:type="gramStart"/>
      <w:r w:rsidRPr="002F78B4">
        <w:t>m</w:t>
      </w:r>
      <w:r w:rsidR="00DB40D0" w:rsidRPr="002F78B4">
        <w:t>onti</w:t>
      </w:r>
      <w:proofErr w:type="spellEnd"/>
      <w:proofErr w:type="gramEnd"/>
      <w:r w:rsidR="002F78B4" w:rsidRPr="002F78B4">
        <w:t xml:space="preserve">: </w:t>
      </w:r>
      <w:r w:rsidR="002F78B4" w:rsidRPr="002F78B4">
        <w:rPr>
          <w:rFonts w:cs="Times"/>
          <w:lang w:val="en-US"/>
        </w:rPr>
        <w:t xml:space="preserve">a dummy variable taking the value of 1 for decisions taken after September 15 1999 (i.e. for decisions taken under </w:t>
      </w:r>
      <w:proofErr w:type="spellStart"/>
      <w:r w:rsidR="002F78B4" w:rsidRPr="002F78B4">
        <w:rPr>
          <w:rFonts w:cs="Times"/>
          <w:lang w:val="en-US"/>
        </w:rPr>
        <w:t>Commis</w:t>
      </w:r>
      <w:proofErr w:type="spellEnd"/>
      <w:r w:rsidR="002F78B4" w:rsidRPr="002F78B4">
        <w:rPr>
          <w:rFonts w:cs="Times"/>
          <w:lang w:val="en-US"/>
        </w:rPr>
        <w:t xml:space="preserve">- </w:t>
      </w:r>
      <w:proofErr w:type="spellStart"/>
      <w:r w:rsidR="002F78B4" w:rsidRPr="002F78B4">
        <w:rPr>
          <w:rFonts w:cs="Times"/>
          <w:lang w:val="en-US"/>
        </w:rPr>
        <w:t>sioner</w:t>
      </w:r>
      <w:proofErr w:type="spellEnd"/>
      <w:r w:rsidR="002F78B4" w:rsidRPr="002F78B4">
        <w:rPr>
          <w:rFonts w:cs="Times"/>
          <w:lang w:val="en-US"/>
        </w:rPr>
        <w:t xml:space="preserve"> Monti).</w:t>
      </w:r>
    </w:p>
    <w:p w14:paraId="667ECFA0" w14:textId="47782893" w:rsidR="00DB40D0" w:rsidRPr="002F78B4" w:rsidRDefault="00DB40D0" w:rsidP="002F78B4">
      <w:pPr>
        <w:jc w:val="both"/>
      </w:pPr>
    </w:p>
    <w:p w14:paraId="192696F8" w14:textId="10069BDA" w:rsidR="002F78B4" w:rsidRPr="002F78B4" w:rsidRDefault="00C158DC" w:rsidP="002F78B4">
      <w:pPr>
        <w:jc w:val="both"/>
      </w:pPr>
      <w:proofErr w:type="gramStart"/>
      <w:r w:rsidRPr="002F78B4">
        <w:t>a</w:t>
      </w:r>
      <w:r w:rsidR="002F78B4" w:rsidRPr="002F78B4">
        <w:t>ppeal</w:t>
      </w:r>
      <w:proofErr w:type="gramEnd"/>
      <w:r w:rsidR="002F78B4" w:rsidRPr="002F78B4">
        <w:t xml:space="preserve">: </w:t>
      </w:r>
      <w:r w:rsidRPr="002F78B4">
        <w:t xml:space="preserve"> </w:t>
      </w:r>
      <w:r w:rsidR="002F78B4" w:rsidRPr="002F78B4">
        <w:t xml:space="preserve">a dummy variable taking the value of 1 if the merger decision was appealed.  </w:t>
      </w:r>
    </w:p>
    <w:p w14:paraId="57A5E712" w14:textId="77777777" w:rsidR="002F78B4" w:rsidRPr="002F78B4" w:rsidRDefault="002F78B4" w:rsidP="002F78B4">
      <w:pPr>
        <w:jc w:val="both"/>
      </w:pPr>
    </w:p>
    <w:p w14:paraId="7A788A2E" w14:textId="5256C418" w:rsidR="00DB40D0" w:rsidRPr="002F78B4" w:rsidRDefault="00C158DC" w:rsidP="002F78B4">
      <w:pPr>
        <w:widowControl w:val="0"/>
        <w:autoSpaceDE w:val="0"/>
        <w:autoSpaceDN w:val="0"/>
        <w:adjustRightInd w:val="0"/>
        <w:spacing w:after="240"/>
        <w:jc w:val="both"/>
      </w:pPr>
      <w:proofErr w:type="gramStart"/>
      <w:r w:rsidRPr="002F78B4">
        <w:t>n</w:t>
      </w:r>
      <w:r w:rsidR="00DB40D0" w:rsidRPr="002F78B4">
        <w:t>ational</w:t>
      </w:r>
      <w:proofErr w:type="gramEnd"/>
      <w:r w:rsidR="002F78B4" w:rsidRPr="002F78B4">
        <w:t xml:space="preserve">: </w:t>
      </w:r>
      <w:r w:rsidR="002F78B4" w:rsidRPr="002F78B4">
        <w:rPr>
          <w:rFonts w:cs="Times"/>
          <w:lang w:val="en-US"/>
        </w:rPr>
        <w:t>a dummy variable taking the value of 1 if the relevant geographical market is national or smaller (as opposed to a World or EEA market).</w:t>
      </w:r>
    </w:p>
    <w:p w14:paraId="7D5A087C" w14:textId="6895B53D" w:rsidR="00DB40D0" w:rsidRPr="002F78B4" w:rsidRDefault="00C158DC" w:rsidP="002F78B4">
      <w:pPr>
        <w:jc w:val="both"/>
      </w:pPr>
      <w:proofErr w:type="spellStart"/>
      <w:proofErr w:type="gramStart"/>
      <w:r w:rsidRPr="002F78B4">
        <w:t>p</w:t>
      </w:r>
      <w:r w:rsidR="00DB40D0" w:rsidRPr="002F78B4">
        <w:t>roh</w:t>
      </w:r>
      <w:proofErr w:type="spellEnd"/>
      <w:proofErr w:type="gramEnd"/>
      <w:r w:rsidR="002F78B4" w:rsidRPr="002F78B4">
        <w:t>: a dummy variable taking the value of 1 if the merger was prohibited.</w:t>
      </w:r>
    </w:p>
    <w:p w14:paraId="02046DF8" w14:textId="77777777" w:rsidR="00DB40D0" w:rsidRDefault="00DB40D0"/>
    <w:p w14:paraId="5028C72D" w14:textId="1F08D99E" w:rsidR="00171DFE" w:rsidRDefault="00171DFE">
      <w:r>
        <w:t xml:space="preserve">The following are a series of dummy variables equal to 1 if the EC identified the following factors in the market: </w:t>
      </w:r>
    </w:p>
    <w:p w14:paraId="5F43E801" w14:textId="77777777" w:rsidR="00171DFE" w:rsidRDefault="00171DFE"/>
    <w:p w14:paraId="67A9BE05" w14:textId="7B240DF1" w:rsidR="00171DFE" w:rsidRPr="00895DB2" w:rsidRDefault="00895DB2" w:rsidP="00171DFE">
      <w:pPr>
        <w:ind w:firstLine="720"/>
      </w:pPr>
      <w:proofErr w:type="spellStart"/>
      <w:proofErr w:type="gramStart"/>
      <w:r w:rsidRPr="00895DB2">
        <w:t>p</w:t>
      </w:r>
      <w:r w:rsidR="00171DFE" w:rsidRPr="00895DB2">
        <w:t>trans</w:t>
      </w:r>
      <w:proofErr w:type="spellEnd"/>
      <w:proofErr w:type="gramEnd"/>
      <w:r w:rsidR="00171DFE" w:rsidRPr="00895DB2">
        <w:t xml:space="preserve">: price is transparent </w:t>
      </w:r>
    </w:p>
    <w:p w14:paraId="3B309231" w14:textId="4533C780" w:rsidR="00171DFE" w:rsidRPr="00895DB2" w:rsidRDefault="00895DB2" w:rsidP="00171DFE">
      <w:pPr>
        <w:ind w:firstLine="720"/>
      </w:pPr>
      <w:proofErr w:type="spellStart"/>
      <w:proofErr w:type="gramStart"/>
      <w:r w:rsidRPr="00895DB2">
        <w:t>b</w:t>
      </w:r>
      <w:r w:rsidR="00C158DC" w:rsidRPr="00895DB2">
        <w:t>uyerp</w:t>
      </w:r>
      <w:r w:rsidR="00171DFE" w:rsidRPr="00895DB2">
        <w:t>ower</w:t>
      </w:r>
      <w:proofErr w:type="spellEnd"/>
      <w:proofErr w:type="gramEnd"/>
      <w:r w:rsidR="00171DFE" w:rsidRPr="00895DB2">
        <w:t xml:space="preserve">: </w:t>
      </w:r>
      <w:r w:rsidR="00171DFE" w:rsidRPr="00895DB2">
        <w:rPr>
          <w:rFonts w:cs="Times"/>
          <w:lang w:val="en-US"/>
        </w:rPr>
        <w:t xml:space="preserve">no significant countervailing buyer power </w:t>
      </w:r>
      <w:r w:rsidR="00171DFE" w:rsidRPr="00895DB2">
        <w:rPr>
          <w:rFonts w:cs="Times"/>
          <w:lang w:val="en-US"/>
        </w:rPr>
        <w:tab/>
      </w:r>
    </w:p>
    <w:p w14:paraId="160444F4" w14:textId="3E906D03" w:rsidR="00171DFE" w:rsidRPr="00895DB2" w:rsidRDefault="00895DB2" w:rsidP="00171DFE">
      <w:pPr>
        <w:ind w:firstLine="720"/>
      </w:pPr>
      <w:proofErr w:type="gramStart"/>
      <w:r w:rsidRPr="00895DB2">
        <w:t>e</w:t>
      </w:r>
      <w:r w:rsidR="00DB40D0" w:rsidRPr="00895DB2">
        <w:t>ntry</w:t>
      </w:r>
      <w:proofErr w:type="gramEnd"/>
      <w:r w:rsidR="00171DFE" w:rsidRPr="00895DB2">
        <w:t xml:space="preserve">: </w:t>
      </w:r>
      <w:r w:rsidR="00171DFE" w:rsidRPr="00895DB2">
        <w:rPr>
          <w:rFonts w:cs="Times"/>
          <w:lang w:val="en-US"/>
        </w:rPr>
        <w:t>barriers to entry</w:t>
      </w:r>
    </w:p>
    <w:p w14:paraId="50326723" w14:textId="66CE05EE" w:rsidR="00895DB2" w:rsidRPr="00895DB2" w:rsidRDefault="00895DB2" w:rsidP="00171DFE">
      <w:pPr>
        <w:ind w:firstLine="720"/>
      </w:pPr>
      <w:proofErr w:type="gramStart"/>
      <w:r w:rsidRPr="00895DB2">
        <w:t>fringe</w:t>
      </w:r>
      <w:proofErr w:type="gramEnd"/>
      <w:r w:rsidRPr="00895DB2">
        <w:t>: a competitive fringe</w:t>
      </w:r>
      <w:r w:rsidR="00171DFE" w:rsidRPr="00895DB2">
        <w:t xml:space="preserve"> </w:t>
      </w:r>
    </w:p>
    <w:p w14:paraId="03289F98" w14:textId="3E0B4C05" w:rsidR="00895DB2" w:rsidRPr="00895DB2" w:rsidRDefault="00C158DC" w:rsidP="00895DB2">
      <w:pPr>
        <w:ind w:left="720"/>
      </w:pPr>
      <w:proofErr w:type="gramStart"/>
      <w:r w:rsidRPr="00895DB2">
        <w:t>c</w:t>
      </w:r>
      <w:r w:rsidR="00DB40D0" w:rsidRPr="00895DB2">
        <w:t>apacity</w:t>
      </w:r>
      <w:proofErr w:type="gramEnd"/>
      <w:r w:rsidR="00171DFE" w:rsidRPr="00895DB2">
        <w:t xml:space="preserve">: </w:t>
      </w:r>
      <w:r w:rsidR="00171DFE" w:rsidRPr="00895DB2">
        <w:rPr>
          <w:rFonts w:cs="Times"/>
          <w:lang w:val="en-US"/>
        </w:rPr>
        <w:t xml:space="preserve">capacity of rivals is constrained, such that they are unable to expand  sufficiently rapidly post-merger (in single dominance cases), or that capacity constraints do not render punishment non-credible </w:t>
      </w:r>
      <w:r w:rsidR="00C85172">
        <w:rPr>
          <w:rFonts w:cs="Times"/>
          <w:lang w:val="en-US"/>
        </w:rPr>
        <w:t>(in collective dominance cases)</w:t>
      </w:r>
    </w:p>
    <w:p w14:paraId="5FFD7B69" w14:textId="09915623" w:rsidR="00895DB2" w:rsidRPr="00895DB2" w:rsidRDefault="00895DB2" w:rsidP="00895DB2">
      <w:pPr>
        <w:ind w:left="720"/>
      </w:pPr>
      <w:proofErr w:type="spellStart"/>
      <w:proofErr w:type="gramStart"/>
      <w:r w:rsidRPr="00895DB2">
        <w:t>f</w:t>
      </w:r>
      <w:r w:rsidR="00C158DC" w:rsidRPr="00895DB2">
        <w:t>luctms</w:t>
      </w:r>
      <w:proofErr w:type="spellEnd"/>
      <w:proofErr w:type="gramEnd"/>
      <w:r w:rsidRPr="00895DB2">
        <w:t xml:space="preserve">: fluctuating market shares </w:t>
      </w:r>
      <w:r w:rsidR="00C158DC" w:rsidRPr="00895DB2">
        <w:t xml:space="preserve"> </w:t>
      </w:r>
    </w:p>
    <w:p w14:paraId="6DB45215" w14:textId="1727B68F" w:rsidR="00895DB2" w:rsidRPr="00895DB2" w:rsidRDefault="00895DB2" w:rsidP="00895DB2">
      <w:pPr>
        <w:ind w:left="720"/>
      </w:pPr>
      <w:proofErr w:type="spellStart"/>
      <w:proofErr w:type="gramStart"/>
      <w:r w:rsidRPr="00895DB2">
        <w:t>s</w:t>
      </w:r>
      <w:r w:rsidR="00C158DC" w:rsidRPr="00895DB2">
        <w:t>mallinc</w:t>
      </w:r>
      <w:proofErr w:type="spellEnd"/>
      <w:proofErr w:type="gramEnd"/>
      <w:r w:rsidRPr="00895DB2">
        <w:t>: merger results in a small increment in market shares.</w:t>
      </w:r>
      <w:r w:rsidR="00C158DC" w:rsidRPr="00895DB2">
        <w:t xml:space="preserve"> </w:t>
      </w:r>
    </w:p>
    <w:p w14:paraId="46999CF6" w14:textId="4959FD7F" w:rsidR="00895DB2" w:rsidRPr="00895DB2" w:rsidRDefault="00895DB2" w:rsidP="00895DB2">
      <w:pPr>
        <w:ind w:left="720"/>
      </w:pPr>
      <w:proofErr w:type="spellStart"/>
      <w:proofErr w:type="gramStart"/>
      <w:r w:rsidRPr="00895DB2">
        <w:t>d</w:t>
      </w:r>
      <w:r w:rsidR="00C158DC" w:rsidRPr="00895DB2">
        <w:t>ecms</w:t>
      </w:r>
      <w:proofErr w:type="spellEnd"/>
      <w:proofErr w:type="gramEnd"/>
      <w:r w:rsidRPr="00895DB2">
        <w:t xml:space="preserve">: </w:t>
      </w:r>
      <w:proofErr w:type="spellStart"/>
      <w:r w:rsidRPr="00895DB2">
        <w:t>mergering</w:t>
      </w:r>
      <w:proofErr w:type="spellEnd"/>
      <w:r w:rsidRPr="00895DB2">
        <w:t xml:space="preserve"> parties market shares declining.</w:t>
      </w:r>
      <w:r w:rsidR="00C158DC" w:rsidRPr="00895DB2">
        <w:t xml:space="preserve"> </w:t>
      </w:r>
    </w:p>
    <w:p w14:paraId="5DBA393D" w14:textId="384B74F1" w:rsidR="00895DB2" w:rsidRPr="00895DB2" w:rsidRDefault="00895DB2" w:rsidP="00895DB2">
      <w:pPr>
        <w:ind w:left="720"/>
      </w:pPr>
      <w:proofErr w:type="spellStart"/>
      <w:proofErr w:type="gramStart"/>
      <w:r w:rsidRPr="00895DB2">
        <w:t>h</w:t>
      </w:r>
      <w:r w:rsidR="00C158DC" w:rsidRPr="00895DB2">
        <w:t>etdiffproducts</w:t>
      </w:r>
      <w:proofErr w:type="spellEnd"/>
      <w:proofErr w:type="gramEnd"/>
      <w:r w:rsidRPr="00895DB2">
        <w:t xml:space="preserve">: </w:t>
      </w:r>
      <w:proofErr w:type="spellStart"/>
      <w:r w:rsidRPr="00895DB2">
        <w:t>heterogenous</w:t>
      </w:r>
      <w:proofErr w:type="spellEnd"/>
      <w:r w:rsidRPr="00895DB2">
        <w:t>/differentiated products.</w:t>
      </w:r>
      <w:r w:rsidR="00C158DC" w:rsidRPr="00895DB2">
        <w:t xml:space="preserve"> </w:t>
      </w:r>
    </w:p>
    <w:p w14:paraId="70039B37" w14:textId="7696FFBD" w:rsidR="00895DB2" w:rsidRPr="00895DB2" w:rsidRDefault="00895DB2" w:rsidP="00895DB2">
      <w:pPr>
        <w:ind w:left="720"/>
      </w:pPr>
      <w:proofErr w:type="spellStart"/>
      <w:proofErr w:type="gramStart"/>
      <w:r w:rsidRPr="00895DB2">
        <w:t>d</w:t>
      </w:r>
      <w:r w:rsidR="00C158DC" w:rsidRPr="00895DB2">
        <w:t>ecliningmkt</w:t>
      </w:r>
      <w:proofErr w:type="spellEnd"/>
      <w:proofErr w:type="gramEnd"/>
      <w:r w:rsidRPr="00895DB2">
        <w:t xml:space="preserve">: a declining market </w:t>
      </w:r>
      <w:r w:rsidR="00DB40D0" w:rsidRPr="00895DB2">
        <w:t xml:space="preserve"> </w:t>
      </w:r>
    </w:p>
    <w:p w14:paraId="391A9E21" w14:textId="712E480D" w:rsidR="00895DB2" w:rsidRPr="00895DB2" w:rsidRDefault="00895DB2" w:rsidP="00895DB2">
      <w:pPr>
        <w:ind w:left="720"/>
      </w:pPr>
      <w:proofErr w:type="spellStart"/>
      <w:proofErr w:type="gramStart"/>
      <w:r w:rsidRPr="00895DB2">
        <w:t>g</w:t>
      </w:r>
      <w:r w:rsidR="00C158DC" w:rsidRPr="00895DB2">
        <w:t>rowingmkt</w:t>
      </w:r>
      <w:proofErr w:type="spellEnd"/>
      <w:proofErr w:type="gramEnd"/>
      <w:r w:rsidRPr="00895DB2">
        <w:t>: a growing market</w:t>
      </w:r>
      <w:r w:rsidR="00C158DC" w:rsidRPr="00895DB2">
        <w:t xml:space="preserve"> </w:t>
      </w:r>
    </w:p>
    <w:p w14:paraId="2733A4B3" w14:textId="63F556B7" w:rsidR="00895DB2" w:rsidRPr="00895DB2" w:rsidRDefault="00895DB2" w:rsidP="00895DB2">
      <w:pPr>
        <w:ind w:left="720"/>
      </w:pPr>
      <w:proofErr w:type="gramStart"/>
      <w:r w:rsidRPr="00895DB2">
        <w:t>i</w:t>
      </w:r>
      <w:r w:rsidR="00C158DC" w:rsidRPr="00895DB2">
        <w:t>nnovation</w:t>
      </w:r>
      <w:proofErr w:type="gramEnd"/>
      <w:r w:rsidRPr="00895DB2">
        <w:t>: an innovation market</w:t>
      </w:r>
      <w:r w:rsidR="00C158DC" w:rsidRPr="00895DB2">
        <w:t xml:space="preserve"> </w:t>
      </w:r>
    </w:p>
    <w:p w14:paraId="779A6841" w14:textId="392330A0" w:rsidR="00895DB2" w:rsidRPr="00895DB2" w:rsidRDefault="00895DB2" w:rsidP="00895DB2">
      <w:pPr>
        <w:ind w:left="720"/>
      </w:pPr>
      <w:proofErr w:type="spellStart"/>
      <w:proofErr w:type="gramStart"/>
      <w:r w:rsidRPr="00895DB2">
        <w:t>c</w:t>
      </w:r>
      <w:r w:rsidR="00C158DC" w:rsidRPr="00895DB2">
        <w:t>ostasymm</w:t>
      </w:r>
      <w:proofErr w:type="spellEnd"/>
      <w:proofErr w:type="gramEnd"/>
      <w:r w:rsidRPr="00895DB2">
        <w:t>: asymmetric costs</w:t>
      </w:r>
      <w:r w:rsidR="00C158DC" w:rsidRPr="00895DB2">
        <w:t xml:space="preserve"> </w:t>
      </w:r>
    </w:p>
    <w:p w14:paraId="2202C0FD" w14:textId="15B30F61" w:rsidR="00895DB2" w:rsidRPr="00895DB2" w:rsidRDefault="00895DB2" w:rsidP="00895DB2">
      <w:pPr>
        <w:ind w:left="720"/>
      </w:pPr>
      <w:proofErr w:type="spellStart"/>
      <w:proofErr w:type="gramStart"/>
      <w:r w:rsidRPr="00895DB2">
        <w:t>e</w:t>
      </w:r>
      <w:r w:rsidR="00C158DC" w:rsidRPr="00895DB2">
        <w:t>asytoswitch</w:t>
      </w:r>
      <w:proofErr w:type="spellEnd"/>
      <w:proofErr w:type="gramEnd"/>
      <w:r w:rsidRPr="00895DB2">
        <w:t>: easy for consumers to switch</w:t>
      </w:r>
      <w:r w:rsidR="00C158DC" w:rsidRPr="00895DB2">
        <w:t xml:space="preserve"> </w:t>
      </w:r>
    </w:p>
    <w:p w14:paraId="76CE1AE7" w14:textId="6E4252C2" w:rsidR="00895DB2" w:rsidRPr="00895DB2" w:rsidRDefault="00895DB2" w:rsidP="00895DB2">
      <w:pPr>
        <w:ind w:left="720"/>
      </w:pPr>
      <w:proofErr w:type="spellStart"/>
      <w:proofErr w:type="gramStart"/>
      <w:r w:rsidRPr="00895DB2">
        <w:t>b</w:t>
      </w:r>
      <w:r w:rsidR="00C158DC" w:rsidRPr="00895DB2">
        <w:t>iddingtendering</w:t>
      </w:r>
      <w:proofErr w:type="spellEnd"/>
      <w:proofErr w:type="gramEnd"/>
      <w:r w:rsidRPr="00895DB2">
        <w:t>: a bidding/tendering market</w:t>
      </w:r>
      <w:r w:rsidR="00C158DC" w:rsidRPr="00895DB2">
        <w:t xml:space="preserve"> </w:t>
      </w:r>
    </w:p>
    <w:p w14:paraId="0D177BFB" w14:textId="77777777" w:rsidR="00895DB2" w:rsidRPr="00895DB2" w:rsidRDefault="00895DB2" w:rsidP="00895DB2">
      <w:pPr>
        <w:ind w:left="720"/>
      </w:pPr>
      <w:proofErr w:type="spellStart"/>
      <w:proofErr w:type="gramStart"/>
      <w:r w:rsidRPr="00895DB2">
        <w:t>f</w:t>
      </w:r>
      <w:r w:rsidR="00C158DC" w:rsidRPr="00895DB2">
        <w:t>ailingfirm</w:t>
      </w:r>
      <w:proofErr w:type="spellEnd"/>
      <w:proofErr w:type="gramEnd"/>
      <w:r w:rsidRPr="00895DB2">
        <w:t>: failing firm defence</w:t>
      </w:r>
      <w:r w:rsidR="00C158DC" w:rsidRPr="00895DB2">
        <w:t xml:space="preserve"> </w:t>
      </w:r>
    </w:p>
    <w:p w14:paraId="3F6B6AA9" w14:textId="618AE03A" w:rsidR="00C158DC" w:rsidRPr="00895DB2" w:rsidRDefault="00895DB2" w:rsidP="00895DB2">
      <w:pPr>
        <w:ind w:left="720"/>
      </w:pPr>
      <w:proofErr w:type="spellStart"/>
      <w:proofErr w:type="gramStart"/>
      <w:r w:rsidRPr="00895DB2">
        <w:t>m</w:t>
      </w:r>
      <w:r w:rsidR="00C158DC" w:rsidRPr="00895DB2">
        <w:t>isc</w:t>
      </w:r>
      <w:proofErr w:type="spellEnd"/>
      <w:proofErr w:type="gramEnd"/>
      <w:r w:rsidRPr="00895DB2">
        <w:t>: miscellaneous</w:t>
      </w:r>
      <w:r w:rsidR="00C158DC" w:rsidRPr="00895DB2">
        <w:t xml:space="preserve"> </w:t>
      </w:r>
    </w:p>
    <w:p w14:paraId="16E79DDA" w14:textId="77777777" w:rsidR="00C158DC" w:rsidRDefault="00C158DC"/>
    <w:p w14:paraId="4E9F8079" w14:textId="2F850F65" w:rsidR="00C158DC" w:rsidRDefault="00C158DC" w:rsidP="00D220CE">
      <w:pPr>
        <w:jc w:val="both"/>
      </w:pPr>
      <w:r>
        <w:t>X</w:t>
      </w:r>
      <w:r w:rsidR="00D220CE">
        <w:t xml:space="preserve"> is a dummy varia</w:t>
      </w:r>
      <w:r w:rsidR="00D646FF">
        <w:t>ble taking the value of 1 if all</w:t>
      </w:r>
      <w:r w:rsidR="00D220CE">
        <w:t xml:space="preserve"> of entry, </w:t>
      </w:r>
      <w:proofErr w:type="spellStart"/>
      <w:r w:rsidR="00D220CE">
        <w:t>buyerpower</w:t>
      </w:r>
      <w:proofErr w:type="spellEnd"/>
      <w:r w:rsidR="00D220CE">
        <w:t xml:space="preserve">, </w:t>
      </w:r>
      <w:proofErr w:type="spellStart"/>
      <w:r w:rsidR="00D220CE">
        <w:t>ptrans</w:t>
      </w:r>
      <w:proofErr w:type="spellEnd"/>
      <w:r w:rsidR="00D220CE">
        <w:t xml:space="preserve">, capacity and </w:t>
      </w:r>
      <w:proofErr w:type="spellStart"/>
      <w:r w:rsidR="00D220CE">
        <w:t>biddingtendering</w:t>
      </w:r>
      <w:proofErr w:type="spellEnd"/>
      <w:r w:rsidR="00D220CE">
        <w:t xml:space="preserve"> are equal </w:t>
      </w:r>
      <w:r w:rsidR="00D646FF">
        <w:t>to 0</w:t>
      </w:r>
      <w:r w:rsidR="00D220CE">
        <w:t xml:space="preserve"> (see Davies et al., 2010). </w:t>
      </w:r>
      <w:r>
        <w:t xml:space="preserve"> </w:t>
      </w:r>
    </w:p>
    <w:p w14:paraId="58107859" w14:textId="77777777" w:rsidR="00DB40D0" w:rsidRDefault="00DB40D0"/>
    <w:p w14:paraId="6DD05B3D" w14:textId="77777777" w:rsidR="00D96FAC" w:rsidRDefault="00D96FAC"/>
    <w:p w14:paraId="6D493801" w14:textId="4DCA7C3B" w:rsidR="00DB40D0" w:rsidRPr="00C85172" w:rsidRDefault="00C85172" w:rsidP="00C85172">
      <w:pPr>
        <w:jc w:val="both"/>
      </w:pPr>
      <w:r>
        <w:lastRenderedPageBreak/>
        <w:t xml:space="preserve">Sheet 3: </w:t>
      </w:r>
      <w:r w:rsidRPr="00C85172">
        <w:rPr>
          <w:i/>
        </w:rPr>
        <w:t xml:space="preserve">206 </w:t>
      </w:r>
      <w:proofErr w:type="spellStart"/>
      <w:r w:rsidRPr="00C85172">
        <w:rPr>
          <w:i/>
        </w:rPr>
        <w:t>mkts</w:t>
      </w:r>
      <w:proofErr w:type="spellEnd"/>
      <w:r w:rsidRPr="00C85172">
        <w:rPr>
          <w:i/>
        </w:rPr>
        <w:t xml:space="preserve"> with pre </w:t>
      </w:r>
      <w:proofErr w:type="spellStart"/>
      <w:r w:rsidRPr="00C85172">
        <w:rPr>
          <w:i/>
        </w:rPr>
        <w:t>ms</w:t>
      </w:r>
      <w:proofErr w:type="spellEnd"/>
      <w:r>
        <w:rPr>
          <w:i/>
        </w:rPr>
        <w:t xml:space="preserve"> </w:t>
      </w:r>
      <w:r>
        <w:t xml:space="preserve">adds further information for the 206 markets where the separate pre merger market shares of the merging parties are available. </w:t>
      </w:r>
    </w:p>
    <w:p w14:paraId="70E2E9C1" w14:textId="77777777" w:rsidR="00C85172" w:rsidRDefault="00C85172"/>
    <w:p w14:paraId="2CF68084" w14:textId="0BE94784" w:rsidR="00E36DAA" w:rsidRDefault="00C85172" w:rsidP="00C85172">
      <w:pPr>
        <w:jc w:val="both"/>
      </w:pPr>
      <w:r>
        <w:t xml:space="preserve">Pre1 is the market share of the largest firm and pre2 the market share of the second largest firm pre merger. </w:t>
      </w:r>
    </w:p>
    <w:p w14:paraId="07AD0F10" w14:textId="77777777" w:rsidR="0027493C" w:rsidRDefault="0027493C"/>
    <w:p w14:paraId="696B507C" w14:textId="4FA82F0F" w:rsidR="00C85172" w:rsidRDefault="00C85172" w:rsidP="00C85172">
      <w:pPr>
        <w:jc w:val="both"/>
      </w:pPr>
      <w:proofErr w:type="spellStart"/>
      <w:r>
        <w:t>Presum</w:t>
      </w:r>
      <w:proofErr w:type="spellEnd"/>
      <w:r>
        <w:t xml:space="preserve"> is pre1 + pre2 and </w:t>
      </w:r>
      <w:proofErr w:type="spellStart"/>
      <w:r>
        <w:t>preratio</w:t>
      </w:r>
      <w:proofErr w:type="spellEnd"/>
      <w:r>
        <w:t xml:space="preserve"> = pre2/pre1. </w:t>
      </w:r>
    </w:p>
    <w:p w14:paraId="02222194" w14:textId="77777777" w:rsidR="00C85172" w:rsidRDefault="00C85172"/>
    <w:p w14:paraId="726ED70C" w14:textId="6C674547" w:rsidR="00C85172" w:rsidRDefault="00C85172" w:rsidP="00C85172">
      <w:pPr>
        <w:jc w:val="both"/>
      </w:pPr>
      <w:proofErr w:type="spellStart"/>
      <w:r>
        <w:t>Chsum</w:t>
      </w:r>
      <w:proofErr w:type="spellEnd"/>
      <w:r>
        <w:t xml:space="preserve">, </w:t>
      </w:r>
      <w:proofErr w:type="spellStart"/>
      <w:r>
        <w:t>chratio</w:t>
      </w:r>
      <w:proofErr w:type="spellEnd"/>
      <w:r>
        <w:t xml:space="preserve"> and </w:t>
      </w:r>
      <w:proofErr w:type="spellStart"/>
      <w:r>
        <w:t>chhi</w:t>
      </w:r>
      <w:proofErr w:type="spellEnd"/>
      <w:r>
        <w:t xml:space="preserve"> are the change in sum, ratio and the </w:t>
      </w:r>
      <w:proofErr w:type="spellStart"/>
      <w:r>
        <w:t>hhi</w:t>
      </w:r>
      <w:proofErr w:type="spellEnd"/>
      <w:r>
        <w:t xml:space="preserve"> pre to post merger. </w:t>
      </w:r>
    </w:p>
    <w:p w14:paraId="50D99A2C" w14:textId="77777777" w:rsidR="00C85172" w:rsidRDefault="00C85172"/>
    <w:p w14:paraId="7FA2CDFB" w14:textId="44550015" w:rsidR="00FB5A2F" w:rsidRDefault="00FB5A2F" w:rsidP="00FB5A2F">
      <w:pPr>
        <w:jc w:val="both"/>
      </w:pPr>
      <w:r>
        <w:t>M1 and m2 are the separate market shares of the two merging firms.</w:t>
      </w:r>
    </w:p>
    <w:p w14:paraId="15279AC1" w14:textId="77777777" w:rsidR="0027493C" w:rsidRDefault="0027493C"/>
    <w:p w14:paraId="2B688B99" w14:textId="243D4DE7" w:rsidR="00E36DAA" w:rsidRPr="00FB5A2F" w:rsidRDefault="00FB5A2F" w:rsidP="00FB5A2F">
      <w:pPr>
        <w:jc w:val="both"/>
      </w:pPr>
      <w:r>
        <w:t xml:space="preserve">Sheet 4: </w:t>
      </w:r>
      <w:r w:rsidRPr="00FB5A2F">
        <w:rPr>
          <w:i/>
        </w:rPr>
        <w:t xml:space="preserve">84 </w:t>
      </w:r>
      <w:proofErr w:type="spellStart"/>
      <w:r w:rsidRPr="00FB5A2F">
        <w:rPr>
          <w:i/>
        </w:rPr>
        <w:t>st</w:t>
      </w:r>
      <w:proofErr w:type="spellEnd"/>
      <w:r w:rsidRPr="00FB5A2F">
        <w:rPr>
          <w:i/>
        </w:rPr>
        <w:t xml:space="preserve"> remedy </w:t>
      </w:r>
      <w:proofErr w:type="spellStart"/>
      <w:r w:rsidRPr="00FB5A2F">
        <w:rPr>
          <w:i/>
        </w:rPr>
        <w:t>mkts</w:t>
      </w:r>
      <w:proofErr w:type="spellEnd"/>
      <w:r>
        <w:rPr>
          <w:i/>
        </w:rPr>
        <w:t xml:space="preserve"> </w:t>
      </w:r>
      <w:r>
        <w:t xml:space="preserve">provides further information on the 84 markets where structural remedies were imposed. </w:t>
      </w:r>
    </w:p>
    <w:p w14:paraId="0BF0FFC5" w14:textId="77777777" w:rsidR="00FB5A2F" w:rsidRDefault="00FB5A2F"/>
    <w:p w14:paraId="6FFC9601" w14:textId="77777777" w:rsidR="0058012F" w:rsidRDefault="00FB5A2F">
      <w:r>
        <w:t xml:space="preserve">MS </w:t>
      </w:r>
      <w:proofErr w:type="spellStart"/>
      <w:r>
        <w:t>Div</w:t>
      </w:r>
      <w:proofErr w:type="spellEnd"/>
      <w:r>
        <w:t xml:space="preserve"> asset is the market</w:t>
      </w:r>
      <w:r w:rsidR="0058012F">
        <w:t xml:space="preserve"> share of the divested asset.</w:t>
      </w:r>
    </w:p>
    <w:p w14:paraId="32FDC326" w14:textId="77777777" w:rsidR="0058012F" w:rsidRDefault="0058012F"/>
    <w:p w14:paraId="4C345A54" w14:textId="77777777" w:rsidR="0058012F" w:rsidRDefault="0058012F">
      <w:proofErr w:type="spellStart"/>
      <w:r>
        <w:t>Div</w:t>
      </w:r>
      <w:proofErr w:type="spellEnd"/>
      <w:r>
        <w:t xml:space="preserve"> asset compares the size of the divested asset to the merging parties: </w:t>
      </w:r>
    </w:p>
    <w:p w14:paraId="595CE78F" w14:textId="77777777" w:rsidR="0058012F" w:rsidRDefault="0058012F"/>
    <w:p w14:paraId="445AA267" w14:textId="77777777" w:rsidR="0058012F" w:rsidRDefault="0058012F">
      <w:r>
        <w:tab/>
      </w:r>
      <w:proofErr w:type="gramStart"/>
      <w:r>
        <w:t>smaller</w:t>
      </w:r>
      <w:proofErr w:type="gramEnd"/>
      <w:r>
        <w:t xml:space="preserve"> = equal to the market share of the smaller of the merging parties. </w:t>
      </w:r>
    </w:p>
    <w:p w14:paraId="3C994E5F" w14:textId="77777777" w:rsidR="0058012F" w:rsidRDefault="0058012F">
      <w:r>
        <w:tab/>
      </w:r>
      <w:proofErr w:type="gramStart"/>
      <w:r>
        <w:t>larger</w:t>
      </w:r>
      <w:proofErr w:type="gramEnd"/>
      <w:r>
        <w:t xml:space="preserve"> = equal to the market share of the larger of the merging parties. </w:t>
      </w:r>
    </w:p>
    <w:p w14:paraId="5EE250FC" w14:textId="7D1616C8" w:rsidR="00FB5A2F" w:rsidRDefault="0058012F" w:rsidP="0058012F">
      <w:pPr>
        <w:ind w:left="720"/>
      </w:pPr>
      <w:r>
        <w:t xml:space="preserve">More smaller = greater than </w:t>
      </w:r>
      <w:proofErr w:type="gramStart"/>
      <w:r>
        <w:t>the  market</w:t>
      </w:r>
      <w:proofErr w:type="gramEnd"/>
      <w:r>
        <w:t xml:space="preserve"> share of the smaller of the merging parties.  </w:t>
      </w:r>
      <w:r w:rsidR="00FB5A2F">
        <w:t xml:space="preserve"> </w:t>
      </w:r>
    </w:p>
    <w:p w14:paraId="2B49CAFC" w14:textId="5C085A02" w:rsidR="00FB5A2F" w:rsidRDefault="0058012F">
      <w:r>
        <w:tab/>
        <w:t xml:space="preserve">Overlap = the increment in market share resulting from the merger. </w:t>
      </w:r>
    </w:p>
    <w:p w14:paraId="67EF0520" w14:textId="77777777" w:rsidR="0058012F" w:rsidRDefault="0058012F"/>
    <w:p w14:paraId="7FEE0B9E" w14:textId="1D808EB2" w:rsidR="0058012F" w:rsidRDefault="0058012F">
      <w:proofErr w:type="gramStart"/>
      <w:r>
        <w:t>ME</w:t>
      </w:r>
      <w:proofErr w:type="gramEnd"/>
      <w:r>
        <w:t xml:space="preserve"> MS post remedy is the market share of the merged entity post remedy. </w:t>
      </w:r>
    </w:p>
    <w:p w14:paraId="4F161716" w14:textId="77777777" w:rsidR="0058012F" w:rsidRDefault="0058012F"/>
    <w:p w14:paraId="57A47AE2" w14:textId="0635A357" w:rsidR="0058012F" w:rsidRDefault="0058012F" w:rsidP="0058012F">
      <w:pPr>
        <w:jc w:val="both"/>
      </w:pPr>
      <w:r>
        <w:t xml:space="preserve">Buyer identifies who bought the divested asset: entrant, incumbent or a prohibition return to the status quo. </w:t>
      </w:r>
    </w:p>
    <w:p w14:paraId="331070A7" w14:textId="77777777" w:rsidR="0058012F" w:rsidRDefault="0058012F"/>
    <w:p w14:paraId="4771D545" w14:textId="66FCF595" w:rsidR="0058012F" w:rsidRDefault="0058012F" w:rsidP="0058012F">
      <w:pPr>
        <w:jc w:val="both"/>
      </w:pPr>
      <w:r>
        <w:t xml:space="preserve">Rank me post remedy identifies whether post remedy the merged entity is the largest firm (1), second largest firm (2) or outside the top 2 (0). </w:t>
      </w:r>
    </w:p>
    <w:p w14:paraId="2A32296B" w14:textId="77777777" w:rsidR="00FB5A2F" w:rsidRDefault="00FB5A2F"/>
    <w:p w14:paraId="7CD71F41" w14:textId="1BA27913" w:rsidR="0058012F" w:rsidRDefault="00D646FF" w:rsidP="0058012F">
      <w:pPr>
        <w:jc w:val="both"/>
      </w:pPr>
      <w:r>
        <w:t>Rem s1</w:t>
      </w:r>
      <w:r w:rsidR="0058012F">
        <w:t xml:space="preserve"> </w:t>
      </w:r>
      <w:r w:rsidR="00ED1F7B">
        <w:t xml:space="preserve">is </w:t>
      </w:r>
      <w:r w:rsidR="0058012F">
        <w:t xml:space="preserve">the market share of the largest firm and </w:t>
      </w:r>
      <w:r>
        <w:t xml:space="preserve">rem s2 </w:t>
      </w:r>
      <w:r w:rsidR="0058012F">
        <w:t>the market shar</w:t>
      </w:r>
      <w:r>
        <w:t>e of the second largest firm post</w:t>
      </w:r>
      <w:r w:rsidR="0058012F">
        <w:t xml:space="preserve"> merger. </w:t>
      </w:r>
    </w:p>
    <w:p w14:paraId="2441B422" w14:textId="77777777" w:rsidR="00D646FF" w:rsidRDefault="00D646FF" w:rsidP="0058012F">
      <w:pPr>
        <w:jc w:val="both"/>
      </w:pPr>
    </w:p>
    <w:p w14:paraId="07A84D34" w14:textId="77777777" w:rsidR="00D646FF" w:rsidRDefault="00D646FF" w:rsidP="0058012F">
      <w:pPr>
        <w:jc w:val="both"/>
      </w:pPr>
    </w:p>
    <w:p w14:paraId="5EA676FD" w14:textId="2BC71DF0" w:rsidR="00D646FF" w:rsidRDefault="00D646FF" w:rsidP="0058012F">
      <w:pPr>
        <w:jc w:val="both"/>
      </w:pPr>
      <w:r>
        <w:t xml:space="preserve">Sheet 5: </w:t>
      </w:r>
      <w:r w:rsidRPr="00D646FF">
        <w:rPr>
          <w:i/>
        </w:rPr>
        <w:t>rank ME post</w:t>
      </w:r>
      <w:r>
        <w:t xml:space="preserve"> includes all the markets where X=0 (see sheet 2). </w:t>
      </w:r>
    </w:p>
    <w:p w14:paraId="10D4432D" w14:textId="77777777" w:rsidR="00D646FF" w:rsidRDefault="00D646FF" w:rsidP="0058012F">
      <w:pPr>
        <w:jc w:val="both"/>
      </w:pPr>
    </w:p>
    <w:p w14:paraId="4E4E827D" w14:textId="568BF794" w:rsidR="00D646FF" w:rsidRDefault="00D646FF" w:rsidP="00D646FF">
      <w:pPr>
        <w:jc w:val="both"/>
      </w:pPr>
      <w:proofErr w:type="spellStart"/>
      <w:r>
        <w:t>Rankmepost</w:t>
      </w:r>
      <w:proofErr w:type="spellEnd"/>
      <w:r>
        <w:t xml:space="preserve"> is a dummy variable equal to 1 if the merged entity is the largest firm post merger. </w:t>
      </w:r>
    </w:p>
    <w:p w14:paraId="19FCBB06" w14:textId="0F9F93D3" w:rsidR="00D646FF" w:rsidRDefault="00D646FF" w:rsidP="0058012F">
      <w:pPr>
        <w:jc w:val="both"/>
      </w:pPr>
    </w:p>
    <w:p w14:paraId="3A21D7A9" w14:textId="54AA07DE" w:rsidR="00D646FF" w:rsidRDefault="00D646FF" w:rsidP="0058012F">
      <w:pPr>
        <w:jc w:val="both"/>
      </w:pPr>
      <w:proofErr w:type="spellStart"/>
      <w:r>
        <w:t>Dumcd</w:t>
      </w:r>
      <w:proofErr w:type="spellEnd"/>
      <w:r>
        <w:t xml:space="preserve"> is a dummy variable equal to 1 if the EC intervened for collective dominance (with structural links). </w:t>
      </w:r>
    </w:p>
    <w:p w14:paraId="4B23CB87" w14:textId="77777777" w:rsidR="005652D0" w:rsidRDefault="005652D0" w:rsidP="0058012F">
      <w:pPr>
        <w:jc w:val="both"/>
      </w:pPr>
    </w:p>
    <w:p w14:paraId="2F442630" w14:textId="2B9817B7" w:rsidR="005652D0" w:rsidRPr="005652D0" w:rsidRDefault="005652D0" w:rsidP="005652D0">
      <w:pPr>
        <w:jc w:val="both"/>
        <w:rPr>
          <w:rFonts w:ascii="Times" w:hAnsi="Times" w:cs="Times"/>
          <w:sz w:val="22"/>
          <w:szCs w:val="22"/>
          <w:lang w:val="en-US"/>
        </w:rPr>
      </w:pPr>
      <w:r>
        <w:t xml:space="preserve">Sheet 6: </w:t>
      </w:r>
      <w:r w:rsidRPr="005652D0">
        <w:rPr>
          <w:i/>
        </w:rPr>
        <w:t>Post 2004 data</w:t>
      </w:r>
      <w:r>
        <w:t xml:space="preserve"> covers the perio</w:t>
      </w:r>
      <w:r w:rsidRPr="005652D0">
        <w:t>d from the start of the new EC merger regulation in 2004 to the 2</w:t>
      </w:r>
      <w:r w:rsidRPr="005652D0">
        <w:rPr>
          <w:vertAlign w:val="superscript"/>
        </w:rPr>
        <w:t>nd</w:t>
      </w:r>
      <w:r w:rsidRPr="005652D0">
        <w:t xml:space="preserve"> of 2007</w:t>
      </w:r>
      <w:r w:rsidRPr="005652D0">
        <w:rPr>
          <w:rFonts w:cs="Times"/>
          <w:lang w:val="en-US"/>
        </w:rPr>
        <w:t xml:space="preserve">. We identified 19 mergers (covering 334 </w:t>
      </w:r>
      <w:r w:rsidRPr="005652D0">
        <w:rPr>
          <w:rFonts w:cs="Times"/>
          <w:lang w:val="en-US"/>
        </w:rPr>
        <w:lastRenderedPageBreak/>
        <w:t>markets</w:t>
      </w:r>
      <w:r w:rsidR="00D754FA">
        <w:rPr>
          <w:rFonts w:cs="Times"/>
          <w:lang w:val="en-US"/>
        </w:rPr>
        <w:t xml:space="preserve"> </w:t>
      </w:r>
      <w:r w:rsidR="00D754FA">
        <w:t>- product and geographic market defined in columns D and E</w:t>
      </w:r>
      <w:r w:rsidRPr="005652D0">
        <w:rPr>
          <w:rFonts w:cs="Times"/>
          <w:lang w:val="en-US"/>
        </w:rPr>
        <w:t>) in which there were interventions and the decision documents reveal that coordinated effects (CE) was seriously considered.</w:t>
      </w:r>
    </w:p>
    <w:p w14:paraId="3743E0FF" w14:textId="77777777" w:rsidR="005652D0" w:rsidRDefault="005652D0" w:rsidP="0058012F">
      <w:pPr>
        <w:jc w:val="both"/>
      </w:pPr>
    </w:p>
    <w:p w14:paraId="09D23E94" w14:textId="3C42699E" w:rsidR="005652D0" w:rsidRDefault="005652D0" w:rsidP="0058012F">
      <w:pPr>
        <w:jc w:val="both"/>
      </w:pPr>
      <w:r>
        <w:t>The mergers are listed in column A</w:t>
      </w:r>
      <w:r w:rsidR="00D754FA">
        <w:t xml:space="preserve"> and numbered in column B</w:t>
      </w:r>
      <w:r>
        <w:t>.</w:t>
      </w:r>
      <w:r w:rsidR="00D754FA">
        <w:t xml:space="preserve"> Column C provides an indicator for each merger and market. </w:t>
      </w:r>
      <w:proofErr w:type="gramStart"/>
      <w:r w:rsidR="00D754FA">
        <w:t>ME</w:t>
      </w:r>
      <w:proofErr w:type="gramEnd"/>
      <w:r w:rsidR="00D754FA">
        <w:t xml:space="preserve"> is the market share of the merged entity and O1 and O2 the market share of the first and second largest firms outside the merger. </w:t>
      </w:r>
    </w:p>
    <w:p w14:paraId="76B3FD0B" w14:textId="77777777" w:rsidR="00ED1F7B" w:rsidRDefault="00ED1F7B" w:rsidP="0058012F">
      <w:pPr>
        <w:jc w:val="both"/>
      </w:pPr>
    </w:p>
    <w:p w14:paraId="71FF8A07" w14:textId="4D4AF4A6" w:rsidR="00ED1F7B" w:rsidRDefault="00ED1F7B" w:rsidP="0058012F">
      <w:pPr>
        <w:jc w:val="both"/>
      </w:pPr>
      <w:r>
        <w:t xml:space="preserve">Column I provides the reason why the EC intervened: SD=single dominance, UE=unilateral effects and CE=coordinated effects. Then in column J 0=no intervention, 1=single dominance or unilateral effects and 2=coordinated effects. </w:t>
      </w:r>
    </w:p>
    <w:p w14:paraId="570B5B81" w14:textId="77777777" w:rsidR="00ED1F7B" w:rsidRDefault="00ED1F7B" w:rsidP="0058012F">
      <w:pPr>
        <w:jc w:val="both"/>
      </w:pPr>
    </w:p>
    <w:p w14:paraId="5F918859" w14:textId="26E15AC4" w:rsidR="00ED1F7B" w:rsidRDefault="00ED1F7B" w:rsidP="0058012F">
      <w:pPr>
        <w:jc w:val="both"/>
      </w:pPr>
      <w:r>
        <w:t xml:space="preserve">Column K contains notes on some of the decisions. </w:t>
      </w:r>
    </w:p>
    <w:p w14:paraId="4F987585" w14:textId="77777777" w:rsidR="00ED1F7B" w:rsidRDefault="00ED1F7B" w:rsidP="0058012F">
      <w:pPr>
        <w:jc w:val="both"/>
      </w:pPr>
    </w:p>
    <w:p w14:paraId="1155D412" w14:textId="06438E80" w:rsidR="00ED1F7B" w:rsidRDefault="00ED1F7B" w:rsidP="00ED1F7B">
      <w:pPr>
        <w:jc w:val="both"/>
      </w:pPr>
      <w:r>
        <w:t xml:space="preserve">S1 is the market share of the largest firm and S2 the market share of the second largest firm post merger. Position ME is the rank of the merged entity post merger. Column O indicates when the coordinated effects case was based on structural links and when the EC may have suggested the possibility of both unilateral and coordinated effects. </w:t>
      </w:r>
    </w:p>
    <w:p w14:paraId="6F17FCA1" w14:textId="77777777" w:rsidR="00ED1F7B" w:rsidRDefault="00ED1F7B" w:rsidP="00ED1F7B">
      <w:pPr>
        <w:jc w:val="both"/>
      </w:pPr>
    </w:p>
    <w:p w14:paraId="68BE6817" w14:textId="77777777" w:rsidR="00ED1F7B" w:rsidRDefault="00ED1F7B" w:rsidP="00ED1F7B">
      <w:pPr>
        <w:jc w:val="both"/>
      </w:pPr>
    </w:p>
    <w:p w14:paraId="443C49AF" w14:textId="77777777" w:rsidR="00ED1F7B" w:rsidRDefault="00ED1F7B" w:rsidP="00ED1F7B">
      <w:pPr>
        <w:jc w:val="both"/>
      </w:pPr>
    </w:p>
    <w:p w14:paraId="57E39869" w14:textId="77777777" w:rsidR="00ED1F7B" w:rsidRDefault="00ED1F7B" w:rsidP="00ED1F7B">
      <w:pPr>
        <w:jc w:val="both"/>
      </w:pPr>
    </w:p>
    <w:p w14:paraId="2E63D6D0" w14:textId="77777777" w:rsidR="00ED1F7B" w:rsidRDefault="00ED1F7B" w:rsidP="0058012F">
      <w:pPr>
        <w:jc w:val="both"/>
      </w:pPr>
    </w:p>
    <w:sectPr w:rsidR="00ED1F7B" w:rsidSect="000655D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3D8F3" w14:textId="77777777" w:rsidR="00D754FA" w:rsidRDefault="00D754FA" w:rsidP="00B43CCE">
      <w:r>
        <w:separator/>
      </w:r>
    </w:p>
  </w:endnote>
  <w:endnote w:type="continuationSeparator" w:id="0">
    <w:p w14:paraId="1BAAEE32" w14:textId="77777777" w:rsidR="00D754FA" w:rsidRDefault="00D754FA" w:rsidP="00B4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CE028" w14:textId="77777777" w:rsidR="00D754FA" w:rsidRDefault="00D754FA" w:rsidP="00B43CCE">
      <w:r>
        <w:separator/>
      </w:r>
    </w:p>
  </w:footnote>
  <w:footnote w:type="continuationSeparator" w:id="0">
    <w:p w14:paraId="5DF50448" w14:textId="77777777" w:rsidR="00D754FA" w:rsidRDefault="00D754FA" w:rsidP="00B43CCE">
      <w:r>
        <w:continuationSeparator/>
      </w:r>
    </w:p>
  </w:footnote>
  <w:footnote w:id="1">
    <w:p w14:paraId="5BB6E8CA" w14:textId="6F4EDD99" w:rsidR="00D754FA" w:rsidRPr="00B43CCE" w:rsidRDefault="00D754FA" w:rsidP="00B43CCE">
      <w:pPr>
        <w:jc w:val="both"/>
        <w:rPr>
          <w:rFonts w:eastAsia="Times New Roman" w:cs="Times New Roman"/>
        </w:rPr>
      </w:pPr>
      <w:r>
        <w:rPr>
          <w:rStyle w:val="FootnoteReference"/>
        </w:rPr>
        <w:footnoteRef/>
      </w:r>
      <w:r>
        <w:t xml:space="preserve"> </w:t>
      </w:r>
      <w:r w:rsidRPr="00B43CCE">
        <w:rPr>
          <w:rFonts w:eastAsia="Times New Roman" w:cs="Times New Roman"/>
        </w:rPr>
        <w:t>For more detail see Davies, S.W., Olczak, M., and Coles, H., (2010).</w:t>
      </w:r>
      <w:r>
        <w:rPr>
          <w:rFonts w:eastAsia="Times New Roman" w:cs="Times New Roman"/>
        </w:rPr>
        <w:t xml:space="preserve"> Tacit collusion, firm asymmetries and numbers: evidence from EC merger cases.</w:t>
      </w:r>
      <w:r w:rsidRPr="00B43CCE">
        <w:rPr>
          <w:rFonts w:eastAsia="Times New Roman" w:cs="Times New Roman"/>
        </w:rPr>
        <w:t xml:space="preserve"> </w:t>
      </w:r>
      <w:proofErr w:type="gramStart"/>
      <w:r w:rsidRPr="00B43CCE">
        <w:rPr>
          <w:rStyle w:val="Emphasis"/>
          <w:rFonts w:eastAsia="Times New Roman" w:cs="Times New Roman"/>
        </w:rPr>
        <w:t>International Journal of Industrial Organization, 29(2), 221-31.</w:t>
      </w:r>
      <w:proofErr w:type="gramEnd"/>
      <w:r w:rsidRPr="00B43CCE">
        <w:rPr>
          <w:rStyle w:val="Emphasis"/>
          <w:rFonts w:eastAsia="Times New Roman" w:cs="Times New Roman"/>
        </w:rPr>
        <w:t xml:space="preserve"> </w:t>
      </w:r>
      <w:proofErr w:type="gramStart"/>
      <w:r w:rsidRPr="00B43CCE">
        <w:rPr>
          <w:rStyle w:val="Emphasis"/>
          <w:rFonts w:eastAsia="Times New Roman" w:cs="Times New Roman"/>
        </w:rPr>
        <w:t>and</w:t>
      </w:r>
      <w:proofErr w:type="gramEnd"/>
      <w:r w:rsidRPr="00B43CCE">
        <w:rPr>
          <w:rStyle w:val="Emphasis"/>
          <w:rFonts w:eastAsia="Times New Roman" w:cs="Times New Roman"/>
        </w:rPr>
        <w:t xml:space="preserve"> </w:t>
      </w:r>
      <w:r w:rsidRPr="00B43CCE">
        <w:rPr>
          <w:rFonts w:eastAsia="Times New Roman" w:cs="Times New Roman"/>
        </w:rPr>
        <w:t>Davies, S.W., and Olczak, M., (2010).</w:t>
      </w:r>
      <w:r>
        <w:rPr>
          <w:rFonts w:eastAsia="Times New Roman" w:cs="Times New Roman"/>
        </w:rPr>
        <w:t xml:space="preserve"> Assessing the efficacy of structural merger remedies: choosing between theories of harm,</w:t>
      </w:r>
      <w:r w:rsidRPr="00B43CCE">
        <w:rPr>
          <w:rFonts w:eastAsia="Times New Roman" w:cs="Times New Roman"/>
        </w:rPr>
        <w:t xml:space="preserve"> </w:t>
      </w:r>
      <w:r w:rsidRPr="00B43CCE">
        <w:rPr>
          <w:rStyle w:val="Emphasis"/>
          <w:rFonts w:eastAsia="Times New Roman" w:cs="Times New Roman"/>
        </w:rPr>
        <w:t>Review of Industrial Organization, 37, 83-99. </w:t>
      </w:r>
      <w:r w:rsidRPr="00B43CCE">
        <w:rPr>
          <w:rFonts w:eastAsia="Times New Roman" w:cs="Times New Roman"/>
        </w:rPr>
        <w:t xml:space="preserve"> </w:t>
      </w:r>
    </w:p>
    <w:p w14:paraId="56E381B7" w14:textId="64ACC4B8" w:rsidR="00D754FA" w:rsidRPr="00B43CCE" w:rsidRDefault="00D754FA" w:rsidP="00B43CCE">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AA"/>
    <w:rsid w:val="000655DB"/>
    <w:rsid w:val="00171DFE"/>
    <w:rsid w:val="0027493C"/>
    <w:rsid w:val="002F78B4"/>
    <w:rsid w:val="005652D0"/>
    <w:rsid w:val="0058012F"/>
    <w:rsid w:val="00852AC8"/>
    <w:rsid w:val="00895DB2"/>
    <w:rsid w:val="00B43CCE"/>
    <w:rsid w:val="00C158DC"/>
    <w:rsid w:val="00C85172"/>
    <w:rsid w:val="00CC2F25"/>
    <w:rsid w:val="00D220CE"/>
    <w:rsid w:val="00D646FF"/>
    <w:rsid w:val="00D754FA"/>
    <w:rsid w:val="00D96FAC"/>
    <w:rsid w:val="00DB40D0"/>
    <w:rsid w:val="00E36DAA"/>
    <w:rsid w:val="00ED1F7B"/>
    <w:rsid w:val="00FB5A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1340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6DAA"/>
    <w:rPr>
      <w:color w:val="0000D4"/>
      <w:u w:val="single"/>
    </w:rPr>
  </w:style>
  <w:style w:type="paragraph" w:styleId="FootnoteText">
    <w:name w:val="footnote text"/>
    <w:basedOn w:val="Normal"/>
    <w:link w:val="FootnoteTextChar"/>
    <w:uiPriority w:val="99"/>
    <w:unhideWhenUsed/>
    <w:rsid w:val="00B43CCE"/>
  </w:style>
  <w:style w:type="character" w:customStyle="1" w:styleId="FootnoteTextChar">
    <w:name w:val="Footnote Text Char"/>
    <w:basedOn w:val="DefaultParagraphFont"/>
    <w:link w:val="FootnoteText"/>
    <w:uiPriority w:val="99"/>
    <w:rsid w:val="00B43CCE"/>
  </w:style>
  <w:style w:type="character" w:styleId="FootnoteReference">
    <w:name w:val="footnote reference"/>
    <w:basedOn w:val="DefaultParagraphFont"/>
    <w:uiPriority w:val="99"/>
    <w:unhideWhenUsed/>
    <w:rsid w:val="00B43CCE"/>
    <w:rPr>
      <w:vertAlign w:val="superscript"/>
    </w:rPr>
  </w:style>
  <w:style w:type="character" w:styleId="Emphasis">
    <w:name w:val="Emphasis"/>
    <w:basedOn w:val="DefaultParagraphFont"/>
    <w:uiPriority w:val="20"/>
    <w:qFormat/>
    <w:rsid w:val="00B43CCE"/>
    <w:rPr>
      <w:i/>
      <w:iCs/>
    </w:rPr>
  </w:style>
  <w:style w:type="character" w:styleId="FollowedHyperlink">
    <w:name w:val="FollowedHyperlink"/>
    <w:basedOn w:val="DefaultParagraphFont"/>
    <w:uiPriority w:val="99"/>
    <w:semiHidden/>
    <w:unhideWhenUsed/>
    <w:rsid w:val="00B43CCE"/>
    <w:rPr>
      <w:color w:val="800080" w:themeColor="followedHyperlink"/>
      <w:u w:val="single"/>
    </w:rPr>
  </w:style>
  <w:style w:type="paragraph" w:styleId="BalloonText">
    <w:name w:val="Balloon Text"/>
    <w:basedOn w:val="Normal"/>
    <w:link w:val="BalloonTextChar"/>
    <w:uiPriority w:val="99"/>
    <w:semiHidden/>
    <w:unhideWhenUsed/>
    <w:rsid w:val="00852AC8"/>
    <w:rPr>
      <w:rFonts w:ascii="Tahoma" w:hAnsi="Tahoma" w:cs="Tahoma"/>
      <w:sz w:val="16"/>
      <w:szCs w:val="16"/>
    </w:rPr>
  </w:style>
  <w:style w:type="character" w:customStyle="1" w:styleId="BalloonTextChar">
    <w:name w:val="Balloon Text Char"/>
    <w:basedOn w:val="DefaultParagraphFont"/>
    <w:link w:val="BalloonText"/>
    <w:uiPriority w:val="99"/>
    <w:semiHidden/>
    <w:rsid w:val="00852A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6DAA"/>
    <w:rPr>
      <w:color w:val="0000D4"/>
      <w:u w:val="single"/>
    </w:rPr>
  </w:style>
  <w:style w:type="paragraph" w:styleId="FootnoteText">
    <w:name w:val="footnote text"/>
    <w:basedOn w:val="Normal"/>
    <w:link w:val="FootnoteTextChar"/>
    <w:uiPriority w:val="99"/>
    <w:unhideWhenUsed/>
    <w:rsid w:val="00B43CCE"/>
  </w:style>
  <w:style w:type="character" w:customStyle="1" w:styleId="FootnoteTextChar">
    <w:name w:val="Footnote Text Char"/>
    <w:basedOn w:val="DefaultParagraphFont"/>
    <w:link w:val="FootnoteText"/>
    <w:uiPriority w:val="99"/>
    <w:rsid w:val="00B43CCE"/>
  </w:style>
  <w:style w:type="character" w:styleId="FootnoteReference">
    <w:name w:val="footnote reference"/>
    <w:basedOn w:val="DefaultParagraphFont"/>
    <w:uiPriority w:val="99"/>
    <w:unhideWhenUsed/>
    <w:rsid w:val="00B43CCE"/>
    <w:rPr>
      <w:vertAlign w:val="superscript"/>
    </w:rPr>
  </w:style>
  <w:style w:type="character" w:styleId="Emphasis">
    <w:name w:val="Emphasis"/>
    <w:basedOn w:val="DefaultParagraphFont"/>
    <w:uiPriority w:val="20"/>
    <w:qFormat/>
    <w:rsid w:val="00B43CCE"/>
    <w:rPr>
      <w:i/>
      <w:iCs/>
    </w:rPr>
  </w:style>
  <w:style w:type="character" w:styleId="FollowedHyperlink">
    <w:name w:val="FollowedHyperlink"/>
    <w:basedOn w:val="DefaultParagraphFont"/>
    <w:uiPriority w:val="99"/>
    <w:semiHidden/>
    <w:unhideWhenUsed/>
    <w:rsid w:val="00B43CCE"/>
    <w:rPr>
      <w:color w:val="800080" w:themeColor="followedHyperlink"/>
      <w:u w:val="single"/>
    </w:rPr>
  </w:style>
  <w:style w:type="paragraph" w:styleId="BalloonText">
    <w:name w:val="Balloon Text"/>
    <w:basedOn w:val="Normal"/>
    <w:link w:val="BalloonTextChar"/>
    <w:uiPriority w:val="99"/>
    <w:semiHidden/>
    <w:unhideWhenUsed/>
    <w:rsid w:val="00852AC8"/>
    <w:rPr>
      <w:rFonts w:ascii="Tahoma" w:hAnsi="Tahoma" w:cs="Tahoma"/>
      <w:sz w:val="16"/>
      <w:szCs w:val="16"/>
    </w:rPr>
  </w:style>
  <w:style w:type="character" w:customStyle="1" w:styleId="BalloonTextChar">
    <w:name w:val="Balloon Text Char"/>
    <w:basedOn w:val="DefaultParagraphFont"/>
    <w:link w:val="BalloonText"/>
    <w:uiPriority w:val="99"/>
    <w:semiHidden/>
    <w:rsid w:val="00852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60326">
      <w:bodyDiv w:val="1"/>
      <w:marLeft w:val="0"/>
      <w:marRight w:val="0"/>
      <w:marTop w:val="0"/>
      <w:marBottom w:val="0"/>
      <w:divBdr>
        <w:top w:val="none" w:sz="0" w:space="0" w:color="auto"/>
        <w:left w:val="none" w:sz="0" w:space="0" w:color="auto"/>
        <w:bottom w:val="none" w:sz="0" w:space="0" w:color="auto"/>
        <w:right w:val="none" w:sz="0" w:space="0" w:color="auto"/>
      </w:divBdr>
    </w:div>
    <w:div w:id="1274627827">
      <w:bodyDiv w:val="1"/>
      <w:marLeft w:val="0"/>
      <w:marRight w:val="0"/>
      <w:marTop w:val="0"/>
      <w:marBottom w:val="0"/>
      <w:divBdr>
        <w:top w:val="none" w:sz="0" w:space="0" w:color="auto"/>
        <w:left w:val="none" w:sz="0" w:space="0" w:color="auto"/>
        <w:bottom w:val="none" w:sz="0" w:space="0" w:color="auto"/>
        <w:right w:val="none" w:sz="0" w:space="0" w:color="auto"/>
      </w:divBdr>
    </w:div>
    <w:div w:id="1805079498">
      <w:bodyDiv w:val="1"/>
      <w:marLeft w:val="0"/>
      <w:marRight w:val="0"/>
      <w:marTop w:val="0"/>
      <w:marBottom w:val="0"/>
      <w:divBdr>
        <w:top w:val="none" w:sz="0" w:space="0" w:color="auto"/>
        <w:left w:val="none" w:sz="0" w:space="0" w:color="auto"/>
        <w:bottom w:val="none" w:sz="0" w:space="0" w:color="auto"/>
        <w:right w:val="none" w:sz="0" w:space="0" w:color="auto"/>
      </w:divBdr>
    </w:div>
    <w:div w:id="2044935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217BE5A</Template>
  <TotalTime>0</TotalTime>
  <Pages>4</Pages>
  <Words>1022</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Olczak, Matthew</dc:creator>
  <cp:lastModifiedBy>j009</cp:lastModifiedBy>
  <cp:revision>2</cp:revision>
  <cp:lastPrinted>2014-06-24T10:31:00Z</cp:lastPrinted>
  <dcterms:created xsi:type="dcterms:W3CDTF">2014-06-24T10:31:00Z</dcterms:created>
  <dcterms:modified xsi:type="dcterms:W3CDTF">2014-06-24T10:31:00Z</dcterms:modified>
</cp:coreProperties>
</file>