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F96" w:rsidRPr="008A64B8" w:rsidRDefault="001A3F96" w:rsidP="00103005">
      <w:pPr>
        <w:spacing w:line="360" w:lineRule="auto"/>
        <w:jc w:val="both"/>
        <w:rPr>
          <w:rFonts w:ascii="Times New Roman" w:hAnsi="Times New Roman"/>
          <w:b/>
          <w:sz w:val="28"/>
          <w:szCs w:val="28"/>
        </w:rPr>
      </w:pPr>
      <w:r>
        <w:rPr>
          <w:rFonts w:ascii="Times New Roman" w:hAnsi="Times New Roman"/>
          <w:b/>
          <w:sz w:val="28"/>
          <w:szCs w:val="28"/>
        </w:rPr>
        <w:t>Variable list LLAKES Systems Dataset</w:t>
      </w:r>
    </w:p>
    <w:tbl>
      <w:tblPr>
        <w:tblW w:w="13968" w:type="dxa"/>
        <w:tblBorders>
          <w:top w:val="single" w:sz="12" w:space="0" w:color="000000"/>
          <w:left w:val="single" w:sz="12" w:space="0" w:color="000000"/>
          <w:bottom w:val="single" w:sz="12" w:space="0" w:color="000000"/>
          <w:right w:val="single" w:sz="12" w:space="0" w:color="000000"/>
          <w:insideH w:val="single" w:sz="6" w:space="0" w:color="000000"/>
        </w:tblBorders>
        <w:tblLook w:val="01E0" w:firstRow="1" w:lastRow="1" w:firstColumn="1" w:lastColumn="1" w:noHBand="0" w:noVBand="0"/>
      </w:tblPr>
      <w:tblGrid>
        <w:gridCol w:w="2896"/>
        <w:gridCol w:w="6609"/>
        <w:gridCol w:w="4463"/>
      </w:tblGrid>
      <w:tr w:rsidR="001A3F96" w:rsidRPr="001D245F" w:rsidTr="00D53F3C">
        <w:tc>
          <w:tcPr>
            <w:tcW w:w="2896" w:type="dxa"/>
            <w:tcBorders>
              <w:top w:val="single" w:sz="12" w:space="0" w:color="000000"/>
              <w:bottom w:val="single" w:sz="12" w:space="0" w:color="000000"/>
            </w:tcBorders>
            <w:shd w:val="solid" w:color="808080" w:fill="FFFFFF"/>
          </w:tcPr>
          <w:p w:rsidR="001A3F96" w:rsidRPr="001D245F" w:rsidRDefault="001A3F96" w:rsidP="002D04DA">
            <w:pPr>
              <w:jc w:val="both"/>
              <w:rPr>
                <w:rFonts w:ascii="Times New Roman" w:hAnsi="Times New Roman"/>
                <w:b/>
                <w:bCs/>
                <w:color w:val="FFFFFF"/>
                <w:sz w:val="24"/>
                <w:szCs w:val="24"/>
              </w:rPr>
            </w:pPr>
            <w:r>
              <w:rPr>
                <w:rFonts w:ascii="Times New Roman" w:hAnsi="Times New Roman"/>
                <w:b/>
                <w:bCs/>
                <w:color w:val="FFFFFF"/>
                <w:sz w:val="24"/>
                <w:szCs w:val="24"/>
              </w:rPr>
              <w:t>Variable name</w:t>
            </w:r>
          </w:p>
        </w:tc>
        <w:tc>
          <w:tcPr>
            <w:tcW w:w="6609" w:type="dxa"/>
            <w:tcBorders>
              <w:top w:val="single" w:sz="12" w:space="0" w:color="000000"/>
              <w:bottom w:val="single" w:sz="12" w:space="0" w:color="000000"/>
            </w:tcBorders>
            <w:shd w:val="solid" w:color="808080" w:fill="FFFFFF"/>
          </w:tcPr>
          <w:p w:rsidR="001A3F96" w:rsidRPr="001D245F" w:rsidRDefault="001A3F96" w:rsidP="003F0C0F">
            <w:pPr>
              <w:rPr>
                <w:rFonts w:ascii="Times New Roman" w:hAnsi="Times New Roman"/>
                <w:b/>
                <w:bCs/>
                <w:color w:val="FFFFFF"/>
                <w:sz w:val="24"/>
                <w:szCs w:val="24"/>
              </w:rPr>
            </w:pPr>
            <w:r>
              <w:rPr>
                <w:rFonts w:ascii="Times New Roman" w:hAnsi="Times New Roman"/>
                <w:b/>
                <w:bCs/>
                <w:color w:val="FFFFFF"/>
                <w:sz w:val="24"/>
                <w:szCs w:val="24"/>
              </w:rPr>
              <w:t>Variable meaning</w:t>
            </w:r>
          </w:p>
        </w:tc>
        <w:tc>
          <w:tcPr>
            <w:tcW w:w="4463" w:type="dxa"/>
            <w:tcBorders>
              <w:top w:val="single" w:sz="12" w:space="0" w:color="000000"/>
              <w:bottom w:val="single" w:sz="12" w:space="0" w:color="000000"/>
            </w:tcBorders>
            <w:shd w:val="solid" w:color="808080" w:fill="FFFFFF"/>
          </w:tcPr>
          <w:p w:rsidR="001A3F96" w:rsidRPr="001D245F" w:rsidRDefault="001A3F96" w:rsidP="002D04DA">
            <w:pPr>
              <w:spacing w:line="360" w:lineRule="auto"/>
              <w:jc w:val="both"/>
              <w:rPr>
                <w:rFonts w:ascii="Times New Roman" w:hAnsi="Times New Roman"/>
                <w:b/>
                <w:bCs/>
                <w:color w:val="FFFFFF"/>
                <w:sz w:val="24"/>
                <w:szCs w:val="24"/>
              </w:rPr>
            </w:pPr>
            <w:r w:rsidRPr="001D245F">
              <w:rPr>
                <w:rFonts w:ascii="Times New Roman" w:hAnsi="Times New Roman"/>
                <w:b/>
                <w:bCs/>
                <w:color w:val="FFFFFF"/>
                <w:sz w:val="24"/>
                <w:szCs w:val="24"/>
              </w:rPr>
              <w:t>Source</w:t>
            </w:r>
          </w:p>
        </w:tc>
      </w:tr>
      <w:tr w:rsidR="001A3F96" w:rsidRPr="001D245F" w:rsidTr="00D53F3C">
        <w:tc>
          <w:tcPr>
            <w:tcW w:w="2896" w:type="dxa"/>
          </w:tcPr>
          <w:p w:rsidR="001A3F96" w:rsidRPr="001D245F" w:rsidRDefault="001A3F96" w:rsidP="002D04DA">
            <w:pPr>
              <w:rPr>
                <w:rFonts w:ascii="Times New Roman" w:hAnsi="Times New Roman"/>
                <w:sz w:val="24"/>
                <w:szCs w:val="24"/>
              </w:rPr>
            </w:pPr>
            <w:r>
              <w:rPr>
                <w:rFonts w:ascii="Times New Roman" w:hAnsi="Times New Roman"/>
                <w:sz w:val="24"/>
                <w:szCs w:val="24"/>
              </w:rPr>
              <w:t>Country</w:t>
            </w:r>
          </w:p>
        </w:tc>
        <w:tc>
          <w:tcPr>
            <w:tcW w:w="6609" w:type="dxa"/>
          </w:tcPr>
          <w:p w:rsidR="001A3F96" w:rsidRPr="001D245F" w:rsidRDefault="001A3F96" w:rsidP="002D04DA">
            <w:pPr>
              <w:rPr>
                <w:rFonts w:ascii="Times New Roman" w:hAnsi="Times New Roman"/>
                <w:sz w:val="24"/>
                <w:szCs w:val="24"/>
              </w:rPr>
            </w:pPr>
          </w:p>
        </w:tc>
        <w:tc>
          <w:tcPr>
            <w:tcW w:w="4463" w:type="dxa"/>
          </w:tcPr>
          <w:p w:rsidR="001A3F96" w:rsidRPr="001D245F" w:rsidRDefault="001A3F96" w:rsidP="002D04DA">
            <w:pPr>
              <w:spacing w:line="360" w:lineRule="auto"/>
              <w:rPr>
                <w:rFonts w:ascii="Times New Roman" w:hAnsi="Times New Roman"/>
                <w:sz w:val="24"/>
                <w:szCs w:val="24"/>
              </w:rPr>
            </w:pP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ISO</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Country ISO code</w:t>
            </w:r>
          </w:p>
        </w:tc>
        <w:tc>
          <w:tcPr>
            <w:tcW w:w="4463" w:type="dxa"/>
          </w:tcPr>
          <w:p w:rsidR="001A3F96" w:rsidRPr="00AB7B50" w:rsidRDefault="001A3F96" w:rsidP="002D04DA">
            <w:pPr>
              <w:spacing w:line="360" w:lineRule="auto"/>
              <w:rPr>
                <w:rFonts w:ascii="Times New Roman" w:hAnsi="Times New Roman"/>
                <w:sz w:val="24"/>
                <w:szCs w:val="24"/>
              </w:rPr>
            </w:pPr>
          </w:p>
        </w:tc>
      </w:tr>
      <w:tr w:rsidR="00540F42" w:rsidRPr="00AB7B50" w:rsidTr="00D53F3C">
        <w:tc>
          <w:tcPr>
            <w:tcW w:w="2896" w:type="dxa"/>
          </w:tcPr>
          <w:p w:rsidR="00540F42" w:rsidRPr="00AB7B50" w:rsidRDefault="00540F42" w:rsidP="002D04DA">
            <w:pPr>
              <w:rPr>
                <w:rFonts w:ascii="Times New Roman" w:hAnsi="Times New Roman"/>
                <w:sz w:val="24"/>
                <w:szCs w:val="24"/>
              </w:rPr>
            </w:pPr>
            <w:proofErr w:type="spellStart"/>
            <w:r w:rsidRPr="00AB7B50">
              <w:rPr>
                <w:rFonts w:ascii="Times New Roman" w:hAnsi="Times New Roman"/>
                <w:color w:val="000000"/>
                <w:sz w:val="24"/>
                <w:szCs w:val="24"/>
                <w:lang w:eastAsia="en-GB"/>
              </w:rPr>
              <w:t>Edexprim</w:t>
            </w:r>
            <w:proofErr w:type="spellEnd"/>
            <w:r w:rsidRPr="00AB7B50">
              <w:rPr>
                <w:rFonts w:ascii="Times New Roman" w:hAnsi="Times New Roman"/>
                <w:color w:val="000000"/>
                <w:sz w:val="24"/>
                <w:szCs w:val="24"/>
                <w:lang w:eastAsia="en-GB"/>
              </w:rPr>
              <w:t>[year]</w:t>
            </w:r>
          </w:p>
        </w:tc>
        <w:tc>
          <w:tcPr>
            <w:tcW w:w="6609" w:type="dxa"/>
          </w:tcPr>
          <w:p w:rsidR="00540F42" w:rsidRPr="00AB7B50" w:rsidRDefault="00540F42" w:rsidP="00540F42">
            <w:pPr>
              <w:rPr>
                <w:rFonts w:ascii="Times New Roman" w:hAnsi="Times New Roman"/>
                <w:sz w:val="24"/>
                <w:szCs w:val="24"/>
              </w:rPr>
            </w:pPr>
            <w:r w:rsidRPr="00AB7B50">
              <w:rPr>
                <w:rFonts w:ascii="Times New Roman" w:hAnsi="Times New Roman"/>
                <w:sz w:val="24"/>
                <w:szCs w:val="24"/>
              </w:rPr>
              <w:t>Educational expenditure in primary as % of total educational expenditure</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540F42" w:rsidRPr="00AB7B50" w:rsidTr="00D53F3C">
        <w:tc>
          <w:tcPr>
            <w:tcW w:w="2896" w:type="dxa"/>
          </w:tcPr>
          <w:p w:rsidR="00540F42" w:rsidRPr="00AB7B50" w:rsidRDefault="00540F42" w:rsidP="002D04DA">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Edexlosec</w:t>
            </w:r>
            <w:proofErr w:type="spellEnd"/>
            <w:r w:rsidRPr="00AB7B50">
              <w:rPr>
                <w:rFonts w:ascii="Times New Roman" w:hAnsi="Times New Roman"/>
                <w:color w:val="000000"/>
                <w:sz w:val="24"/>
                <w:szCs w:val="24"/>
                <w:lang w:eastAsia="en-GB"/>
              </w:rPr>
              <w:t>[year]</w:t>
            </w:r>
          </w:p>
        </w:tc>
        <w:tc>
          <w:tcPr>
            <w:tcW w:w="6609" w:type="dxa"/>
          </w:tcPr>
          <w:p w:rsidR="00540F42" w:rsidRPr="00AB7B50" w:rsidRDefault="00540F42" w:rsidP="00540F42">
            <w:pPr>
              <w:rPr>
                <w:rFonts w:ascii="Times New Roman" w:hAnsi="Times New Roman"/>
                <w:sz w:val="24"/>
                <w:szCs w:val="24"/>
              </w:rPr>
            </w:pPr>
            <w:r w:rsidRPr="00AB7B50">
              <w:rPr>
                <w:rFonts w:ascii="Times New Roman" w:hAnsi="Times New Roman"/>
                <w:sz w:val="24"/>
                <w:szCs w:val="24"/>
              </w:rPr>
              <w:t xml:space="preserve">Educational expenditure in lower secondary as % of total educational expenditure </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540F42" w:rsidRPr="00AB7B50" w:rsidTr="00D53F3C">
        <w:tc>
          <w:tcPr>
            <w:tcW w:w="2896" w:type="dxa"/>
          </w:tcPr>
          <w:p w:rsidR="00540F42" w:rsidRPr="00AB7B50" w:rsidRDefault="008618B2" w:rsidP="002D04DA">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Edexupsec</w:t>
            </w:r>
            <w:proofErr w:type="spellEnd"/>
            <w:r w:rsidRPr="00AB7B50">
              <w:rPr>
                <w:rFonts w:ascii="Times New Roman" w:hAnsi="Times New Roman"/>
                <w:color w:val="000000"/>
                <w:sz w:val="24"/>
                <w:szCs w:val="24"/>
                <w:lang w:eastAsia="en-GB"/>
              </w:rPr>
              <w:t>[year]</w:t>
            </w:r>
          </w:p>
        </w:tc>
        <w:tc>
          <w:tcPr>
            <w:tcW w:w="6609" w:type="dxa"/>
          </w:tcPr>
          <w:p w:rsidR="00540F42" w:rsidRPr="00AB7B50" w:rsidRDefault="008618B2" w:rsidP="00540F42">
            <w:pPr>
              <w:rPr>
                <w:rFonts w:ascii="Times New Roman" w:hAnsi="Times New Roman"/>
                <w:sz w:val="24"/>
                <w:szCs w:val="24"/>
              </w:rPr>
            </w:pPr>
            <w:r w:rsidRPr="00AB7B50">
              <w:rPr>
                <w:rFonts w:ascii="Times New Roman" w:hAnsi="Times New Roman"/>
                <w:sz w:val="24"/>
                <w:szCs w:val="24"/>
              </w:rPr>
              <w:t>Educational expenditure in upper secondary as % of total educational expenditure</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540F42" w:rsidRPr="00AB7B50" w:rsidTr="00D53F3C">
        <w:tc>
          <w:tcPr>
            <w:tcW w:w="2896" w:type="dxa"/>
          </w:tcPr>
          <w:p w:rsidR="00540F42" w:rsidRPr="00AB7B50" w:rsidRDefault="008618B2" w:rsidP="002D04DA">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Pubexedu</w:t>
            </w:r>
            <w:proofErr w:type="spellEnd"/>
            <w:r w:rsidRPr="00AB7B50">
              <w:rPr>
                <w:rFonts w:ascii="Times New Roman" w:hAnsi="Times New Roman"/>
                <w:color w:val="000000"/>
                <w:sz w:val="24"/>
                <w:szCs w:val="24"/>
                <w:lang w:eastAsia="en-GB"/>
              </w:rPr>
              <w:t>[year]_GDP</w:t>
            </w:r>
          </w:p>
        </w:tc>
        <w:tc>
          <w:tcPr>
            <w:tcW w:w="6609" w:type="dxa"/>
          </w:tcPr>
          <w:p w:rsidR="00540F42" w:rsidRPr="00AB7B50" w:rsidRDefault="008618B2" w:rsidP="00540F42">
            <w:pPr>
              <w:rPr>
                <w:rFonts w:ascii="Times New Roman" w:hAnsi="Times New Roman"/>
                <w:sz w:val="24"/>
                <w:szCs w:val="24"/>
              </w:rPr>
            </w:pPr>
            <w:r w:rsidRPr="00AB7B50">
              <w:rPr>
                <w:rFonts w:ascii="Times New Roman" w:hAnsi="Times New Roman"/>
                <w:sz w:val="24"/>
                <w:szCs w:val="24"/>
              </w:rPr>
              <w:t xml:space="preserve">Public expenditure on education as % of GDP </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540F42" w:rsidRPr="00AB7B50" w:rsidTr="00D53F3C">
        <w:tc>
          <w:tcPr>
            <w:tcW w:w="2896" w:type="dxa"/>
          </w:tcPr>
          <w:p w:rsidR="00540F42" w:rsidRPr="00AB7B50" w:rsidRDefault="008618B2" w:rsidP="002D04DA">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Pubexpup</w:t>
            </w:r>
            <w:proofErr w:type="spellEnd"/>
            <w:r w:rsidRPr="00AB7B50">
              <w:rPr>
                <w:rFonts w:ascii="Times New Roman" w:hAnsi="Times New Roman"/>
                <w:color w:val="000000"/>
                <w:sz w:val="24"/>
                <w:szCs w:val="24"/>
                <w:lang w:eastAsia="en-GB"/>
              </w:rPr>
              <w:t>[year]_GDPAL</w:t>
            </w:r>
          </w:p>
        </w:tc>
        <w:tc>
          <w:tcPr>
            <w:tcW w:w="6609" w:type="dxa"/>
          </w:tcPr>
          <w:p w:rsidR="00540F42" w:rsidRPr="00AB7B50" w:rsidRDefault="008618B2" w:rsidP="00540F42">
            <w:pPr>
              <w:rPr>
                <w:rFonts w:ascii="Times New Roman" w:hAnsi="Times New Roman"/>
                <w:sz w:val="24"/>
                <w:szCs w:val="24"/>
              </w:rPr>
            </w:pPr>
            <w:r w:rsidRPr="00AB7B50">
              <w:rPr>
                <w:rFonts w:ascii="Times New Roman" w:hAnsi="Times New Roman"/>
                <w:sz w:val="24"/>
                <w:szCs w:val="24"/>
              </w:rPr>
              <w:t xml:space="preserve">Public expenditure per pupil as a % of GDP per capita. All levels </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540F42" w:rsidRPr="00AB7B50" w:rsidTr="00D53F3C">
        <w:tc>
          <w:tcPr>
            <w:tcW w:w="2896" w:type="dxa"/>
          </w:tcPr>
          <w:p w:rsidR="00540F42" w:rsidRPr="00AB7B50" w:rsidRDefault="00B76354" w:rsidP="002D04DA">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Pubexpup</w:t>
            </w:r>
            <w:proofErr w:type="spellEnd"/>
            <w:r w:rsidRPr="00AB7B50">
              <w:rPr>
                <w:rFonts w:ascii="Times New Roman" w:hAnsi="Times New Roman"/>
                <w:color w:val="000000"/>
                <w:sz w:val="24"/>
                <w:szCs w:val="24"/>
                <w:lang w:eastAsia="en-GB"/>
              </w:rPr>
              <w:t>[year]_GDPPR</w:t>
            </w:r>
          </w:p>
        </w:tc>
        <w:tc>
          <w:tcPr>
            <w:tcW w:w="6609" w:type="dxa"/>
          </w:tcPr>
          <w:p w:rsidR="00540F42" w:rsidRPr="00AB7B50" w:rsidRDefault="00B76354" w:rsidP="00B76354">
            <w:pPr>
              <w:rPr>
                <w:rFonts w:ascii="Times New Roman" w:hAnsi="Times New Roman"/>
                <w:sz w:val="24"/>
                <w:szCs w:val="24"/>
              </w:rPr>
            </w:pPr>
            <w:r w:rsidRPr="00AB7B50">
              <w:rPr>
                <w:rFonts w:ascii="Times New Roman" w:hAnsi="Times New Roman"/>
                <w:sz w:val="24"/>
                <w:szCs w:val="24"/>
              </w:rPr>
              <w:t xml:space="preserve">Public expenditure per pupil as a % of GDP per capita. Primary </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540F42" w:rsidRPr="00AB7B50" w:rsidTr="00D53F3C">
        <w:tc>
          <w:tcPr>
            <w:tcW w:w="2896" w:type="dxa"/>
          </w:tcPr>
          <w:p w:rsidR="00540F42" w:rsidRPr="00AB7B50" w:rsidRDefault="00B76354" w:rsidP="002D04DA">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Pubexpup</w:t>
            </w:r>
            <w:proofErr w:type="spellEnd"/>
            <w:r w:rsidRPr="00AB7B50">
              <w:rPr>
                <w:rFonts w:ascii="Times New Roman" w:hAnsi="Times New Roman"/>
                <w:color w:val="000000"/>
                <w:sz w:val="24"/>
                <w:szCs w:val="24"/>
                <w:lang w:eastAsia="en-GB"/>
              </w:rPr>
              <w:t>[year]_GDPSE</w:t>
            </w:r>
          </w:p>
        </w:tc>
        <w:tc>
          <w:tcPr>
            <w:tcW w:w="6609" w:type="dxa"/>
          </w:tcPr>
          <w:p w:rsidR="00540F42" w:rsidRPr="00AB7B50" w:rsidRDefault="00B76354" w:rsidP="00540F42">
            <w:pPr>
              <w:rPr>
                <w:rFonts w:ascii="Times New Roman" w:hAnsi="Times New Roman"/>
                <w:sz w:val="24"/>
                <w:szCs w:val="24"/>
              </w:rPr>
            </w:pPr>
            <w:r w:rsidRPr="00AB7B50">
              <w:rPr>
                <w:rFonts w:ascii="Times New Roman" w:hAnsi="Times New Roman"/>
                <w:sz w:val="24"/>
                <w:szCs w:val="24"/>
              </w:rPr>
              <w:t>Public expenditure per pupil as a % of GDP per capita. Secondary</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540F42" w:rsidRPr="00AB7B50" w:rsidTr="00D53F3C">
        <w:tc>
          <w:tcPr>
            <w:tcW w:w="2896" w:type="dxa"/>
          </w:tcPr>
          <w:p w:rsidR="00540F42" w:rsidRPr="00AB7B50" w:rsidRDefault="00455A7E" w:rsidP="00455A7E">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Durationcompedu</w:t>
            </w:r>
            <w:proofErr w:type="spellEnd"/>
            <w:r w:rsidRPr="00AB7B50">
              <w:rPr>
                <w:rFonts w:ascii="Times New Roman" w:hAnsi="Times New Roman"/>
                <w:color w:val="000000"/>
                <w:sz w:val="24"/>
                <w:szCs w:val="24"/>
                <w:lang w:eastAsia="en-GB"/>
              </w:rPr>
              <w:t>[year]</w:t>
            </w:r>
          </w:p>
        </w:tc>
        <w:tc>
          <w:tcPr>
            <w:tcW w:w="6609" w:type="dxa"/>
          </w:tcPr>
          <w:p w:rsidR="00540F42" w:rsidRPr="00AB7B50" w:rsidRDefault="00455A7E" w:rsidP="00455A7E">
            <w:pPr>
              <w:rPr>
                <w:rFonts w:ascii="Times New Roman" w:hAnsi="Times New Roman"/>
                <w:sz w:val="24"/>
                <w:szCs w:val="24"/>
              </w:rPr>
            </w:pPr>
            <w:r w:rsidRPr="00AB7B50">
              <w:rPr>
                <w:rFonts w:ascii="Times New Roman" w:hAnsi="Times New Roman"/>
                <w:sz w:val="24"/>
                <w:szCs w:val="24"/>
              </w:rPr>
              <w:t xml:space="preserve">Duration of compulsory education </w:t>
            </w:r>
          </w:p>
        </w:tc>
        <w:tc>
          <w:tcPr>
            <w:tcW w:w="4463" w:type="dxa"/>
          </w:tcPr>
          <w:p w:rsidR="00540F42" w:rsidRPr="00AB7B50" w:rsidRDefault="00AB7B50" w:rsidP="002D04DA">
            <w:pPr>
              <w:spacing w:line="360" w:lineRule="auto"/>
              <w:rPr>
                <w:rFonts w:ascii="Times New Roman" w:hAnsi="Times New Roman"/>
                <w:sz w:val="24"/>
                <w:szCs w:val="24"/>
              </w:rPr>
            </w:pPr>
            <w:r w:rsidRPr="00AB7B50">
              <w:rPr>
                <w:rFonts w:ascii="Times New Roman" w:hAnsi="Times New Roman"/>
                <w:color w:val="000000"/>
                <w:sz w:val="24"/>
                <w:szCs w:val="24"/>
              </w:rPr>
              <w:t>OECD - Education at a Glance</w:t>
            </w:r>
          </w:p>
        </w:tc>
      </w:tr>
      <w:tr w:rsidR="00487E36" w:rsidRPr="00AB7B50" w:rsidTr="00D53F3C">
        <w:tc>
          <w:tcPr>
            <w:tcW w:w="2896" w:type="dxa"/>
          </w:tcPr>
          <w:p w:rsidR="00487E36" w:rsidRPr="00AB7B50" w:rsidRDefault="00487E36" w:rsidP="002D04DA">
            <w:pPr>
              <w:rPr>
                <w:rFonts w:ascii="Times New Roman" w:hAnsi="Times New Roman"/>
                <w:sz w:val="24"/>
                <w:szCs w:val="24"/>
              </w:rPr>
            </w:pPr>
            <w:proofErr w:type="spellStart"/>
            <w:r w:rsidRPr="00AB7B50">
              <w:rPr>
                <w:rFonts w:ascii="Times New Roman" w:hAnsi="Times New Roman"/>
                <w:sz w:val="24"/>
                <w:szCs w:val="24"/>
              </w:rPr>
              <w:t>Admreg</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487E36" w:rsidRPr="00AB7B50" w:rsidRDefault="00487E36" w:rsidP="00BC7066">
            <w:pPr>
              <w:rPr>
                <w:rFonts w:ascii="Times New Roman" w:hAnsi="Times New Roman"/>
                <w:sz w:val="24"/>
                <w:szCs w:val="24"/>
              </w:rPr>
            </w:pPr>
            <w:r w:rsidRPr="00AB7B50">
              <w:rPr>
                <w:rFonts w:ascii="Times New Roman" w:hAnsi="Times New Roman"/>
                <w:color w:val="000000"/>
                <w:sz w:val="24"/>
                <w:szCs w:val="24"/>
                <w:lang w:eastAsia="en-GB"/>
              </w:rPr>
              <w:t>Student admission decided at regional or national level 2000 (Proportion)</w:t>
            </w:r>
          </w:p>
        </w:tc>
        <w:tc>
          <w:tcPr>
            <w:tcW w:w="4463" w:type="dxa"/>
          </w:tcPr>
          <w:p w:rsidR="00487E36" w:rsidRPr="00AB7B50" w:rsidRDefault="00487E36" w:rsidP="002D04DA">
            <w:pPr>
              <w:spacing w:line="360" w:lineRule="auto"/>
              <w:rPr>
                <w:rFonts w:ascii="Times New Roman" w:hAnsi="Times New Roman"/>
                <w:sz w:val="24"/>
                <w:szCs w:val="24"/>
              </w:rPr>
            </w:pPr>
            <w:r w:rsidRPr="00AB7B50">
              <w:rPr>
                <w:rFonts w:ascii="Times New Roman" w:hAnsi="Times New Roman"/>
                <w:sz w:val="24"/>
                <w:szCs w:val="24"/>
              </w:rPr>
              <w:t>PISA-OECD</w:t>
            </w:r>
          </w:p>
        </w:tc>
      </w:tr>
      <w:tr w:rsidR="00AC15D2" w:rsidRPr="00AB7B50" w:rsidTr="00D53F3C">
        <w:tc>
          <w:tcPr>
            <w:tcW w:w="2896" w:type="dxa"/>
          </w:tcPr>
          <w:p w:rsidR="00AC15D2" w:rsidRPr="00AB7B50" w:rsidRDefault="00F96C72" w:rsidP="002D04DA">
            <w:pPr>
              <w:rPr>
                <w:rFonts w:ascii="Times New Roman" w:hAnsi="Times New Roman"/>
                <w:sz w:val="24"/>
                <w:szCs w:val="24"/>
              </w:rPr>
            </w:pPr>
            <w:proofErr w:type="spellStart"/>
            <w:r w:rsidRPr="00AB7B50">
              <w:rPr>
                <w:rFonts w:ascii="Times New Roman" w:hAnsi="Times New Roman"/>
                <w:sz w:val="24"/>
                <w:szCs w:val="24"/>
              </w:rPr>
              <w:t>S</w:t>
            </w:r>
            <w:r w:rsidR="00AC15D2" w:rsidRPr="00AB7B50">
              <w:rPr>
                <w:rFonts w:ascii="Times New Roman" w:hAnsi="Times New Roman"/>
                <w:sz w:val="24"/>
                <w:szCs w:val="24"/>
              </w:rPr>
              <w:t>tafreg</w:t>
            </w:r>
            <w:proofErr w:type="spellEnd"/>
            <w:r w:rsidR="00AC15D2" w:rsidRPr="00AB7B50">
              <w:rPr>
                <w:rFonts w:ascii="Times New Roman" w:hAnsi="Times New Roman"/>
                <w:sz w:val="24"/>
                <w:szCs w:val="24"/>
              </w:rPr>
              <w:t>[year]_</w:t>
            </w:r>
            <w:proofErr w:type="spellStart"/>
            <w:r w:rsidR="00AC15D2" w:rsidRPr="00AB7B50">
              <w:rPr>
                <w:rFonts w:ascii="Times New Roman" w:hAnsi="Times New Roman"/>
                <w:sz w:val="24"/>
                <w:szCs w:val="24"/>
              </w:rPr>
              <w:t>pisa</w:t>
            </w:r>
            <w:proofErr w:type="spellEnd"/>
          </w:p>
        </w:tc>
        <w:tc>
          <w:tcPr>
            <w:tcW w:w="6609" w:type="dxa"/>
          </w:tcPr>
          <w:p w:rsidR="00AC15D2" w:rsidRPr="00AB7B50" w:rsidRDefault="00AC15D2" w:rsidP="00AC15D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Staffing decided at regional or national level </w:t>
            </w:r>
          </w:p>
        </w:tc>
        <w:tc>
          <w:tcPr>
            <w:tcW w:w="4463" w:type="dxa"/>
          </w:tcPr>
          <w:p w:rsidR="00AC15D2" w:rsidRPr="00AB7B50" w:rsidRDefault="00AC15D2" w:rsidP="002D04DA">
            <w:pPr>
              <w:spacing w:line="360" w:lineRule="auto"/>
              <w:rPr>
                <w:rFonts w:ascii="Times New Roman" w:hAnsi="Times New Roman"/>
                <w:sz w:val="24"/>
                <w:szCs w:val="24"/>
              </w:rPr>
            </w:pPr>
          </w:p>
        </w:tc>
      </w:tr>
      <w:tr w:rsidR="00AC15D2" w:rsidRPr="00AB7B50" w:rsidTr="00D53F3C">
        <w:tc>
          <w:tcPr>
            <w:tcW w:w="2896" w:type="dxa"/>
          </w:tcPr>
          <w:p w:rsidR="00AC15D2" w:rsidRPr="00AB7B50" w:rsidRDefault="00F96C72" w:rsidP="002D04DA">
            <w:pPr>
              <w:rPr>
                <w:rFonts w:ascii="Times New Roman" w:hAnsi="Times New Roman"/>
                <w:sz w:val="24"/>
                <w:szCs w:val="24"/>
              </w:rPr>
            </w:pPr>
            <w:r w:rsidRPr="00AB7B50">
              <w:rPr>
                <w:rFonts w:ascii="Times New Roman" w:hAnsi="Times New Roman"/>
                <w:sz w:val="24"/>
                <w:szCs w:val="24"/>
              </w:rPr>
              <w:t>C</w:t>
            </w:r>
            <w:r w:rsidR="00AC15D2" w:rsidRPr="00AB7B50">
              <w:rPr>
                <w:rFonts w:ascii="Times New Roman" w:hAnsi="Times New Roman"/>
                <w:sz w:val="24"/>
                <w:szCs w:val="24"/>
              </w:rPr>
              <w:t>hoice</w:t>
            </w:r>
            <w:r w:rsidRPr="00AB7B50">
              <w:rPr>
                <w:rFonts w:ascii="Times New Roman" w:hAnsi="Times New Roman"/>
                <w:sz w:val="24"/>
                <w:szCs w:val="24"/>
              </w:rPr>
              <w:t>[one/two/more]</w:t>
            </w:r>
            <w:r w:rsidR="00AC15D2" w:rsidRPr="00AB7B50">
              <w:rPr>
                <w:rFonts w:ascii="Times New Roman" w:hAnsi="Times New Roman"/>
                <w:sz w:val="24"/>
                <w:szCs w:val="24"/>
              </w:rPr>
              <w:t>_</w:t>
            </w:r>
            <w:proofErr w:type="spellStart"/>
            <w:r w:rsidR="00AC15D2" w:rsidRPr="00AB7B50">
              <w:rPr>
                <w:rFonts w:ascii="Times New Roman" w:hAnsi="Times New Roman"/>
                <w:sz w:val="24"/>
                <w:szCs w:val="24"/>
              </w:rPr>
              <w:t>pisa</w:t>
            </w:r>
            <w:proofErr w:type="spellEnd"/>
          </w:p>
          <w:p w:rsidR="00AC15D2" w:rsidRPr="00AB7B50" w:rsidRDefault="00AC15D2" w:rsidP="002D04DA">
            <w:pPr>
              <w:rPr>
                <w:rFonts w:ascii="Times New Roman" w:hAnsi="Times New Roman"/>
                <w:sz w:val="24"/>
                <w:szCs w:val="24"/>
              </w:rPr>
            </w:pPr>
          </w:p>
        </w:tc>
        <w:tc>
          <w:tcPr>
            <w:tcW w:w="6609" w:type="dxa"/>
          </w:tcPr>
          <w:p w:rsidR="00AC15D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Choice between one/two/ more schools</w:t>
            </w:r>
          </w:p>
        </w:tc>
        <w:tc>
          <w:tcPr>
            <w:tcW w:w="4463" w:type="dxa"/>
          </w:tcPr>
          <w:p w:rsidR="00AC15D2" w:rsidRPr="00AB7B50" w:rsidRDefault="00AC15D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2D04DA">
            <w:pPr>
              <w:rPr>
                <w:rFonts w:ascii="Times New Roman" w:hAnsi="Times New Roman"/>
                <w:sz w:val="24"/>
                <w:szCs w:val="24"/>
              </w:rPr>
            </w:pPr>
            <w:proofErr w:type="spellStart"/>
            <w:r w:rsidRPr="00AB7B50">
              <w:rPr>
                <w:rFonts w:ascii="Times New Roman" w:hAnsi="Times New Roman"/>
                <w:sz w:val="24"/>
                <w:szCs w:val="24"/>
              </w:rPr>
              <w:t>Avescs</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Average ESCS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F96C72">
            <w:pPr>
              <w:rPr>
                <w:rFonts w:ascii="Times New Roman" w:hAnsi="Times New Roman"/>
                <w:sz w:val="24"/>
                <w:szCs w:val="24"/>
              </w:rPr>
            </w:pPr>
            <w:proofErr w:type="spellStart"/>
            <w:r w:rsidRPr="00AB7B50">
              <w:rPr>
                <w:rFonts w:ascii="Times New Roman" w:hAnsi="Times New Roman"/>
                <w:sz w:val="24"/>
                <w:szCs w:val="24"/>
              </w:rPr>
              <w:t>Varescs</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Total variance ESCS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F96C72">
            <w:pPr>
              <w:rPr>
                <w:rFonts w:ascii="Times New Roman" w:hAnsi="Times New Roman"/>
                <w:sz w:val="24"/>
                <w:szCs w:val="24"/>
              </w:rPr>
            </w:pPr>
            <w:proofErr w:type="spellStart"/>
            <w:r w:rsidRPr="00AB7B50">
              <w:rPr>
                <w:rFonts w:ascii="Times New Roman" w:hAnsi="Times New Roman"/>
                <w:sz w:val="24"/>
                <w:szCs w:val="24"/>
              </w:rPr>
              <w:t>Btvarescs</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Between school variance on ESCS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F96C72">
            <w:pPr>
              <w:rPr>
                <w:rFonts w:ascii="Times New Roman" w:hAnsi="Times New Roman"/>
                <w:sz w:val="24"/>
                <w:szCs w:val="24"/>
              </w:rPr>
            </w:pPr>
            <w:proofErr w:type="spellStart"/>
            <w:r w:rsidRPr="00AB7B50">
              <w:rPr>
                <w:rFonts w:ascii="Times New Roman" w:hAnsi="Times New Roman"/>
                <w:sz w:val="24"/>
                <w:szCs w:val="24"/>
              </w:rPr>
              <w:lastRenderedPageBreak/>
              <w:t>Wtvarescs</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Within school variance on ESCS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F96C72">
            <w:pPr>
              <w:rPr>
                <w:rFonts w:ascii="Times New Roman" w:hAnsi="Times New Roman"/>
                <w:sz w:val="24"/>
                <w:szCs w:val="24"/>
              </w:rPr>
            </w:pPr>
            <w:proofErr w:type="spellStart"/>
            <w:r w:rsidRPr="00AB7B50">
              <w:rPr>
                <w:rFonts w:ascii="Times New Roman" w:hAnsi="Times New Roman"/>
                <w:sz w:val="24"/>
                <w:szCs w:val="24"/>
              </w:rPr>
              <w:t>Avscore</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Average scores</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F96C72">
            <w:pPr>
              <w:rPr>
                <w:rFonts w:ascii="Times New Roman" w:hAnsi="Times New Roman"/>
                <w:sz w:val="24"/>
                <w:szCs w:val="24"/>
              </w:rPr>
            </w:pPr>
            <w:proofErr w:type="spellStart"/>
            <w:r w:rsidRPr="00AB7B50">
              <w:rPr>
                <w:rFonts w:ascii="Times New Roman" w:hAnsi="Times New Roman"/>
                <w:sz w:val="24"/>
                <w:szCs w:val="24"/>
              </w:rPr>
              <w:t>Varscore</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Total variance on scores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F96C72">
            <w:pPr>
              <w:rPr>
                <w:rFonts w:ascii="Times New Roman" w:hAnsi="Times New Roman"/>
                <w:sz w:val="24"/>
                <w:szCs w:val="24"/>
              </w:rPr>
            </w:pPr>
            <w:proofErr w:type="spellStart"/>
            <w:r w:rsidRPr="00AB7B50">
              <w:rPr>
                <w:rFonts w:ascii="Times New Roman" w:hAnsi="Times New Roman"/>
                <w:sz w:val="24"/>
                <w:szCs w:val="24"/>
              </w:rPr>
              <w:t>Btvarscores</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Between School Variance on scores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F96C72" w:rsidP="00F96C72">
            <w:pPr>
              <w:rPr>
                <w:rFonts w:ascii="Times New Roman" w:hAnsi="Times New Roman"/>
                <w:sz w:val="24"/>
                <w:szCs w:val="24"/>
              </w:rPr>
            </w:pPr>
            <w:proofErr w:type="spellStart"/>
            <w:r w:rsidRPr="00AB7B50">
              <w:rPr>
                <w:rFonts w:ascii="Times New Roman" w:hAnsi="Times New Roman"/>
                <w:sz w:val="24"/>
                <w:szCs w:val="24"/>
              </w:rPr>
              <w:t>Wtvarscores</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F96C72"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Within School Variance on scores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Schauto</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School autonomy  </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Schsize</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1B12A0"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School size</w:t>
            </w:r>
          </w:p>
        </w:tc>
        <w:tc>
          <w:tcPr>
            <w:tcW w:w="4463" w:type="dxa"/>
          </w:tcPr>
          <w:p w:rsidR="00F96C72" w:rsidRPr="00AB7B50" w:rsidRDefault="00F96C72" w:rsidP="002D04DA">
            <w:pPr>
              <w:spacing w:line="360" w:lineRule="auto"/>
              <w:rPr>
                <w:rFonts w:ascii="Times New Roman" w:hAnsi="Times New Roman"/>
                <w:sz w:val="24"/>
                <w:szCs w:val="24"/>
              </w:rPr>
            </w:pPr>
          </w:p>
        </w:tc>
      </w:tr>
      <w:tr w:rsidR="00F96C72" w:rsidRPr="00AB7B50" w:rsidTr="00D53F3C">
        <w:tc>
          <w:tcPr>
            <w:tcW w:w="2896" w:type="dxa"/>
          </w:tcPr>
          <w:p w:rsidR="00F96C72"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Stratio</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F96C72"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Student teacher ratio </w:t>
            </w:r>
          </w:p>
        </w:tc>
        <w:tc>
          <w:tcPr>
            <w:tcW w:w="4463" w:type="dxa"/>
          </w:tcPr>
          <w:p w:rsidR="00F96C72" w:rsidRPr="00AB7B50" w:rsidRDefault="00F96C72"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Selecres</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Selection Sometimes Residence</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Selecac</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F96C72">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Selection Sometimes Academic Records</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Selecsch</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Selection Sometimes Recommendation from feeder schools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Selecrel</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Selection Sometimes Religious philosophy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Selecspe</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Selection Sometimes Special program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Selecpar</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Selection Sometimes Parents former students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Abgroupall</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For all subjects Ability grouping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Abgroupsom</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For some subjects Ability grouping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Abgroupnon</w:t>
            </w:r>
            <w:proofErr w:type="spellEnd"/>
            <w:r w:rsidRPr="00AB7B50">
              <w:rPr>
                <w:rFonts w:ascii="Times New Roman" w:hAnsi="Times New Roman"/>
                <w:sz w:val="24"/>
                <w:szCs w:val="24"/>
              </w:rPr>
              <w:t>[year]_</w:t>
            </w:r>
            <w:proofErr w:type="spellStart"/>
            <w:r w:rsidRPr="00AB7B50">
              <w:rPr>
                <w:rFonts w:ascii="Times New Roman" w:hAnsi="Times New Roman"/>
                <w:sz w:val="24"/>
                <w:szCs w:val="24"/>
              </w:rPr>
              <w:t>pisa</w:t>
            </w:r>
            <w:proofErr w:type="spellEnd"/>
          </w:p>
        </w:tc>
        <w:tc>
          <w:tcPr>
            <w:tcW w:w="6609" w:type="dxa"/>
          </w:tcPr>
          <w:p w:rsidR="001B12A0" w:rsidRPr="00AB7B50" w:rsidRDefault="001B12A0" w:rsidP="001B12A0">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Not for any subjects Ability grouping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7743CD" w:rsidP="007743CD">
            <w:pPr>
              <w:rPr>
                <w:rFonts w:ascii="Times New Roman" w:hAnsi="Times New Roman"/>
                <w:sz w:val="24"/>
                <w:szCs w:val="24"/>
              </w:rPr>
            </w:pPr>
            <w:proofErr w:type="spellStart"/>
            <w:r w:rsidRPr="00AB7B50">
              <w:rPr>
                <w:rFonts w:ascii="Times New Roman" w:hAnsi="Times New Roman"/>
                <w:sz w:val="24"/>
                <w:szCs w:val="24"/>
              </w:rPr>
              <w:t>G</w:t>
            </w:r>
            <w:r w:rsidR="001B12A0" w:rsidRPr="00AB7B50">
              <w:rPr>
                <w:rFonts w:ascii="Times New Roman" w:hAnsi="Times New Roman"/>
                <w:sz w:val="24"/>
                <w:szCs w:val="24"/>
              </w:rPr>
              <w:t>raderep</w:t>
            </w:r>
            <w:proofErr w:type="spellEnd"/>
            <w:r w:rsidRPr="00AB7B50">
              <w:rPr>
                <w:rFonts w:ascii="Times New Roman" w:hAnsi="Times New Roman"/>
                <w:sz w:val="24"/>
                <w:szCs w:val="24"/>
              </w:rPr>
              <w:t>[year]</w:t>
            </w:r>
            <w:r w:rsidR="001B12A0" w:rsidRPr="00AB7B50">
              <w:rPr>
                <w:rFonts w:ascii="Times New Roman" w:hAnsi="Times New Roman"/>
                <w:sz w:val="24"/>
                <w:szCs w:val="24"/>
              </w:rPr>
              <w:t>_</w:t>
            </w:r>
            <w:proofErr w:type="spellStart"/>
            <w:r w:rsidR="001B12A0" w:rsidRPr="00AB7B50">
              <w:rPr>
                <w:rFonts w:ascii="Times New Roman" w:hAnsi="Times New Roman"/>
                <w:sz w:val="24"/>
                <w:szCs w:val="24"/>
              </w:rPr>
              <w:t>pisa</w:t>
            </w:r>
            <w:proofErr w:type="spellEnd"/>
          </w:p>
        </w:tc>
        <w:tc>
          <w:tcPr>
            <w:tcW w:w="6609" w:type="dxa"/>
          </w:tcPr>
          <w:p w:rsidR="001B12A0" w:rsidRPr="00AB7B50" w:rsidRDefault="007743CD" w:rsidP="007743CD">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Grade repetition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7743CD" w:rsidP="00F96C72">
            <w:pPr>
              <w:rPr>
                <w:rFonts w:ascii="Times New Roman" w:hAnsi="Times New Roman"/>
                <w:sz w:val="24"/>
                <w:szCs w:val="24"/>
              </w:rPr>
            </w:pPr>
            <w:proofErr w:type="spellStart"/>
            <w:r w:rsidRPr="00AB7B50">
              <w:rPr>
                <w:rFonts w:ascii="Times New Roman" w:hAnsi="Times New Roman"/>
                <w:sz w:val="24"/>
                <w:szCs w:val="24"/>
              </w:rPr>
              <w:t>Privatedep</w:t>
            </w:r>
            <w:proofErr w:type="spellEnd"/>
            <w:r w:rsidRPr="00AB7B50">
              <w:rPr>
                <w:rFonts w:ascii="Times New Roman" w:hAnsi="Times New Roman"/>
                <w:sz w:val="24"/>
                <w:szCs w:val="24"/>
              </w:rPr>
              <w:t>[year]</w:t>
            </w:r>
            <w:r w:rsidR="001B12A0" w:rsidRPr="00AB7B50">
              <w:rPr>
                <w:rFonts w:ascii="Times New Roman" w:hAnsi="Times New Roman"/>
                <w:sz w:val="24"/>
                <w:szCs w:val="24"/>
              </w:rPr>
              <w:t>_</w:t>
            </w:r>
            <w:proofErr w:type="spellStart"/>
            <w:r w:rsidR="001B12A0" w:rsidRPr="00AB7B50">
              <w:rPr>
                <w:rFonts w:ascii="Times New Roman" w:hAnsi="Times New Roman"/>
                <w:sz w:val="24"/>
                <w:szCs w:val="24"/>
              </w:rPr>
              <w:t>pisa</w:t>
            </w:r>
            <w:proofErr w:type="spellEnd"/>
          </w:p>
        </w:tc>
        <w:tc>
          <w:tcPr>
            <w:tcW w:w="6609" w:type="dxa"/>
          </w:tcPr>
          <w:p w:rsidR="001B12A0" w:rsidRPr="00AB7B50" w:rsidRDefault="007743CD" w:rsidP="007743CD">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Private dependent School type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7743CD" w:rsidP="007743CD">
            <w:pPr>
              <w:rPr>
                <w:rFonts w:ascii="Times New Roman" w:hAnsi="Times New Roman"/>
                <w:sz w:val="24"/>
                <w:szCs w:val="24"/>
              </w:rPr>
            </w:pPr>
            <w:proofErr w:type="spellStart"/>
            <w:r w:rsidRPr="00AB7B50">
              <w:rPr>
                <w:rFonts w:ascii="Times New Roman" w:hAnsi="Times New Roman"/>
                <w:sz w:val="24"/>
                <w:szCs w:val="24"/>
              </w:rPr>
              <w:t>P</w:t>
            </w:r>
            <w:r w:rsidR="001B12A0" w:rsidRPr="00AB7B50">
              <w:rPr>
                <w:rFonts w:ascii="Times New Roman" w:hAnsi="Times New Roman"/>
                <w:sz w:val="24"/>
                <w:szCs w:val="24"/>
              </w:rPr>
              <w:t>rivateindep</w:t>
            </w:r>
            <w:proofErr w:type="spellEnd"/>
            <w:r w:rsidRPr="00AB7B50">
              <w:rPr>
                <w:rFonts w:ascii="Times New Roman" w:hAnsi="Times New Roman"/>
                <w:sz w:val="24"/>
                <w:szCs w:val="24"/>
              </w:rPr>
              <w:t>[year]</w:t>
            </w:r>
            <w:r w:rsidR="001B12A0" w:rsidRPr="00AB7B50">
              <w:rPr>
                <w:rFonts w:ascii="Times New Roman" w:hAnsi="Times New Roman"/>
                <w:sz w:val="24"/>
                <w:szCs w:val="24"/>
              </w:rPr>
              <w:t>_</w:t>
            </w:r>
            <w:proofErr w:type="spellStart"/>
            <w:r w:rsidR="001B12A0" w:rsidRPr="00AB7B50">
              <w:rPr>
                <w:rFonts w:ascii="Times New Roman" w:hAnsi="Times New Roman"/>
                <w:sz w:val="24"/>
                <w:szCs w:val="24"/>
              </w:rPr>
              <w:t>pisa</w:t>
            </w:r>
            <w:proofErr w:type="spellEnd"/>
          </w:p>
        </w:tc>
        <w:tc>
          <w:tcPr>
            <w:tcW w:w="6609" w:type="dxa"/>
          </w:tcPr>
          <w:p w:rsidR="001B12A0" w:rsidRPr="00AB7B50" w:rsidRDefault="007743CD" w:rsidP="007743CD">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Private independent School type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7743CD" w:rsidP="00F96C72">
            <w:pPr>
              <w:rPr>
                <w:rFonts w:ascii="Times New Roman" w:hAnsi="Times New Roman"/>
                <w:sz w:val="24"/>
                <w:szCs w:val="24"/>
              </w:rPr>
            </w:pPr>
            <w:r w:rsidRPr="00AB7B50">
              <w:rPr>
                <w:rFonts w:ascii="Times New Roman" w:hAnsi="Times New Roman"/>
                <w:sz w:val="24"/>
                <w:szCs w:val="24"/>
              </w:rPr>
              <w:lastRenderedPageBreak/>
              <w:t>Public[year]</w:t>
            </w:r>
            <w:r w:rsidR="001B12A0" w:rsidRPr="00AB7B50">
              <w:rPr>
                <w:rFonts w:ascii="Times New Roman" w:hAnsi="Times New Roman"/>
                <w:sz w:val="24"/>
                <w:szCs w:val="24"/>
              </w:rPr>
              <w:t>_</w:t>
            </w:r>
            <w:proofErr w:type="spellStart"/>
            <w:r w:rsidR="001B12A0" w:rsidRPr="00AB7B50">
              <w:rPr>
                <w:rFonts w:ascii="Times New Roman" w:hAnsi="Times New Roman"/>
                <w:sz w:val="24"/>
                <w:szCs w:val="24"/>
              </w:rPr>
              <w:t>pisa</w:t>
            </w:r>
            <w:proofErr w:type="spellEnd"/>
          </w:p>
        </w:tc>
        <w:tc>
          <w:tcPr>
            <w:tcW w:w="6609" w:type="dxa"/>
          </w:tcPr>
          <w:p w:rsidR="001B12A0" w:rsidRPr="00AB7B50" w:rsidRDefault="007743CD" w:rsidP="007743CD">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 xml:space="preserve">Public School type </w:t>
            </w:r>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7743CD">
            <w:pPr>
              <w:rPr>
                <w:rFonts w:ascii="Times New Roman" w:hAnsi="Times New Roman"/>
                <w:sz w:val="24"/>
                <w:szCs w:val="24"/>
              </w:rPr>
            </w:pPr>
            <w:r w:rsidRPr="00AB7B50">
              <w:rPr>
                <w:rFonts w:ascii="Times New Roman" w:hAnsi="Times New Roman"/>
                <w:sz w:val="24"/>
                <w:szCs w:val="24"/>
              </w:rPr>
              <w:t>Expend</w:t>
            </w:r>
            <w:r w:rsidR="007743CD" w:rsidRPr="00AB7B50">
              <w:rPr>
                <w:rFonts w:ascii="Times New Roman" w:hAnsi="Times New Roman"/>
                <w:sz w:val="24"/>
                <w:szCs w:val="24"/>
              </w:rPr>
              <w:t>[year]</w:t>
            </w:r>
            <w:r w:rsidRPr="00AB7B50">
              <w:rPr>
                <w:rFonts w:ascii="Times New Roman" w:hAnsi="Times New Roman"/>
                <w:sz w:val="24"/>
                <w:szCs w:val="24"/>
              </w:rPr>
              <w:t>_</w:t>
            </w:r>
            <w:proofErr w:type="spellStart"/>
            <w:r w:rsidRPr="00AB7B50">
              <w:rPr>
                <w:rFonts w:ascii="Times New Roman" w:hAnsi="Times New Roman"/>
                <w:sz w:val="24"/>
                <w:szCs w:val="24"/>
              </w:rPr>
              <w:t>unesco</w:t>
            </w:r>
            <w:proofErr w:type="spellEnd"/>
          </w:p>
        </w:tc>
        <w:tc>
          <w:tcPr>
            <w:tcW w:w="6609" w:type="dxa"/>
          </w:tcPr>
          <w:p w:rsidR="001B12A0" w:rsidRPr="00AB7B50" w:rsidRDefault="007743CD" w:rsidP="007743CD">
            <w:pPr>
              <w:rPr>
                <w:rFonts w:ascii="Times New Roman" w:hAnsi="Times New Roman"/>
                <w:color w:val="000000"/>
                <w:sz w:val="24"/>
                <w:szCs w:val="24"/>
                <w:lang w:eastAsia="en-GB"/>
              </w:rPr>
            </w:pPr>
            <w:proofErr w:type="spellStart"/>
            <w:r w:rsidRPr="00AB7B50">
              <w:rPr>
                <w:rFonts w:ascii="Times New Roman" w:hAnsi="Times New Roman"/>
                <w:color w:val="000000"/>
                <w:sz w:val="24"/>
                <w:szCs w:val="24"/>
                <w:lang w:eastAsia="en-GB"/>
              </w:rPr>
              <w:t>Exp%GDP</w:t>
            </w:r>
            <w:proofErr w:type="spellEnd"/>
          </w:p>
        </w:tc>
        <w:tc>
          <w:tcPr>
            <w:tcW w:w="4463" w:type="dxa"/>
          </w:tcPr>
          <w:p w:rsidR="001B12A0" w:rsidRPr="00AB7B50" w:rsidRDefault="001B12A0" w:rsidP="002D04DA">
            <w:pPr>
              <w:spacing w:line="360" w:lineRule="auto"/>
              <w:rPr>
                <w:rFonts w:ascii="Times New Roman" w:hAnsi="Times New Roman"/>
                <w:sz w:val="24"/>
                <w:szCs w:val="24"/>
              </w:rPr>
            </w:pPr>
          </w:p>
        </w:tc>
      </w:tr>
      <w:tr w:rsidR="001B12A0" w:rsidRPr="00AB7B50" w:rsidTr="00D53F3C">
        <w:tc>
          <w:tcPr>
            <w:tcW w:w="2896" w:type="dxa"/>
          </w:tcPr>
          <w:p w:rsidR="001B12A0" w:rsidRPr="00AB7B50" w:rsidRDefault="001B12A0" w:rsidP="001B12A0">
            <w:pPr>
              <w:rPr>
                <w:rFonts w:ascii="Times New Roman" w:hAnsi="Times New Roman"/>
                <w:sz w:val="24"/>
                <w:szCs w:val="24"/>
              </w:rPr>
            </w:pPr>
            <w:proofErr w:type="spellStart"/>
            <w:r w:rsidRPr="00AB7B50">
              <w:rPr>
                <w:rFonts w:ascii="Times New Roman" w:hAnsi="Times New Roman"/>
                <w:sz w:val="24"/>
                <w:szCs w:val="24"/>
              </w:rPr>
              <w:t>Unesco_voc</w:t>
            </w:r>
            <w:proofErr w:type="spellEnd"/>
            <w:r w:rsidRPr="00AB7B50">
              <w:rPr>
                <w:rFonts w:ascii="Times New Roman" w:hAnsi="Times New Roman"/>
                <w:sz w:val="24"/>
                <w:szCs w:val="24"/>
              </w:rPr>
              <w:t>[year]</w:t>
            </w:r>
          </w:p>
        </w:tc>
        <w:tc>
          <w:tcPr>
            <w:tcW w:w="6609" w:type="dxa"/>
          </w:tcPr>
          <w:p w:rsidR="001B12A0" w:rsidRPr="00AB7B50" w:rsidRDefault="007743CD" w:rsidP="007743CD">
            <w:pPr>
              <w:rPr>
                <w:rFonts w:ascii="Times New Roman" w:hAnsi="Times New Roman"/>
                <w:color w:val="000000"/>
                <w:sz w:val="24"/>
                <w:szCs w:val="24"/>
                <w:lang w:eastAsia="en-GB"/>
              </w:rPr>
            </w:pPr>
            <w:r w:rsidRPr="00AB7B50">
              <w:rPr>
                <w:rFonts w:ascii="Times New Roman" w:hAnsi="Times New Roman"/>
                <w:color w:val="000000"/>
                <w:sz w:val="24"/>
                <w:szCs w:val="24"/>
                <w:lang w:eastAsia="en-GB"/>
              </w:rPr>
              <w:t>Vocational enrolment % of total enrolment</w:t>
            </w:r>
          </w:p>
        </w:tc>
        <w:tc>
          <w:tcPr>
            <w:tcW w:w="4463" w:type="dxa"/>
          </w:tcPr>
          <w:p w:rsidR="001B12A0" w:rsidRPr="00AB7B50" w:rsidRDefault="001B12A0" w:rsidP="002D04DA">
            <w:pPr>
              <w:spacing w:line="360" w:lineRule="auto"/>
              <w:rPr>
                <w:rFonts w:ascii="Times New Roman" w:hAnsi="Times New Roman"/>
                <w:sz w:val="24"/>
                <w:szCs w:val="24"/>
              </w:rPr>
            </w:pP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Educgini</w:t>
            </w:r>
            <w:proofErr w:type="spellEnd"/>
            <w:r w:rsidRPr="00AB7B50">
              <w:rPr>
                <w:rFonts w:ascii="Times New Roman" w:hAnsi="Times New Roman"/>
                <w:sz w:val="24"/>
                <w:szCs w:val="24"/>
              </w:rPr>
              <w:t>[year]</w:t>
            </w:r>
          </w:p>
        </w:tc>
        <w:tc>
          <w:tcPr>
            <w:tcW w:w="6609" w:type="dxa"/>
          </w:tcPr>
          <w:p w:rsidR="001A3F96" w:rsidRPr="00AB7B50" w:rsidRDefault="001A3F96" w:rsidP="00BC7066">
            <w:pPr>
              <w:rPr>
                <w:rFonts w:ascii="Times New Roman" w:hAnsi="Times New Roman"/>
                <w:sz w:val="24"/>
                <w:szCs w:val="24"/>
              </w:rPr>
            </w:pPr>
            <w:r w:rsidRPr="00AB7B50">
              <w:rPr>
                <w:rFonts w:ascii="Times New Roman" w:hAnsi="Times New Roman"/>
                <w:sz w:val="24"/>
                <w:szCs w:val="24"/>
              </w:rPr>
              <w:t xml:space="preserve">Education </w:t>
            </w:r>
            <w:proofErr w:type="spellStart"/>
            <w:r w:rsidRPr="00AB7B50">
              <w:rPr>
                <w:rFonts w:ascii="Times New Roman" w:hAnsi="Times New Roman"/>
                <w:sz w:val="24"/>
                <w:szCs w:val="24"/>
              </w:rPr>
              <w:t>Gini</w:t>
            </w:r>
            <w:proofErr w:type="spellEnd"/>
            <w:r w:rsidRPr="00AB7B50">
              <w:rPr>
                <w:rFonts w:ascii="Times New Roman" w:hAnsi="Times New Roman"/>
                <w:sz w:val="24"/>
                <w:szCs w:val="24"/>
              </w:rPr>
              <w:t xml:space="preserve"> Index, for age 15 and over, total population</w:t>
            </w:r>
          </w:p>
          <w:p w:rsidR="001A3F96" w:rsidRPr="00AB7B50" w:rsidRDefault="001A3F96" w:rsidP="002D04DA">
            <w:pPr>
              <w:rPr>
                <w:rFonts w:ascii="Times New Roman" w:hAnsi="Times New Roman"/>
                <w:sz w:val="24"/>
                <w:szCs w:val="24"/>
              </w:rPr>
            </w:pP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World Bank (Thomas, Wang and Fan)</w:t>
            </w: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Inequality[year]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Income share of highest quintile minus income share of lowest quintile</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 xml:space="preserve">World Bank (World Development Report)        </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Inequalitygini</w:t>
            </w:r>
            <w:proofErr w:type="spellEnd"/>
            <w:r w:rsidRPr="00AB7B50">
              <w:rPr>
                <w:rFonts w:ascii="Times New Roman" w:hAnsi="Times New Roman"/>
                <w:sz w:val="24"/>
                <w:szCs w:val="24"/>
              </w:rPr>
              <w:t>[year]</w:t>
            </w:r>
          </w:p>
        </w:tc>
        <w:tc>
          <w:tcPr>
            <w:tcW w:w="6609"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Gini</w:t>
            </w:r>
            <w:proofErr w:type="spellEnd"/>
            <w:r w:rsidRPr="00AB7B50">
              <w:rPr>
                <w:rFonts w:ascii="Times New Roman" w:hAnsi="Times New Roman"/>
                <w:sz w:val="24"/>
                <w:szCs w:val="24"/>
              </w:rPr>
              <w:t xml:space="preserve"> coefficient on household income</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World Bank (World Development Report)</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Publsocexp</w:t>
            </w:r>
            <w:proofErr w:type="spellEnd"/>
            <w:r w:rsidRPr="00AB7B50">
              <w:rPr>
                <w:rFonts w:ascii="Times New Roman" w:hAnsi="Times New Roman"/>
                <w:sz w:val="24"/>
                <w:szCs w:val="24"/>
              </w:rPr>
              <w:t>[year]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Public social expenditure as percentage of GDP</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OECD (</w:t>
            </w:r>
            <w:proofErr w:type="spellStart"/>
            <w:r w:rsidRPr="00AB7B50">
              <w:rPr>
                <w:rFonts w:ascii="Times New Roman" w:hAnsi="Times New Roman"/>
                <w:sz w:val="24"/>
                <w:szCs w:val="24"/>
              </w:rPr>
              <w:t>Statextracts</w:t>
            </w:r>
            <w:proofErr w:type="spellEnd"/>
            <w:r w:rsidRPr="00AB7B50">
              <w:rPr>
                <w:rFonts w:ascii="Times New Roman" w:hAnsi="Times New Roman"/>
                <w:sz w:val="24"/>
                <w:szCs w:val="24"/>
              </w:rPr>
              <w:t>)</w:t>
            </w: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Unionization[year]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Percentage of employees who are union members</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OECD (</w:t>
            </w:r>
            <w:proofErr w:type="spellStart"/>
            <w:r w:rsidRPr="00AB7B50">
              <w:rPr>
                <w:rFonts w:ascii="Times New Roman" w:hAnsi="Times New Roman"/>
                <w:sz w:val="24"/>
                <w:szCs w:val="24"/>
              </w:rPr>
              <w:t>Statextracts</w:t>
            </w:r>
            <w:proofErr w:type="spellEnd"/>
            <w:r w:rsidRPr="00AB7B50">
              <w:rPr>
                <w:rFonts w:ascii="Times New Roman" w:hAnsi="Times New Roman"/>
                <w:sz w:val="24"/>
                <w:szCs w:val="24"/>
              </w:rPr>
              <w:t>)</w:t>
            </w: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EPL[year]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Composite index measuring the degree of legal employment protection. It includes 18 items on three main areas of legislation: (1) individual dismissal of regular workers; (2) Collective dismissal; (3) regulation of temporary forms of employment. The values of the index range between 1 [most liberal] and 6 [most strict].</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OECD (</w:t>
            </w:r>
            <w:proofErr w:type="spellStart"/>
            <w:r w:rsidRPr="00AB7B50">
              <w:rPr>
                <w:rFonts w:ascii="Times New Roman" w:hAnsi="Times New Roman"/>
                <w:sz w:val="24"/>
                <w:szCs w:val="24"/>
              </w:rPr>
              <w:t>Statextracts</w:t>
            </w:r>
            <w:proofErr w:type="spellEnd"/>
            <w:r w:rsidRPr="00AB7B50">
              <w:rPr>
                <w:rFonts w:ascii="Times New Roman" w:hAnsi="Times New Roman"/>
                <w:sz w:val="24"/>
                <w:szCs w:val="24"/>
              </w:rPr>
              <w:t>)</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Unioncov</w:t>
            </w:r>
            <w:proofErr w:type="spellEnd"/>
            <w:r w:rsidRPr="00AB7B50">
              <w:rPr>
                <w:rFonts w:ascii="Times New Roman" w:hAnsi="Times New Roman"/>
                <w:sz w:val="24"/>
                <w:szCs w:val="24"/>
              </w:rPr>
              <w:t>[year]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Proportion of employees covered by collective labour agreements (1&lt;25%; 2=25-70%; 3&gt;75%)</w:t>
            </w:r>
          </w:p>
        </w:tc>
        <w:tc>
          <w:tcPr>
            <w:tcW w:w="4463" w:type="dxa"/>
          </w:tcPr>
          <w:p w:rsidR="001A3F96" w:rsidRPr="00AB7B50" w:rsidRDefault="001A3F96" w:rsidP="002D04DA">
            <w:pPr>
              <w:spacing w:line="360" w:lineRule="auto"/>
              <w:rPr>
                <w:rFonts w:ascii="Times New Roman" w:hAnsi="Times New Roman"/>
                <w:sz w:val="24"/>
                <w:szCs w:val="24"/>
              </w:rPr>
            </w:pPr>
            <w:proofErr w:type="spellStart"/>
            <w:r w:rsidRPr="00AB7B50">
              <w:rPr>
                <w:rFonts w:ascii="Times New Roman" w:hAnsi="Times New Roman"/>
                <w:sz w:val="24"/>
                <w:szCs w:val="24"/>
              </w:rPr>
              <w:t>Nickell</w:t>
            </w:r>
            <w:proofErr w:type="spellEnd"/>
            <w:r w:rsidRPr="00AB7B50">
              <w:rPr>
                <w:rFonts w:ascii="Times New Roman" w:hAnsi="Times New Roman"/>
                <w:sz w:val="24"/>
                <w:szCs w:val="24"/>
              </w:rPr>
              <w:t xml:space="preserve"> and Layard (1998)</w:t>
            </w: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Centralization[year]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Centralization of wage bargaining (scale ranging between 1 [max decentralisation] and 17 [max centralisation])</w:t>
            </w:r>
          </w:p>
        </w:tc>
        <w:tc>
          <w:tcPr>
            <w:tcW w:w="4463" w:type="dxa"/>
          </w:tcPr>
          <w:p w:rsidR="001A3F96" w:rsidRPr="00AB7B50" w:rsidRDefault="001A3F96" w:rsidP="002D04DA">
            <w:pPr>
              <w:spacing w:line="360" w:lineRule="auto"/>
              <w:rPr>
                <w:rFonts w:ascii="Times New Roman" w:hAnsi="Times New Roman"/>
                <w:sz w:val="24"/>
                <w:szCs w:val="24"/>
              </w:rPr>
            </w:pPr>
            <w:proofErr w:type="spellStart"/>
            <w:r w:rsidRPr="00AB7B50">
              <w:rPr>
                <w:rFonts w:ascii="Times New Roman" w:hAnsi="Times New Roman"/>
                <w:sz w:val="24"/>
                <w:szCs w:val="24"/>
              </w:rPr>
              <w:t>Nickell</w:t>
            </w:r>
            <w:proofErr w:type="spellEnd"/>
            <w:r w:rsidRPr="00AB7B50">
              <w:rPr>
                <w:rFonts w:ascii="Times New Roman" w:hAnsi="Times New Roman"/>
                <w:sz w:val="24"/>
                <w:szCs w:val="24"/>
              </w:rPr>
              <w:t xml:space="preserve"> and Layard (1998)</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Publicempl</w:t>
            </w:r>
            <w:proofErr w:type="spellEnd"/>
            <w:r w:rsidRPr="00AB7B50">
              <w:rPr>
                <w:rFonts w:ascii="Times New Roman" w:hAnsi="Times New Roman"/>
                <w:sz w:val="24"/>
                <w:szCs w:val="24"/>
              </w:rPr>
              <w:t>[year]</w:t>
            </w:r>
          </w:p>
        </w:tc>
        <w:tc>
          <w:tcPr>
            <w:tcW w:w="6609" w:type="dxa"/>
          </w:tcPr>
          <w:p w:rsidR="001A3F96" w:rsidRPr="00AB7B50" w:rsidRDefault="001A3F96" w:rsidP="002D04DA">
            <w:pPr>
              <w:spacing w:before="100" w:beforeAutospacing="1" w:after="100" w:afterAutospacing="1"/>
              <w:rPr>
                <w:rFonts w:ascii="Times New Roman" w:hAnsi="Times New Roman"/>
                <w:sz w:val="24"/>
                <w:szCs w:val="24"/>
              </w:rPr>
            </w:pPr>
            <w:r w:rsidRPr="00AB7B50">
              <w:rPr>
                <w:rFonts w:ascii="Times New Roman" w:hAnsi="Times New Roman"/>
                <w:sz w:val="24"/>
                <w:szCs w:val="24"/>
              </w:rPr>
              <w:t>Public sector employment as percentage of total employment</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ILO (</w:t>
            </w:r>
            <w:proofErr w:type="spellStart"/>
            <w:r w:rsidRPr="00AB7B50">
              <w:rPr>
                <w:rFonts w:ascii="Times New Roman" w:hAnsi="Times New Roman"/>
                <w:sz w:val="24"/>
                <w:szCs w:val="24"/>
              </w:rPr>
              <w:t>Laborsta</w:t>
            </w:r>
            <w:proofErr w:type="spellEnd"/>
            <w:r w:rsidRPr="00AB7B50">
              <w:rPr>
                <w:rFonts w:ascii="Times New Roman" w:hAnsi="Times New Roman"/>
                <w:sz w:val="24"/>
                <w:szCs w:val="24"/>
              </w:rPr>
              <w:t xml:space="preserve"> Online Statistics)</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Violentcrime</w:t>
            </w:r>
            <w:proofErr w:type="spellEnd"/>
            <w:r w:rsidRPr="00AB7B50">
              <w:rPr>
                <w:rFonts w:ascii="Times New Roman" w:hAnsi="Times New Roman"/>
                <w:sz w:val="24"/>
                <w:szCs w:val="24"/>
              </w:rPr>
              <w:t>[year]</w:t>
            </w:r>
          </w:p>
        </w:tc>
        <w:tc>
          <w:tcPr>
            <w:tcW w:w="6609" w:type="dxa"/>
          </w:tcPr>
          <w:p w:rsidR="001A3F96" w:rsidRPr="00AB7B50" w:rsidRDefault="001A3F96" w:rsidP="002D04DA">
            <w:pPr>
              <w:spacing w:before="100" w:beforeAutospacing="1" w:after="100" w:afterAutospacing="1"/>
              <w:rPr>
                <w:rFonts w:ascii="Times New Roman" w:hAnsi="Times New Roman"/>
                <w:sz w:val="24"/>
                <w:szCs w:val="24"/>
              </w:rPr>
            </w:pPr>
            <w:r w:rsidRPr="00AB7B50">
              <w:rPr>
                <w:rFonts w:ascii="Times New Roman" w:hAnsi="Times New Roman"/>
                <w:sz w:val="24"/>
                <w:szCs w:val="24"/>
              </w:rPr>
              <w:t>Number of homicides, rapes and robberies per 100,000</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UN (UN Survey of Crime Trends and Operations of Criminal Justice Systems)</w:t>
            </w: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Homicide[year]</w:t>
            </w:r>
          </w:p>
        </w:tc>
        <w:tc>
          <w:tcPr>
            <w:tcW w:w="6609" w:type="dxa"/>
          </w:tcPr>
          <w:p w:rsidR="001A3F96" w:rsidRPr="00AB7B50" w:rsidRDefault="001A3F96" w:rsidP="002D04DA">
            <w:pPr>
              <w:spacing w:before="100" w:beforeAutospacing="1" w:after="100" w:afterAutospacing="1"/>
              <w:rPr>
                <w:rFonts w:ascii="Times New Roman" w:hAnsi="Times New Roman"/>
                <w:sz w:val="24"/>
                <w:szCs w:val="24"/>
              </w:rPr>
            </w:pPr>
            <w:r w:rsidRPr="00AB7B50">
              <w:rPr>
                <w:rFonts w:ascii="Times New Roman" w:hAnsi="Times New Roman"/>
                <w:sz w:val="24"/>
                <w:szCs w:val="24"/>
              </w:rPr>
              <w:t>Number of homicides per 100,000</w:t>
            </w:r>
          </w:p>
        </w:tc>
        <w:tc>
          <w:tcPr>
            <w:tcW w:w="4463" w:type="dxa"/>
          </w:tcPr>
          <w:p w:rsidR="001A3F96" w:rsidRPr="00AB7B50" w:rsidRDefault="001A3F96" w:rsidP="002D04DA">
            <w:pPr>
              <w:spacing w:line="360" w:lineRule="auto"/>
              <w:rPr>
                <w:rFonts w:ascii="Times New Roman" w:hAnsi="Times New Roman"/>
                <w:sz w:val="24"/>
                <w:szCs w:val="24"/>
              </w:rPr>
            </w:pPr>
            <w:r w:rsidRPr="00AB7B50">
              <w:rPr>
                <w:rFonts w:ascii="Times New Roman" w:hAnsi="Times New Roman"/>
                <w:sz w:val="24"/>
                <w:szCs w:val="24"/>
              </w:rPr>
              <w:t>UN (UN Survey of Crime Trends and Operations of Criminal Justice Systems)</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lastRenderedPageBreak/>
              <w:t>Ethfract</w:t>
            </w:r>
            <w:proofErr w:type="spellEnd"/>
            <w:r w:rsidRPr="00AB7B50">
              <w:rPr>
                <w:rFonts w:ascii="Times New Roman" w:hAnsi="Times New Roman"/>
                <w:sz w:val="24"/>
                <w:szCs w:val="24"/>
              </w:rPr>
              <w:t>[year]</w:t>
            </w:r>
          </w:p>
        </w:tc>
        <w:tc>
          <w:tcPr>
            <w:tcW w:w="6609" w:type="dxa"/>
          </w:tcPr>
          <w:p w:rsidR="001A3F96" w:rsidRPr="00AB7B50" w:rsidRDefault="001A3F96" w:rsidP="002D04DA">
            <w:pPr>
              <w:spacing w:before="100" w:beforeAutospacing="1" w:after="100" w:afterAutospacing="1"/>
              <w:rPr>
                <w:rFonts w:ascii="Times New Roman" w:hAnsi="Times New Roman"/>
                <w:sz w:val="24"/>
                <w:szCs w:val="24"/>
              </w:rPr>
            </w:pPr>
            <w:r w:rsidRPr="00AB7B50">
              <w:rPr>
                <w:rFonts w:ascii="Times New Roman" w:hAnsi="Times New Roman"/>
                <w:sz w:val="24"/>
                <w:szCs w:val="24"/>
              </w:rPr>
              <w:t>Ethnic diversity (as measured by the ethnic fractionalisation index)</w:t>
            </w:r>
          </w:p>
        </w:tc>
        <w:tc>
          <w:tcPr>
            <w:tcW w:w="4463" w:type="dxa"/>
          </w:tcPr>
          <w:p w:rsidR="001A3F96" w:rsidRPr="00AB7B50" w:rsidRDefault="001A3F96" w:rsidP="002D04DA">
            <w:pPr>
              <w:spacing w:line="360" w:lineRule="auto"/>
              <w:rPr>
                <w:rFonts w:ascii="Times New Roman" w:hAnsi="Times New Roman"/>
                <w:sz w:val="24"/>
                <w:szCs w:val="24"/>
              </w:rPr>
            </w:pPr>
            <w:proofErr w:type="spellStart"/>
            <w:r w:rsidRPr="00AB7B50">
              <w:rPr>
                <w:rFonts w:ascii="Times New Roman" w:hAnsi="Times New Roman"/>
                <w:sz w:val="24"/>
                <w:szCs w:val="24"/>
              </w:rPr>
              <w:t>Alesina</w:t>
            </w:r>
            <w:proofErr w:type="spellEnd"/>
            <w:r w:rsidRPr="00AB7B50">
              <w:rPr>
                <w:rFonts w:ascii="Times New Roman" w:hAnsi="Times New Roman"/>
                <w:sz w:val="24"/>
                <w:szCs w:val="24"/>
              </w:rPr>
              <w:t xml:space="preserve"> et al (2003)</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Migrantstock</w:t>
            </w:r>
            <w:proofErr w:type="spellEnd"/>
            <w:r w:rsidRPr="00AB7B50">
              <w:rPr>
                <w:rFonts w:ascii="Times New Roman" w:hAnsi="Times New Roman"/>
                <w:sz w:val="24"/>
                <w:szCs w:val="24"/>
              </w:rPr>
              <w:t>[year]</w:t>
            </w:r>
          </w:p>
        </w:tc>
        <w:tc>
          <w:tcPr>
            <w:tcW w:w="6609" w:type="dxa"/>
          </w:tcPr>
          <w:p w:rsidR="001A3F96" w:rsidRPr="00AB7B50" w:rsidRDefault="001A3F96" w:rsidP="002D04DA">
            <w:pPr>
              <w:spacing w:before="100" w:beforeAutospacing="1" w:after="100" w:afterAutospacing="1"/>
              <w:rPr>
                <w:rFonts w:ascii="Times New Roman" w:hAnsi="Times New Roman"/>
                <w:sz w:val="24"/>
                <w:szCs w:val="24"/>
              </w:rPr>
            </w:pPr>
            <w:r w:rsidRPr="00AB7B50">
              <w:rPr>
                <w:rFonts w:ascii="Times New Roman" w:hAnsi="Times New Roman"/>
                <w:sz w:val="24"/>
                <w:szCs w:val="24"/>
              </w:rPr>
              <w:t>Percentage of the population born abroad</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sz w:val="24"/>
                <w:szCs w:val="24"/>
              </w:rPr>
              <w:t>UN (UN Online Data on Population of Migrant Stock)</w:t>
            </w:r>
          </w:p>
        </w:tc>
      </w:tr>
      <w:tr w:rsidR="001A3F96" w:rsidRPr="00AB7B50" w:rsidTr="00D53F3C">
        <w:tc>
          <w:tcPr>
            <w:tcW w:w="2896" w:type="dxa"/>
          </w:tcPr>
          <w:p w:rsidR="001A3F96" w:rsidRPr="00AB7B50" w:rsidRDefault="001A3F96" w:rsidP="002D04DA">
            <w:pPr>
              <w:rPr>
                <w:rFonts w:ascii="Times New Roman" w:hAnsi="Times New Roman"/>
                <w:color w:val="000000"/>
                <w:sz w:val="24"/>
                <w:szCs w:val="24"/>
              </w:rPr>
            </w:pPr>
            <w:proofErr w:type="spellStart"/>
            <w:r w:rsidRPr="00AB7B50">
              <w:rPr>
                <w:rFonts w:ascii="Times New Roman" w:hAnsi="Times New Roman"/>
                <w:color w:val="000000"/>
                <w:sz w:val="24"/>
                <w:szCs w:val="24"/>
              </w:rPr>
              <w:t>Socialtrust</w:t>
            </w:r>
            <w:proofErr w:type="spellEnd"/>
            <w:r w:rsidRPr="00AB7B50">
              <w:rPr>
                <w:rFonts w:ascii="Times New Roman" w:hAnsi="Times New Roman"/>
                <w:color w:val="000000"/>
                <w:sz w:val="24"/>
                <w:szCs w:val="24"/>
              </w:rPr>
              <w:t>[year]</w:t>
            </w:r>
          </w:p>
        </w:tc>
        <w:tc>
          <w:tcPr>
            <w:tcW w:w="6609" w:type="dxa"/>
          </w:tcPr>
          <w:p w:rsidR="001A3F96" w:rsidRPr="00AB7B50" w:rsidRDefault="001A3F96" w:rsidP="002D04DA">
            <w:pPr>
              <w:rPr>
                <w:rFonts w:ascii="Times New Roman" w:hAnsi="Times New Roman"/>
                <w:color w:val="000000"/>
                <w:sz w:val="24"/>
                <w:szCs w:val="24"/>
              </w:rPr>
            </w:pPr>
            <w:r w:rsidRPr="00AB7B50">
              <w:rPr>
                <w:rFonts w:ascii="Times New Roman" w:hAnsi="Times New Roman"/>
                <w:color w:val="000000"/>
                <w:sz w:val="24"/>
                <w:szCs w:val="24"/>
              </w:rPr>
              <w:t xml:space="preserve">Percentage saying that most people can be trusted </w:t>
            </w:r>
          </w:p>
        </w:tc>
        <w:tc>
          <w:tcPr>
            <w:tcW w:w="4463" w:type="dxa"/>
          </w:tcPr>
          <w:p w:rsidR="001A3F96" w:rsidRPr="00AB7B50" w:rsidRDefault="001A3F96" w:rsidP="0082546D">
            <w:pPr>
              <w:rPr>
                <w:rFonts w:ascii="Times New Roman" w:hAnsi="Times New Roman"/>
                <w:color w:val="000000"/>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color w:val="000000"/>
                <w:sz w:val="24"/>
                <w:szCs w:val="24"/>
              </w:rPr>
            </w:pPr>
            <w:proofErr w:type="spellStart"/>
            <w:r w:rsidRPr="00AB7B50">
              <w:rPr>
                <w:rFonts w:ascii="Times New Roman" w:hAnsi="Times New Roman"/>
                <w:color w:val="000000"/>
                <w:sz w:val="24"/>
                <w:szCs w:val="24"/>
              </w:rPr>
              <w:t>Poltrust</w:t>
            </w:r>
            <w:proofErr w:type="spellEnd"/>
            <w:r w:rsidRPr="00AB7B50">
              <w:rPr>
                <w:rFonts w:ascii="Times New Roman" w:hAnsi="Times New Roman"/>
                <w:color w:val="000000"/>
                <w:sz w:val="24"/>
                <w:szCs w:val="24"/>
              </w:rPr>
              <w:t>[year]</w:t>
            </w:r>
          </w:p>
        </w:tc>
        <w:tc>
          <w:tcPr>
            <w:tcW w:w="6609" w:type="dxa"/>
          </w:tcPr>
          <w:p w:rsidR="001A3F96" w:rsidRPr="00AB7B50" w:rsidRDefault="001A3F96" w:rsidP="002D04DA">
            <w:pPr>
              <w:rPr>
                <w:rFonts w:ascii="Times New Roman" w:hAnsi="Times New Roman"/>
                <w:color w:val="000000"/>
                <w:sz w:val="24"/>
                <w:szCs w:val="24"/>
              </w:rPr>
            </w:pPr>
            <w:r w:rsidRPr="00AB7B50">
              <w:rPr>
                <w:rFonts w:ascii="Times New Roman" w:hAnsi="Times New Roman"/>
                <w:color w:val="000000"/>
                <w:sz w:val="24"/>
                <w:szCs w:val="24"/>
              </w:rPr>
              <w:t>Percentage representing the sum of those expressing ‘a great deal’ or ‘quite a lot’ of confidence in parliament</w:t>
            </w:r>
          </w:p>
        </w:tc>
        <w:tc>
          <w:tcPr>
            <w:tcW w:w="4463" w:type="dxa"/>
          </w:tcPr>
          <w:p w:rsidR="001A3F96" w:rsidRPr="00AB7B50" w:rsidRDefault="001A3F96" w:rsidP="0082546D">
            <w:pPr>
              <w:rPr>
                <w:rFonts w:ascii="Times New Roman" w:hAnsi="Times New Roman"/>
                <w:color w:val="000000"/>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Valuediv</w:t>
            </w:r>
            <w:proofErr w:type="spellEnd"/>
            <w:r w:rsidRPr="00AB7B50">
              <w:rPr>
                <w:rFonts w:ascii="Times New Roman" w:hAnsi="Times New Roman"/>
                <w:sz w:val="24"/>
                <w:szCs w:val="24"/>
              </w:rPr>
              <w:t xml:space="preserve"> [year]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Composite indicator representing the dispersion of opinions on seven contentious issues. These issues concern items on homosexuality, abortion, euthanasia, taxation to help the environment, competition, immigration policy and collective versus individual responsibility for providing for people. </w:t>
            </w:r>
          </w:p>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The indicator represents the sum of the standard deviations on these seven items.  </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PostmatSD</w:t>
            </w:r>
            <w:proofErr w:type="spellEnd"/>
            <w:r w:rsidRPr="00AB7B50">
              <w:rPr>
                <w:rFonts w:ascii="Times New Roman" w:hAnsi="Times New Roman"/>
                <w:sz w:val="24"/>
                <w:szCs w:val="24"/>
              </w:rPr>
              <w:t>[year]</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Dispersion of </w:t>
            </w:r>
            <w:proofErr w:type="spellStart"/>
            <w:r w:rsidRPr="00AB7B50">
              <w:rPr>
                <w:rFonts w:ascii="Times New Roman" w:hAnsi="Times New Roman"/>
                <w:sz w:val="24"/>
                <w:szCs w:val="24"/>
              </w:rPr>
              <w:t>postmaterialist</w:t>
            </w:r>
            <w:proofErr w:type="spellEnd"/>
            <w:r w:rsidRPr="00AB7B50">
              <w:rPr>
                <w:rFonts w:ascii="Times New Roman" w:hAnsi="Times New Roman"/>
                <w:sz w:val="24"/>
                <w:szCs w:val="24"/>
              </w:rPr>
              <w:t xml:space="preserve"> values as measured by the standard deviation of the </w:t>
            </w:r>
            <w:proofErr w:type="spellStart"/>
            <w:r w:rsidRPr="00AB7B50">
              <w:rPr>
                <w:rFonts w:ascii="Times New Roman" w:hAnsi="Times New Roman"/>
                <w:sz w:val="24"/>
                <w:szCs w:val="24"/>
              </w:rPr>
              <w:t>postmaterialist</w:t>
            </w:r>
            <w:proofErr w:type="spellEnd"/>
            <w:r w:rsidRPr="00AB7B50">
              <w:rPr>
                <w:rFonts w:ascii="Times New Roman" w:hAnsi="Times New Roman"/>
                <w:sz w:val="24"/>
                <w:szCs w:val="24"/>
              </w:rPr>
              <w:t xml:space="preserve"> values index as created by </w:t>
            </w:r>
            <w:proofErr w:type="spellStart"/>
            <w:r w:rsidRPr="00AB7B50">
              <w:rPr>
                <w:rFonts w:ascii="Times New Roman" w:hAnsi="Times New Roman"/>
                <w:sz w:val="24"/>
                <w:szCs w:val="24"/>
              </w:rPr>
              <w:t>Inglehart</w:t>
            </w:r>
            <w:proofErr w:type="spellEnd"/>
            <w:r w:rsidRPr="00AB7B50">
              <w:rPr>
                <w:rFonts w:ascii="Times New Roman" w:hAnsi="Times New Roman"/>
                <w:sz w:val="24"/>
                <w:szCs w:val="24"/>
              </w:rPr>
              <w:t>. This index is comprised of the following items:</w:t>
            </w:r>
          </w:p>
          <w:p w:rsidR="001A3F96" w:rsidRPr="00AB7B50" w:rsidRDefault="001A3F96" w:rsidP="0082546D">
            <w:pPr>
              <w:numPr>
                <w:ilvl w:val="0"/>
                <w:numId w:val="21"/>
              </w:numPr>
              <w:ind w:left="714" w:hanging="357"/>
              <w:jc w:val="both"/>
              <w:rPr>
                <w:rFonts w:ascii="Times New Roman" w:hAnsi="Times New Roman"/>
                <w:sz w:val="24"/>
                <w:szCs w:val="24"/>
              </w:rPr>
            </w:pPr>
            <w:r w:rsidRPr="00AB7B50">
              <w:rPr>
                <w:rFonts w:ascii="Times New Roman" w:hAnsi="Times New Roman"/>
                <w:sz w:val="24"/>
                <w:szCs w:val="24"/>
              </w:rPr>
              <w:t>Maintain order in the nation</w:t>
            </w:r>
          </w:p>
          <w:p w:rsidR="001A3F96" w:rsidRPr="00AB7B50" w:rsidRDefault="001A3F96" w:rsidP="0082546D">
            <w:pPr>
              <w:numPr>
                <w:ilvl w:val="0"/>
                <w:numId w:val="21"/>
              </w:numPr>
              <w:ind w:left="714" w:hanging="357"/>
              <w:jc w:val="both"/>
              <w:rPr>
                <w:rFonts w:ascii="Times New Roman" w:hAnsi="Times New Roman"/>
                <w:sz w:val="24"/>
                <w:szCs w:val="24"/>
              </w:rPr>
            </w:pPr>
            <w:r w:rsidRPr="00AB7B50">
              <w:rPr>
                <w:rFonts w:ascii="Times New Roman" w:hAnsi="Times New Roman"/>
                <w:sz w:val="24"/>
                <w:szCs w:val="24"/>
              </w:rPr>
              <w:t>Fight rising prices</w:t>
            </w:r>
          </w:p>
          <w:p w:rsidR="001A3F96" w:rsidRPr="00AB7B50" w:rsidRDefault="001A3F96" w:rsidP="0082546D">
            <w:pPr>
              <w:numPr>
                <w:ilvl w:val="0"/>
                <w:numId w:val="21"/>
              </w:numPr>
              <w:ind w:left="714" w:hanging="357"/>
              <w:jc w:val="both"/>
              <w:rPr>
                <w:rFonts w:ascii="Times New Roman" w:hAnsi="Times New Roman"/>
                <w:sz w:val="24"/>
                <w:szCs w:val="24"/>
              </w:rPr>
            </w:pPr>
            <w:r w:rsidRPr="00AB7B50">
              <w:rPr>
                <w:rFonts w:ascii="Times New Roman" w:hAnsi="Times New Roman"/>
                <w:sz w:val="24"/>
                <w:szCs w:val="24"/>
              </w:rPr>
              <w:t>Give people more say in the decisions of the government</w:t>
            </w:r>
          </w:p>
          <w:p w:rsidR="001A3F96" w:rsidRPr="00AB7B50" w:rsidRDefault="001A3F96" w:rsidP="0082546D">
            <w:pPr>
              <w:numPr>
                <w:ilvl w:val="0"/>
                <w:numId w:val="21"/>
              </w:numPr>
              <w:ind w:left="714" w:hanging="357"/>
              <w:jc w:val="both"/>
              <w:rPr>
                <w:rFonts w:ascii="Times New Roman" w:hAnsi="Times New Roman"/>
                <w:sz w:val="24"/>
                <w:szCs w:val="24"/>
              </w:rPr>
            </w:pPr>
            <w:r w:rsidRPr="00AB7B50">
              <w:rPr>
                <w:rFonts w:ascii="Times New Roman" w:hAnsi="Times New Roman"/>
                <w:sz w:val="24"/>
                <w:szCs w:val="24"/>
              </w:rPr>
              <w:t>Protect freedom of speech</w:t>
            </w:r>
          </w:p>
        </w:tc>
        <w:tc>
          <w:tcPr>
            <w:tcW w:w="4463" w:type="dxa"/>
          </w:tcPr>
          <w:p w:rsidR="001A3F96" w:rsidRPr="00AB7B50" w:rsidRDefault="001A3F96" w:rsidP="0082546D">
            <w:pPr>
              <w:rPr>
                <w:rFonts w:ascii="Times New Roman" w:hAnsi="Times New Roman"/>
                <w:color w:val="000000"/>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Passpart</w:t>
            </w:r>
            <w:proofErr w:type="spellEnd"/>
            <w:r w:rsidRPr="00AB7B50">
              <w:rPr>
                <w:rFonts w:ascii="Times New Roman" w:hAnsi="Times New Roman"/>
                <w:sz w:val="24"/>
                <w:szCs w:val="24"/>
              </w:rPr>
              <w:t xml:space="preserve">[year] </w:t>
            </w:r>
          </w:p>
        </w:tc>
        <w:tc>
          <w:tcPr>
            <w:tcW w:w="6609" w:type="dxa"/>
          </w:tcPr>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Composite index reflecting passive civic participation. </w:t>
            </w:r>
            <w:proofErr w:type="gramStart"/>
            <w:r w:rsidRPr="00AB7B50">
              <w:rPr>
                <w:rFonts w:ascii="Times New Roman" w:hAnsi="Times New Roman"/>
                <w:sz w:val="24"/>
                <w:szCs w:val="24"/>
              </w:rPr>
              <w:t>It  represents</w:t>
            </w:r>
            <w:proofErr w:type="gramEnd"/>
            <w:r w:rsidRPr="00AB7B50">
              <w:rPr>
                <w:rFonts w:ascii="Times New Roman" w:hAnsi="Times New Roman"/>
                <w:sz w:val="24"/>
                <w:szCs w:val="24"/>
              </w:rPr>
              <w:t xml:space="preserve"> the national average of the number of different organisations a respondent considers him/herself to belong. These organisations concern the following: </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social welfare for elderly, handicapped or deprived people;</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 -religious or church organizations; </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education, arts, music or cultural activities;</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trade unions;</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lastRenderedPageBreak/>
              <w:t>- political parties;</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 third world </w:t>
            </w:r>
            <w:proofErr w:type="spellStart"/>
            <w:r w:rsidRPr="00AB7B50">
              <w:rPr>
                <w:rFonts w:ascii="Times New Roman" w:hAnsi="Times New Roman"/>
                <w:sz w:val="24"/>
                <w:szCs w:val="24"/>
              </w:rPr>
              <w:t>developostmaterialistent</w:t>
            </w:r>
            <w:proofErr w:type="spellEnd"/>
            <w:r w:rsidRPr="00AB7B50">
              <w:rPr>
                <w:rFonts w:ascii="Times New Roman" w:hAnsi="Times New Roman"/>
                <w:sz w:val="24"/>
                <w:szCs w:val="24"/>
              </w:rPr>
              <w:t xml:space="preserve"> or human rights; </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conservation, environment, animal rights groups;</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 professional associations; </w:t>
            </w:r>
          </w:p>
          <w:p w:rsidR="001A3F96" w:rsidRPr="00AB7B50" w:rsidRDefault="001A3F96" w:rsidP="002D04DA">
            <w:pPr>
              <w:rPr>
                <w:rFonts w:ascii="Times New Roman" w:hAnsi="Times New Roman"/>
                <w:sz w:val="24"/>
                <w:szCs w:val="24"/>
              </w:rPr>
            </w:pPr>
            <w:r w:rsidRPr="00AB7B50">
              <w:rPr>
                <w:rFonts w:ascii="Times New Roman" w:hAnsi="Times New Roman"/>
                <w:sz w:val="24"/>
                <w:szCs w:val="24"/>
              </w:rPr>
              <w:t>- youth work;</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color w:val="000000"/>
                <w:sz w:val="24"/>
                <w:szCs w:val="24"/>
              </w:rPr>
              <w:lastRenderedPageBreak/>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lastRenderedPageBreak/>
              <w:t>Actpart</w:t>
            </w:r>
            <w:proofErr w:type="spellEnd"/>
            <w:r w:rsidRPr="00AB7B50">
              <w:rPr>
                <w:rFonts w:ascii="Times New Roman" w:hAnsi="Times New Roman"/>
                <w:sz w:val="24"/>
                <w:szCs w:val="24"/>
              </w:rPr>
              <w:t xml:space="preserve">[year] </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Composite index reflecting active civic participation. </w:t>
            </w:r>
            <w:proofErr w:type="gramStart"/>
            <w:r w:rsidRPr="00AB7B50">
              <w:rPr>
                <w:rFonts w:ascii="Times New Roman" w:hAnsi="Times New Roman"/>
                <w:sz w:val="24"/>
                <w:szCs w:val="24"/>
              </w:rPr>
              <w:t>It  represents</w:t>
            </w:r>
            <w:proofErr w:type="gramEnd"/>
            <w:r w:rsidRPr="00AB7B50">
              <w:rPr>
                <w:rFonts w:ascii="Times New Roman" w:hAnsi="Times New Roman"/>
                <w:sz w:val="24"/>
                <w:szCs w:val="24"/>
              </w:rPr>
              <w:t xml:space="preserve"> the national average of the number of different organisations a respondent does voluntary work for. For the organizations, see PASSPART</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Freedomvseq</w:t>
            </w:r>
            <w:proofErr w:type="spellEnd"/>
            <w:r w:rsidRPr="00AB7B50">
              <w:rPr>
                <w:rFonts w:ascii="Times New Roman" w:hAnsi="Times New Roman"/>
                <w:sz w:val="24"/>
                <w:szCs w:val="24"/>
              </w:rPr>
              <w:t xml:space="preserve">[year]  </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Percentage preferring freedom over equality </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Meritvseq</w:t>
            </w:r>
            <w:proofErr w:type="spellEnd"/>
            <w:r w:rsidRPr="00AB7B50">
              <w:rPr>
                <w:rFonts w:ascii="Times New Roman" w:hAnsi="Times New Roman"/>
                <w:sz w:val="24"/>
                <w:szCs w:val="24"/>
              </w:rPr>
              <w:t xml:space="preserve">[year] </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Percentage saying it is fair that one secretary is paid more than the other if (s)he works better </w:t>
            </w:r>
          </w:p>
        </w:tc>
        <w:tc>
          <w:tcPr>
            <w:tcW w:w="4463" w:type="dxa"/>
          </w:tcPr>
          <w:p w:rsidR="001A3F96" w:rsidRPr="00AB7B50" w:rsidRDefault="001A3F96" w:rsidP="00AB1F0C">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Poverty[year] </w:t>
            </w:r>
          </w:p>
        </w:tc>
        <w:tc>
          <w:tcPr>
            <w:tcW w:w="6609"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 xml:space="preserve">Percentage answering “because of laziness or lack of willpower” to the question why there are people living in need  </w:t>
            </w:r>
          </w:p>
        </w:tc>
        <w:tc>
          <w:tcPr>
            <w:tcW w:w="4463" w:type="dxa"/>
          </w:tcPr>
          <w:p w:rsidR="001A3F96" w:rsidRPr="00AB7B50" w:rsidRDefault="001A3F96" w:rsidP="00AB1F0C">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AB1F0C">
            <w:pPr>
              <w:rPr>
                <w:rFonts w:ascii="Times New Roman" w:hAnsi="Times New Roman"/>
                <w:sz w:val="24"/>
                <w:szCs w:val="24"/>
              </w:rPr>
            </w:pPr>
            <w:proofErr w:type="spellStart"/>
            <w:r w:rsidRPr="00AB7B50">
              <w:rPr>
                <w:rFonts w:ascii="Times New Roman" w:hAnsi="Times New Roman"/>
                <w:sz w:val="24"/>
                <w:szCs w:val="24"/>
              </w:rPr>
              <w:t>Sochier</w:t>
            </w:r>
            <w:proofErr w:type="spellEnd"/>
            <w:r w:rsidRPr="00AB7B50">
              <w:rPr>
                <w:rFonts w:ascii="Times New Roman" w:hAnsi="Times New Roman"/>
                <w:sz w:val="24"/>
                <w:szCs w:val="24"/>
              </w:rPr>
              <w:t xml:space="preserve">[year] </w:t>
            </w:r>
          </w:p>
        </w:tc>
        <w:tc>
          <w:tcPr>
            <w:tcW w:w="6609" w:type="dxa"/>
          </w:tcPr>
          <w:p w:rsidR="001A3F96" w:rsidRPr="00AB7B50" w:rsidRDefault="001A3F96" w:rsidP="00AB1F0C">
            <w:pPr>
              <w:autoSpaceDE w:val="0"/>
              <w:autoSpaceDN w:val="0"/>
              <w:adjustRightInd w:val="0"/>
              <w:rPr>
                <w:rFonts w:ascii="Times New Roman" w:hAnsi="Times New Roman"/>
                <w:sz w:val="24"/>
                <w:szCs w:val="24"/>
              </w:rPr>
            </w:pPr>
            <w:r w:rsidRPr="00AB7B50">
              <w:rPr>
                <w:rFonts w:ascii="Times New Roman" w:hAnsi="Times New Roman"/>
                <w:sz w:val="24"/>
                <w:szCs w:val="24"/>
              </w:rPr>
              <w:t>Percentage agreeing with the statement that “Regardless of what the qualities and faults of one’s parents are, one must always love and respect them”</w:t>
            </w:r>
          </w:p>
        </w:tc>
        <w:tc>
          <w:tcPr>
            <w:tcW w:w="4463" w:type="dxa"/>
          </w:tcPr>
          <w:p w:rsidR="001A3F96" w:rsidRPr="00AB7B50" w:rsidRDefault="001A3F96" w:rsidP="00AB1F0C">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Cultvspol</w:t>
            </w:r>
            <w:proofErr w:type="spellEnd"/>
            <w:r w:rsidRPr="00AB7B50">
              <w:rPr>
                <w:rFonts w:ascii="Times New Roman" w:hAnsi="Times New Roman"/>
                <w:sz w:val="24"/>
                <w:szCs w:val="24"/>
              </w:rPr>
              <w:t xml:space="preserve">[year] </w:t>
            </w:r>
          </w:p>
        </w:tc>
        <w:tc>
          <w:tcPr>
            <w:tcW w:w="6609" w:type="dxa"/>
          </w:tcPr>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Composite index representing the strength of </w:t>
            </w:r>
            <w:proofErr w:type="spellStart"/>
            <w:r w:rsidRPr="00AB7B50">
              <w:rPr>
                <w:rFonts w:ascii="Times New Roman" w:hAnsi="Times New Roman"/>
                <w:sz w:val="24"/>
                <w:szCs w:val="24"/>
              </w:rPr>
              <w:t>etho</w:t>
            </w:r>
            <w:proofErr w:type="spellEnd"/>
            <w:r w:rsidRPr="00AB7B50">
              <w:rPr>
                <w:rFonts w:ascii="Times New Roman" w:hAnsi="Times New Roman"/>
                <w:sz w:val="24"/>
                <w:szCs w:val="24"/>
              </w:rPr>
              <w:t xml:space="preserve">-cultural relative to political conceptions of national identity; it is based on the following items: </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‘It is impossible for people who do not share the customs and traditions [of respondent’s country] to become fully [e.g., British, German, Hungarian, etc.]’</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‘Respecting political institutions and laws of [respondent’s country] is important for being [e.g., truly British, Spanish, Hungarian, etc.]’</w:t>
            </w:r>
          </w:p>
          <w:p w:rsidR="001A3F96" w:rsidRPr="00AB7B50" w:rsidRDefault="001A3F96" w:rsidP="00640BEA">
            <w:pPr>
              <w:autoSpaceDE w:val="0"/>
              <w:autoSpaceDN w:val="0"/>
              <w:adjustRightInd w:val="0"/>
              <w:rPr>
                <w:rFonts w:ascii="Times New Roman" w:hAnsi="Times New Roman"/>
                <w:sz w:val="24"/>
                <w:szCs w:val="24"/>
              </w:rPr>
            </w:pPr>
            <w:r w:rsidRPr="00AB7B50">
              <w:rPr>
                <w:rFonts w:ascii="Times New Roman" w:hAnsi="Times New Roman"/>
                <w:sz w:val="24"/>
                <w:szCs w:val="24"/>
              </w:rPr>
              <w:t>The values on the index are national averages; the higher the value the stronger ethno-cultural versus political conceptions of national identity</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sz w:val="24"/>
                <w:szCs w:val="24"/>
              </w:rPr>
              <w:t>International Social Survey Programme</w:t>
            </w:r>
          </w:p>
        </w:tc>
      </w:tr>
      <w:tr w:rsidR="001A3F96" w:rsidRPr="00AB7B50" w:rsidTr="00D53F3C">
        <w:tc>
          <w:tcPr>
            <w:tcW w:w="2896" w:type="dxa"/>
          </w:tcPr>
          <w:p w:rsidR="001A3F96" w:rsidRPr="00AB7B50" w:rsidRDefault="001A3F96" w:rsidP="002D04DA">
            <w:pPr>
              <w:rPr>
                <w:rFonts w:ascii="Times New Roman" w:hAnsi="Times New Roman"/>
                <w:sz w:val="24"/>
                <w:szCs w:val="24"/>
              </w:rPr>
            </w:pPr>
            <w:r w:rsidRPr="00AB7B50">
              <w:rPr>
                <w:rFonts w:ascii="Times New Roman" w:hAnsi="Times New Roman"/>
                <w:sz w:val="24"/>
                <w:szCs w:val="24"/>
              </w:rPr>
              <w:t>Xenophobia[year]</w:t>
            </w:r>
          </w:p>
        </w:tc>
        <w:tc>
          <w:tcPr>
            <w:tcW w:w="6609" w:type="dxa"/>
          </w:tcPr>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Index measuring xenophobia based on the following items</w:t>
            </w:r>
            <w:proofErr w:type="gramStart"/>
            <w:r w:rsidRPr="00AB7B50">
              <w:rPr>
                <w:rFonts w:ascii="Times New Roman" w:hAnsi="Times New Roman"/>
                <w:sz w:val="24"/>
                <w:szCs w:val="24"/>
              </w:rPr>
              <w:t>:.</w:t>
            </w:r>
            <w:proofErr w:type="gramEnd"/>
            <w:r w:rsidRPr="00AB7B50">
              <w:rPr>
                <w:rFonts w:ascii="Times New Roman" w:hAnsi="Times New Roman"/>
                <w:sz w:val="24"/>
                <w:szCs w:val="24"/>
              </w:rPr>
              <w:t xml:space="preserve"> </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lastRenderedPageBreak/>
              <w:t>1. Immigrants increase crime rates</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2. Immigrants are generally good for [country’s] economy</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3. Immigrants take jobs away from people who were born in [country]</w:t>
            </w:r>
          </w:p>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4. Immigrants make [country] more open to new ideas and</w:t>
            </w:r>
          </w:p>
          <w:p w:rsidR="001A3F96" w:rsidRPr="00AB7B50" w:rsidRDefault="001A3F96" w:rsidP="002D04DA">
            <w:pPr>
              <w:rPr>
                <w:rFonts w:ascii="Times New Roman" w:hAnsi="Times New Roman"/>
                <w:sz w:val="24"/>
                <w:szCs w:val="24"/>
              </w:rPr>
            </w:pPr>
            <w:r w:rsidRPr="00AB7B50">
              <w:rPr>
                <w:rFonts w:ascii="Times New Roman" w:hAnsi="Times New Roman"/>
                <w:sz w:val="24"/>
                <w:szCs w:val="24"/>
              </w:rPr>
              <w:t>cultures</w:t>
            </w:r>
          </w:p>
          <w:p w:rsidR="001A3F96" w:rsidRPr="00AB7B50" w:rsidRDefault="001A3F96" w:rsidP="00422D03">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The values on the index are national averages. The higher the values the more negative the opinions on immigrants. </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sz w:val="24"/>
                <w:szCs w:val="24"/>
              </w:rPr>
              <w:lastRenderedPageBreak/>
              <w:t>International Social Survey Programme</w:t>
            </w:r>
          </w:p>
        </w:tc>
      </w:tr>
      <w:tr w:rsidR="001A3F96" w:rsidRPr="00AB7B50" w:rsidTr="00D53F3C">
        <w:tc>
          <w:tcPr>
            <w:tcW w:w="2896" w:type="dxa"/>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lastRenderedPageBreak/>
              <w:t>Immtol</w:t>
            </w:r>
            <w:proofErr w:type="spellEnd"/>
            <w:r w:rsidRPr="00AB7B50">
              <w:rPr>
                <w:rFonts w:ascii="Times New Roman" w:hAnsi="Times New Roman"/>
                <w:sz w:val="24"/>
                <w:szCs w:val="24"/>
              </w:rPr>
              <w:t>[year]</w:t>
            </w:r>
          </w:p>
        </w:tc>
        <w:tc>
          <w:tcPr>
            <w:tcW w:w="6609" w:type="dxa"/>
          </w:tcPr>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Percentage indicating that they would not mind having immigrants as neighbours </w:t>
            </w:r>
          </w:p>
        </w:tc>
        <w:tc>
          <w:tcPr>
            <w:tcW w:w="4463" w:type="dxa"/>
          </w:tcPr>
          <w:p w:rsidR="001A3F96" w:rsidRPr="00AB7B50" w:rsidRDefault="001A3F96" w:rsidP="0082546D">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r w:rsidR="001A3F96" w:rsidRPr="00AB7B50" w:rsidTr="00D53F3C">
        <w:tc>
          <w:tcPr>
            <w:tcW w:w="2896" w:type="dxa"/>
            <w:tcBorders>
              <w:bottom w:val="single" w:sz="12" w:space="0" w:color="000000"/>
            </w:tcBorders>
          </w:tcPr>
          <w:p w:rsidR="001A3F96" w:rsidRPr="00AB7B50" w:rsidRDefault="001A3F96" w:rsidP="002D04DA">
            <w:pPr>
              <w:rPr>
                <w:rFonts w:ascii="Times New Roman" w:hAnsi="Times New Roman"/>
                <w:sz w:val="24"/>
                <w:szCs w:val="24"/>
              </w:rPr>
            </w:pPr>
            <w:proofErr w:type="spellStart"/>
            <w:r w:rsidRPr="00AB7B50">
              <w:rPr>
                <w:rFonts w:ascii="Times New Roman" w:hAnsi="Times New Roman"/>
                <w:sz w:val="24"/>
                <w:szCs w:val="24"/>
              </w:rPr>
              <w:t>Gendereq</w:t>
            </w:r>
            <w:proofErr w:type="spellEnd"/>
            <w:r w:rsidRPr="00AB7B50">
              <w:rPr>
                <w:rFonts w:ascii="Times New Roman" w:hAnsi="Times New Roman"/>
                <w:sz w:val="24"/>
                <w:szCs w:val="24"/>
              </w:rPr>
              <w:t xml:space="preserve">[year] </w:t>
            </w:r>
          </w:p>
        </w:tc>
        <w:tc>
          <w:tcPr>
            <w:tcW w:w="6609" w:type="dxa"/>
            <w:tcBorders>
              <w:bottom w:val="single" w:sz="12" w:space="0" w:color="000000"/>
            </w:tcBorders>
          </w:tcPr>
          <w:p w:rsidR="001A3F96" w:rsidRPr="00AB7B50" w:rsidRDefault="001A3F96" w:rsidP="002D04DA">
            <w:pPr>
              <w:autoSpaceDE w:val="0"/>
              <w:autoSpaceDN w:val="0"/>
              <w:adjustRightInd w:val="0"/>
              <w:rPr>
                <w:rFonts w:ascii="Times New Roman" w:hAnsi="Times New Roman"/>
                <w:sz w:val="24"/>
                <w:szCs w:val="24"/>
              </w:rPr>
            </w:pPr>
            <w:r w:rsidRPr="00AB7B50">
              <w:rPr>
                <w:rFonts w:ascii="Times New Roman" w:hAnsi="Times New Roman"/>
                <w:sz w:val="24"/>
                <w:szCs w:val="24"/>
              </w:rPr>
              <w:t xml:space="preserve">Percentage disagreeing with the opinion that in times of scarcity men have more right to a job than women </w:t>
            </w:r>
          </w:p>
        </w:tc>
        <w:tc>
          <w:tcPr>
            <w:tcW w:w="4463" w:type="dxa"/>
            <w:tcBorders>
              <w:bottom w:val="single" w:sz="12" w:space="0" w:color="000000"/>
            </w:tcBorders>
          </w:tcPr>
          <w:p w:rsidR="001A3F96" w:rsidRPr="00AB7B50" w:rsidRDefault="001A3F96" w:rsidP="0082546D">
            <w:pPr>
              <w:rPr>
                <w:rFonts w:ascii="Times New Roman" w:hAnsi="Times New Roman"/>
                <w:sz w:val="24"/>
                <w:szCs w:val="24"/>
              </w:rPr>
            </w:pPr>
            <w:r w:rsidRPr="00AB7B50">
              <w:rPr>
                <w:rFonts w:ascii="Times New Roman" w:hAnsi="Times New Roman"/>
                <w:color w:val="000000"/>
                <w:sz w:val="24"/>
                <w:szCs w:val="24"/>
              </w:rPr>
              <w:t>European Values Study / World Values Survey</w:t>
            </w:r>
          </w:p>
        </w:tc>
      </w:tr>
    </w:tbl>
    <w:p w:rsidR="001A3F96" w:rsidRPr="00AB7B50" w:rsidRDefault="001A3F96" w:rsidP="00103005">
      <w:pPr>
        <w:rPr>
          <w:rFonts w:ascii="Times New Roman" w:hAnsi="Times New Roman"/>
          <w:b/>
          <w:sz w:val="24"/>
          <w:szCs w:val="24"/>
        </w:rPr>
      </w:pPr>
    </w:p>
    <w:p w:rsidR="001A3F96" w:rsidRDefault="001A3F96" w:rsidP="00103005">
      <w:pPr>
        <w:rPr>
          <w:rFonts w:ascii="Times New Roman" w:hAnsi="Times New Roman"/>
          <w:sz w:val="24"/>
          <w:szCs w:val="24"/>
        </w:rPr>
      </w:pPr>
    </w:p>
    <w:p w:rsidR="001A3F96" w:rsidRDefault="001A3F96" w:rsidP="00103005">
      <w:pPr>
        <w:rPr>
          <w:rFonts w:ascii="Times New Roman" w:hAnsi="Times New Roman"/>
          <w:sz w:val="24"/>
          <w:szCs w:val="24"/>
        </w:rPr>
      </w:pPr>
      <w:r>
        <w:rPr>
          <w:rFonts w:ascii="Times New Roman" w:hAnsi="Times New Roman"/>
          <w:sz w:val="24"/>
          <w:szCs w:val="24"/>
        </w:rPr>
        <w:t>References:</w:t>
      </w:r>
    </w:p>
    <w:p w:rsidR="001A3F96" w:rsidRDefault="001A3F96" w:rsidP="00103005">
      <w:pPr>
        <w:rPr>
          <w:rFonts w:ascii="Times New Roman" w:hAnsi="Times New Roman"/>
          <w:sz w:val="24"/>
          <w:szCs w:val="24"/>
        </w:rPr>
      </w:pPr>
    </w:p>
    <w:p w:rsidR="001A3F96" w:rsidRDefault="001A3F96" w:rsidP="005D7E20">
      <w:pPr>
        <w:spacing w:line="480" w:lineRule="auto"/>
        <w:ind w:left="540" w:hanging="540"/>
        <w:jc w:val="both"/>
        <w:rPr>
          <w:rFonts w:ascii="Times New Roman" w:hAnsi="Times New Roman"/>
          <w:sz w:val="24"/>
          <w:szCs w:val="24"/>
        </w:rPr>
      </w:pPr>
      <w:proofErr w:type="spellStart"/>
      <w:r w:rsidRPr="005D7E20">
        <w:rPr>
          <w:rFonts w:ascii="Times New Roman" w:hAnsi="Times New Roman"/>
          <w:sz w:val="24"/>
          <w:szCs w:val="24"/>
        </w:rPr>
        <w:t>Alesina</w:t>
      </w:r>
      <w:proofErr w:type="spellEnd"/>
      <w:r w:rsidRPr="005D7E20">
        <w:rPr>
          <w:rFonts w:ascii="Times New Roman" w:hAnsi="Times New Roman"/>
          <w:sz w:val="24"/>
          <w:szCs w:val="24"/>
        </w:rPr>
        <w:t xml:space="preserve">, A., A. </w:t>
      </w:r>
      <w:proofErr w:type="spellStart"/>
      <w:r w:rsidRPr="005D7E20">
        <w:rPr>
          <w:rFonts w:ascii="Times New Roman" w:hAnsi="Times New Roman"/>
          <w:sz w:val="24"/>
          <w:szCs w:val="24"/>
        </w:rPr>
        <w:t>Devleeschauwer</w:t>
      </w:r>
      <w:proofErr w:type="spellEnd"/>
      <w:r w:rsidRPr="005D7E20">
        <w:rPr>
          <w:rFonts w:ascii="Times New Roman" w:hAnsi="Times New Roman"/>
          <w:sz w:val="24"/>
          <w:szCs w:val="24"/>
        </w:rPr>
        <w:t xml:space="preserve">, W. Easterly, and S. </w:t>
      </w:r>
      <w:proofErr w:type="spellStart"/>
      <w:r w:rsidRPr="005D7E20">
        <w:rPr>
          <w:rFonts w:ascii="Times New Roman" w:hAnsi="Times New Roman"/>
          <w:sz w:val="24"/>
          <w:szCs w:val="24"/>
        </w:rPr>
        <w:t>Kurlat</w:t>
      </w:r>
      <w:proofErr w:type="spellEnd"/>
      <w:r w:rsidRPr="005D7E20">
        <w:rPr>
          <w:rFonts w:ascii="Times New Roman" w:hAnsi="Times New Roman"/>
          <w:sz w:val="24"/>
          <w:szCs w:val="24"/>
        </w:rPr>
        <w:t xml:space="preserve"> (2003). Fractionalization. </w:t>
      </w:r>
      <w:r w:rsidRPr="005D7E20">
        <w:rPr>
          <w:rFonts w:ascii="Times New Roman" w:hAnsi="Times New Roman"/>
          <w:i/>
          <w:iCs/>
          <w:sz w:val="24"/>
          <w:szCs w:val="24"/>
        </w:rPr>
        <w:t>Journal of Economic Growth</w:t>
      </w:r>
      <w:r w:rsidRPr="005D7E20">
        <w:rPr>
          <w:rFonts w:ascii="Times New Roman" w:hAnsi="Times New Roman"/>
          <w:sz w:val="24"/>
          <w:szCs w:val="24"/>
        </w:rPr>
        <w:t>, 8, 155-194.</w:t>
      </w:r>
    </w:p>
    <w:p w:rsidR="001A3F96" w:rsidRDefault="001A3F96" w:rsidP="005D7E20">
      <w:pPr>
        <w:spacing w:line="480" w:lineRule="auto"/>
        <w:ind w:left="540" w:hanging="540"/>
        <w:jc w:val="both"/>
        <w:rPr>
          <w:rFonts w:ascii="Times New Roman" w:hAnsi="Times New Roman"/>
          <w:sz w:val="24"/>
          <w:szCs w:val="24"/>
        </w:rPr>
      </w:pPr>
      <w:r w:rsidRPr="005D7E20">
        <w:rPr>
          <w:rFonts w:ascii="Times New Roman" w:hAnsi="Times New Roman"/>
          <w:sz w:val="24"/>
          <w:szCs w:val="24"/>
        </w:rPr>
        <w:t xml:space="preserve">Nickel, S. and Layard, R. (1998) </w:t>
      </w:r>
      <w:r w:rsidRPr="005D7E20">
        <w:rPr>
          <w:rFonts w:ascii="Times New Roman" w:hAnsi="Times New Roman"/>
          <w:i/>
          <w:sz w:val="24"/>
          <w:szCs w:val="24"/>
        </w:rPr>
        <w:t>Labour Market Institutions and Economic Performance</w:t>
      </w:r>
      <w:r w:rsidRPr="005D7E20">
        <w:rPr>
          <w:rFonts w:ascii="Times New Roman" w:hAnsi="Times New Roman"/>
          <w:sz w:val="24"/>
          <w:szCs w:val="24"/>
        </w:rPr>
        <w:t xml:space="preserve">, Centre for Economic Performance, LSE, </w:t>
      </w:r>
      <w:smartTag w:uri="urn:schemas-microsoft-com:office:smarttags" w:element="City">
        <w:smartTag w:uri="urn:schemas-microsoft-com:office:smarttags" w:element="place">
          <w:r w:rsidRPr="005D7E20">
            <w:rPr>
              <w:rFonts w:ascii="Times New Roman" w:hAnsi="Times New Roman"/>
              <w:sz w:val="24"/>
              <w:szCs w:val="24"/>
            </w:rPr>
            <w:t>London</w:t>
          </w:r>
        </w:smartTag>
      </w:smartTag>
      <w:r w:rsidRPr="005D7E20">
        <w:rPr>
          <w:rFonts w:ascii="Times New Roman" w:hAnsi="Times New Roman"/>
          <w:sz w:val="24"/>
          <w:szCs w:val="24"/>
        </w:rPr>
        <w:t>.</w:t>
      </w:r>
    </w:p>
    <w:p w:rsidR="001A3F96" w:rsidRDefault="001A3F96" w:rsidP="005D7E20">
      <w:pPr>
        <w:spacing w:line="480" w:lineRule="auto"/>
        <w:ind w:left="540" w:hanging="540"/>
        <w:jc w:val="both"/>
        <w:rPr>
          <w:rFonts w:ascii="Times New Roman" w:hAnsi="Times New Roman"/>
          <w:sz w:val="24"/>
          <w:szCs w:val="24"/>
        </w:rPr>
      </w:pPr>
    </w:p>
    <w:p w:rsidR="001A3F96" w:rsidRDefault="001A3F96" w:rsidP="005D7E20">
      <w:pPr>
        <w:spacing w:line="480" w:lineRule="auto"/>
        <w:ind w:left="540" w:hanging="540"/>
        <w:jc w:val="both"/>
        <w:rPr>
          <w:rFonts w:ascii="Times New Roman" w:hAnsi="Times New Roman"/>
          <w:sz w:val="24"/>
          <w:szCs w:val="24"/>
        </w:rPr>
      </w:pPr>
    </w:p>
    <w:p w:rsidR="001A3F96" w:rsidRDefault="001A3F96" w:rsidP="005D7E20">
      <w:pPr>
        <w:spacing w:line="480" w:lineRule="auto"/>
        <w:ind w:left="540" w:hanging="540"/>
        <w:jc w:val="both"/>
        <w:rPr>
          <w:rFonts w:ascii="Times New Roman" w:hAnsi="Times New Roman"/>
          <w:sz w:val="24"/>
          <w:szCs w:val="24"/>
        </w:rPr>
      </w:pPr>
    </w:p>
    <w:p w:rsidR="001A3F96" w:rsidRDefault="001A3F96" w:rsidP="005D7E20">
      <w:pPr>
        <w:spacing w:line="480" w:lineRule="auto"/>
        <w:ind w:left="540" w:hanging="540"/>
        <w:jc w:val="both"/>
        <w:rPr>
          <w:rFonts w:ascii="Times New Roman" w:hAnsi="Times New Roman"/>
          <w:sz w:val="24"/>
          <w:szCs w:val="24"/>
        </w:rPr>
      </w:pPr>
    </w:p>
    <w:p w:rsidR="001A3F96" w:rsidRDefault="001A3F96" w:rsidP="005D7E20">
      <w:pPr>
        <w:spacing w:line="480" w:lineRule="auto"/>
        <w:ind w:left="540" w:hanging="540"/>
        <w:jc w:val="both"/>
        <w:rPr>
          <w:rFonts w:ascii="Times New Roman" w:hAnsi="Times New Roman"/>
          <w:sz w:val="24"/>
          <w:szCs w:val="24"/>
        </w:rPr>
      </w:pPr>
    </w:p>
    <w:p w:rsidR="001A3F96" w:rsidRDefault="001A3F96" w:rsidP="005D7E20">
      <w:pPr>
        <w:spacing w:line="480" w:lineRule="auto"/>
        <w:ind w:left="540" w:hanging="540"/>
        <w:jc w:val="both"/>
        <w:rPr>
          <w:rFonts w:ascii="Times New Roman" w:hAnsi="Times New Roman"/>
          <w:sz w:val="24"/>
          <w:szCs w:val="24"/>
        </w:rPr>
      </w:pPr>
      <w:bookmarkStart w:id="0" w:name="_GoBack"/>
      <w:bookmarkEnd w:id="0"/>
    </w:p>
    <w:sectPr w:rsidR="001A3F96" w:rsidSect="001731A4">
      <w:footerReference w:type="default" r:id="rId8"/>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CC6" w:rsidRDefault="00642CC6" w:rsidP="004317ED">
      <w:r>
        <w:separator/>
      </w:r>
    </w:p>
  </w:endnote>
  <w:endnote w:type="continuationSeparator" w:id="0">
    <w:p w:rsidR="00642CC6" w:rsidRDefault="00642CC6" w:rsidP="00431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B88" w:rsidRDefault="002C2B88">
    <w:pPr>
      <w:pStyle w:val="Footer"/>
      <w:jc w:val="right"/>
    </w:pPr>
    <w:r>
      <w:fldChar w:fldCharType="begin"/>
    </w:r>
    <w:r>
      <w:instrText xml:space="preserve"> PAGE   \* MERGEFORMAT </w:instrText>
    </w:r>
    <w:r>
      <w:fldChar w:fldCharType="separate"/>
    </w:r>
    <w:r w:rsidR="001316C8">
      <w:rPr>
        <w:noProof/>
      </w:rPr>
      <w:t>6</w:t>
    </w:r>
    <w:r>
      <w:rPr>
        <w:noProof/>
      </w:rPr>
      <w:fldChar w:fldCharType="end"/>
    </w:r>
  </w:p>
  <w:p w:rsidR="002C2B88" w:rsidRDefault="002C2B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CC6" w:rsidRDefault="00642CC6" w:rsidP="004317ED">
      <w:r>
        <w:separator/>
      </w:r>
    </w:p>
  </w:footnote>
  <w:footnote w:type="continuationSeparator" w:id="0">
    <w:p w:rsidR="00642CC6" w:rsidRDefault="00642CC6" w:rsidP="00431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40C02"/>
    <w:multiLevelType w:val="hybridMultilevel"/>
    <w:tmpl w:val="B8A2CC5E"/>
    <w:lvl w:ilvl="0" w:tplc="08090001">
      <w:start w:val="6"/>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D6F15D7"/>
    <w:multiLevelType w:val="hybridMultilevel"/>
    <w:tmpl w:val="B97AF61C"/>
    <w:lvl w:ilvl="0" w:tplc="FC9EF446">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E2D0870"/>
    <w:multiLevelType w:val="hybridMultilevel"/>
    <w:tmpl w:val="756AE424"/>
    <w:lvl w:ilvl="0" w:tplc="08090001">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31377F3"/>
    <w:multiLevelType w:val="hybridMultilevel"/>
    <w:tmpl w:val="E0E2C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DE923BD"/>
    <w:multiLevelType w:val="hybridMultilevel"/>
    <w:tmpl w:val="87BE2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9305DC7"/>
    <w:multiLevelType w:val="hybridMultilevel"/>
    <w:tmpl w:val="1FD229EE"/>
    <w:lvl w:ilvl="0" w:tplc="08090001">
      <w:start w:val="2"/>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4AA189E"/>
    <w:multiLevelType w:val="multilevel"/>
    <w:tmpl w:val="2F0645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A9E76C6"/>
    <w:multiLevelType w:val="hybridMultilevel"/>
    <w:tmpl w:val="19645244"/>
    <w:lvl w:ilvl="0" w:tplc="08090001">
      <w:start w:val="15"/>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3DD4851"/>
    <w:multiLevelType w:val="hybridMultilevel"/>
    <w:tmpl w:val="A0F8CC0E"/>
    <w:lvl w:ilvl="0" w:tplc="CEB0EF36">
      <w:numFmt w:val="decimal"/>
      <w:lvlText w:val="%1."/>
      <w:lvlJc w:val="left"/>
      <w:pPr>
        <w:tabs>
          <w:tab w:val="num" w:pos="720"/>
        </w:tabs>
        <w:ind w:left="720" w:hanging="360"/>
      </w:pPr>
      <w:rPr>
        <w:rFonts w:ascii="Times New Roman" w:eastAsia="Times New Roman" w:hAnsi="Times New Roman" w:cs="Times New Roman"/>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4053267"/>
    <w:multiLevelType w:val="hybridMultilevel"/>
    <w:tmpl w:val="B1EC3AB6"/>
    <w:lvl w:ilvl="0" w:tplc="08090001">
      <w:start w:val="2"/>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7B65BD6"/>
    <w:multiLevelType w:val="hybridMultilevel"/>
    <w:tmpl w:val="C6AAE1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4BA95F79"/>
    <w:multiLevelType w:val="hybridMultilevel"/>
    <w:tmpl w:val="CB645EDA"/>
    <w:lvl w:ilvl="0" w:tplc="08090001">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0A807CE"/>
    <w:multiLevelType w:val="hybridMultilevel"/>
    <w:tmpl w:val="80001184"/>
    <w:lvl w:ilvl="0" w:tplc="143CB24C">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58F31F3C"/>
    <w:multiLevelType w:val="hybridMultilevel"/>
    <w:tmpl w:val="BA8C1B42"/>
    <w:lvl w:ilvl="0" w:tplc="CF625E08">
      <w:start w:val="2"/>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5AA83019"/>
    <w:multiLevelType w:val="hybridMultilevel"/>
    <w:tmpl w:val="61E86D58"/>
    <w:lvl w:ilvl="0" w:tplc="08090001">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D7A4C47"/>
    <w:multiLevelType w:val="hybridMultilevel"/>
    <w:tmpl w:val="9322F852"/>
    <w:lvl w:ilvl="0" w:tplc="1220C54A">
      <w:start w:val="1"/>
      <w:numFmt w:val="decimal"/>
      <w:lvlText w:val="%1."/>
      <w:lvlJc w:val="left"/>
      <w:pPr>
        <w:tabs>
          <w:tab w:val="num" w:pos="720"/>
        </w:tabs>
        <w:ind w:left="720" w:hanging="36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nsid w:val="64310076"/>
    <w:multiLevelType w:val="multilevel"/>
    <w:tmpl w:val="BE160C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81C3F15"/>
    <w:multiLevelType w:val="hybridMultilevel"/>
    <w:tmpl w:val="A1CC8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6CA0819"/>
    <w:multiLevelType w:val="hybridMultilevel"/>
    <w:tmpl w:val="BEC069BE"/>
    <w:lvl w:ilvl="0" w:tplc="08090001">
      <w:start w:val="2"/>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797D0D58"/>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7DD64BB6"/>
    <w:multiLevelType w:val="hybridMultilevel"/>
    <w:tmpl w:val="FDECF8F8"/>
    <w:lvl w:ilvl="0" w:tplc="08090001">
      <w:start w:val="2"/>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4"/>
  </w:num>
  <w:num w:numId="4">
    <w:abstractNumId w:val="17"/>
  </w:num>
  <w:num w:numId="5">
    <w:abstractNumId w:val="14"/>
  </w:num>
  <w:num w:numId="6">
    <w:abstractNumId w:val="7"/>
  </w:num>
  <w:num w:numId="7">
    <w:abstractNumId w:val="12"/>
  </w:num>
  <w:num w:numId="8">
    <w:abstractNumId w:val="18"/>
  </w:num>
  <w:num w:numId="9">
    <w:abstractNumId w:val="5"/>
  </w:num>
  <w:num w:numId="10">
    <w:abstractNumId w:val="13"/>
  </w:num>
  <w:num w:numId="11">
    <w:abstractNumId w:val="0"/>
  </w:num>
  <w:num w:numId="12">
    <w:abstractNumId w:val="20"/>
  </w:num>
  <w:num w:numId="13">
    <w:abstractNumId w:val="9"/>
  </w:num>
  <w:num w:numId="14">
    <w:abstractNumId w:val="16"/>
  </w:num>
  <w:num w:numId="15">
    <w:abstractNumId w:val="15"/>
  </w:num>
  <w:num w:numId="16">
    <w:abstractNumId w:val="19"/>
  </w:num>
  <w:num w:numId="17">
    <w:abstractNumId w:val="6"/>
  </w:num>
  <w:num w:numId="18">
    <w:abstractNumId w:val="8"/>
  </w:num>
  <w:num w:numId="19">
    <w:abstractNumId w:val="1"/>
  </w:num>
  <w:num w:numId="20">
    <w:abstractNumId w:val="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005"/>
    <w:rsid w:val="00034BCB"/>
    <w:rsid w:val="0006783E"/>
    <w:rsid w:val="00103005"/>
    <w:rsid w:val="001316C8"/>
    <w:rsid w:val="001731A4"/>
    <w:rsid w:val="001828D4"/>
    <w:rsid w:val="001A3F96"/>
    <w:rsid w:val="001B12A0"/>
    <w:rsid w:val="001C0764"/>
    <w:rsid w:val="001C5F5F"/>
    <w:rsid w:val="001D245F"/>
    <w:rsid w:val="001E2781"/>
    <w:rsid w:val="00281691"/>
    <w:rsid w:val="002A7003"/>
    <w:rsid w:val="002C2B88"/>
    <w:rsid w:val="002D04DA"/>
    <w:rsid w:val="003B2232"/>
    <w:rsid w:val="003F0C0F"/>
    <w:rsid w:val="00422D03"/>
    <w:rsid w:val="004317ED"/>
    <w:rsid w:val="00455A7E"/>
    <w:rsid w:val="00456E0A"/>
    <w:rsid w:val="00487E36"/>
    <w:rsid w:val="004D473F"/>
    <w:rsid w:val="005156EF"/>
    <w:rsid w:val="00540F42"/>
    <w:rsid w:val="005B50CD"/>
    <w:rsid w:val="005B6CD2"/>
    <w:rsid w:val="005D7E20"/>
    <w:rsid w:val="005E1013"/>
    <w:rsid w:val="00640BEA"/>
    <w:rsid w:val="00642CC6"/>
    <w:rsid w:val="006611DE"/>
    <w:rsid w:val="006730B4"/>
    <w:rsid w:val="006A14EF"/>
    <w:rsid w:val="0070788D"/>
    <w:rsid w:val="007743CD"/>
    <w:rsid w:val="007B05AF"/>
    <w:rsid w:val="008173B1"/>
    <w:rsid w:val="0082546D"/>
    <w:rsid w:val="008618B2"/>
    <w:rsid w:val="0088222A"/>
    <w:rsid w:val="008A64B8"/>
    <w:rsid w:val="008F537E"/>
    <w:rsid w:val="009B02A1"/>
    <w:rsid w:val="00AB1F0C"/>
    <w:rsid w:val="00AB6945"/>
    <w:rsid w:val="00AB7B50"/>
    <w:rsid w:val="00AC15D2"/>
    <w:rsid w:val="00B01296"/>
    <w:rsid w:val="00B1399C"/>
    <w:rsid w:val="00B76354"/>
    <w:rsid w:val="00BC7066"/>
    <w:rsid w:val="00BE15A0"/>
    <w:rsid w:val="00C92F90"/>
    <w:rsid w:val="00D53F3C"/>
    <w:rsid w:val="00D5417C"/>
    <w:rsid w:val="00DB0582"/>
    <w:rsid w:val="00DC21EE"/>
    <w:rsid w:val="00F2741B"/>
    <w:rsid w:val="00F662A5"/>
    <w:rsid w:val="00F96C72"/>
    <w:rsid w:val="00FB2D10"/>
    <w:rsid w:val="00FE2D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D02D51EA-51E5-4DA6-BD42-DECC8BBF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005"/>
    <w:rPr>
      <w:rFonts w:ascii="Calibri" w:hAnsi="Calibri"/>
      <w:lang w:eastAsia="en-US"/>
    </w:rPr>
  </w:style>
  <w:style w:type="paragraph" w:styleId="Heading1">
    <w:name w:val="heading 1"/>
    <w:basedOn w:val="Normal"/>
    <w:link w:val="Heading1Char"/>
    <w:uiPriority w:val="99"/>
    <w:qFormat/>
    <w:rsid w:val="001731A4"/>
    <w:pPr>
      <w:spacing w:before="149" w:after="99"/>
      <w:ind w:right="248"/>
      <w:outlineLvl w:val="0"/>
    </w:pPr>
    <w:rPr>
      <w:rFonts w:ascii="Verdana" w:eastAsia="Times New Roman" w:hAnsi="Verdana"/>
      <w:b/>
      <w:bCs/>
      <w:i/>
      <w:iCs/>
      <w:color w:val="663333"/>
      <w:kern w:val="36"/>
      <w:sz w:val="17"/>
      <w:szCs w:val="17"/>
      <w:lang w:eastAsia="en-GB"/>
    </w:rPr>
  </w:style>
  <w:style w:type="paragraph" w:styleId="Heading2">
    <w:name w:val="heading 2"/>
    <w:basedOn w:val="Normal"/>
    <w:next w:val="Normal"/>
    <w:link w:val="Heading2Char"/>
    <w:uiPriority w:val="99"/>
    <w:qFormat/>
    <w:rsid w:val="001731A4"/>
    <w:pPr>
      <w:keepNext/>
      <w:keepLines/>
      <w:spacing w:before="200" w:line="276" w:lineRule="auto"/>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731A4"/>
    <w:pPr>
      <w:keepNext/>
      <w:keepLines/>
      <w:spacing w:before="200" w:line="276" w:lineRule="auto"/>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1731A4"/>
    <w:pPr>
      <w:keepNext/>
      <w:keepLines/>
      <w:spacing w:before="200" w:line="276" w:lineRule="auto"/>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31A4"/>
    <w:rPr>
      <w:rFonts w:ascii="Verdana" w:hAnsi="Verdana" w:cs="Times New Roman"/>
      <w:b/>
      <w:bCs/>
      <w:i/>
      <w:iCs/>
      <w:color w:val="663333"/>
      <w:kern w:val="36"/>
      <w:sz w:val="17"/>
      <w:szCs w:val="17"/>
      <w:lang w:eastAsia="en-GB"/>
    </w:rPr>
  </w:style>
  <w:style w:type="character" w:customStyle="1" w:styleId="Heading2Char">
    <w:name w:val="Heading 2 Char"/>
    <w:basedOn w:val="DefaultParagraphFont"/>
    <w:link w:val="Heading2"/>
    <w:uiPriority w:val="99"/>
    <w:locked/>
    <w:rsid w:val="001731A4"/>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731A4"/>
    <w:rPr>
      <w:rFonts w:ascii="Cambria" w:hAnsi="Cambria" w:cs="Times New Roman"/>
      <w:b/>
      <w:bCs/>
      <w:color w:val="4F81BD"/>
      <w:sz w:val="22"/>
    </w:rPr>
  </w:style>
  <w:style w:type="character" w:customStyle="1" w:styleId="Heading4Char">
    <w:name w:val="Heading 4 Char"/>
    <w:basedOn w:val="DefaultParagraphFont"/>
    <w:link w:val="Heading4"/>
    <w:uiPriority w:val="99"/>
    <w:locked/>
    <w:rsid w:val="001731A4"/>
    <w:rPr>
      <w:rFonts w:ascii="Cambria" w:hAnsi="Cambria" w:cs="Times New Roman"/>
      <w:b/>
      <w:bCs/>
      <w:i/>
      <w:iCs/>
      <w:color w:val="4F81BD"/>
      <w:sz w:val="22"/>
    </w:rPr>
  </w:style>
  <w:style w:type="paragraph" w:styleId="PlainText">
    <w:name w:val="Plain Text"/>
    <w:basedOn w:val="Normal"/>
    <w:link w:val="PlainTextChar"/>
    <w:uiPriority w:val="99"/>
    <w:rsid w:val="00103005"/>
    <w:rPr>
      <w:rFonts w:ascii="Consolas" w:hAnsi="Consolas"/>
      <w:sz w:val="21"/>
      <w:szCs w:val="21"/>
    </w:rPr>
  </w:style>
  <w:style w:type="character" w:customStyle="1" w:styleId="PlainTextChar">
    <w:name w:val="Plain Text Char"/>
    <w:basedOn w:val="DefaultParagraphFont"/>
    <w:link w:val="PlainText"/>
    <w:uiPriority w:val="99"/>
    <w:locked/>
    <w:rsid w:val="00103005"/>
    <w:rPr>
      <w:rFonts w:ascii="Consolas" w:hAnsi="Consolas" w:cs="Times New Roman"/>
      <w:sz w:val="21"/>
      <w:szCs w:val="21"/>
    </w:rPr>
  </w:style>
  <w:style w:type="paragraph" w:styleId="Footer">
    <w:name w:val="footer"/>
    <w:basedOn w:val="Normal"/>
    <w:link w:val="FooterChar"/>
    <w:uiPriority w:val="99"/>
    <w:rsid w:val="00103005"/>
    <w:pPr>
      <w:tabs>
        <w:tab w:val="center" w:pos="4513"/>
        <w:tab w:val="right" w:pos="9026"/>
      </w:tabs>
      <w:spacing w:after="200" w:line="276" w:lineRule="auto"/>
    </w:pPr>
  </w:style>
  <w:style w:type="character" w:customStyle="1" w:styleId="FooterChar">
    <w:name w:val="Footer Char"/>
    <w:basedOn w:val="DefaultParagraphFont"/>
    <w:link w:val="Footer"/>
    <w:uiPriority w:val="99"/>
    <w:locked/>
    <w:rsid w:val="00103005"/>
    <w:rPr>
      <w:rFonts w:ascii="Calibri" w:hAnsi="Calibri" w:cs="Times New Roman"/>
      <w:sz w:val="22"/>
    </w:rPr>
  </w:style>
  <w:style w:type="paragraph" w:styleId="Header">
    <w:name w:val="header"/>
    <w:basedOn w:val="Normal"/>
    <w:link w:val="HeaderChar"/>
    <w:uiPriority w:val="99"/>
    <w:semiHidden/>
    <w:rsid w:val="001731A4"/>
    <w:pPr>
      <w:tabs>
        <w:tab w:val="center" w:pos="4513"/>
        <w:tab w:val="right" w:pos="9026"/>
      </w:tabs>
      <w:spacing w:after="200" w:line="276" w:lineRule="auto"/>
    </w:pPr>
  </w:style>
  <w:style w:type="character" w:customStyle="1" w:styleId="HeaderChar">
    <w:name w:val="Header Char"/>
    <w:basedOn w:val="DefaultParagraphFont"/>
    <w:link w:val="Header"/>
    <w:uiPriority w:val="99"/>
    <w:semiHidden/>
    <w:locked/>
    <w:rsid w:val="001731A4"/>
    <w:rPr>
      <w:rFonts w:ascii="Calibri" w:hAnsi="Calibri" w:cs="Times New Roman"/>
      <w:sz w:val="22"/>
    </w:rPr>
  </w:style>
  <w:style w:type="character" w:styleId="Hyperlink">
    <w:name w:val="Hyperlink"/>
    <w:basedOn w:val="DefaultParagraphFont"/>
    <w:uiPriority w:val="99"/>
    <w:rsid w:val="001731A4"/>
    <w:rPr>
      <w:rFonts w:cs="Times New Roman"/>
      <w:color w:val="0000FF"/>
      <w:u w:val="single"/>
    </w:rPr>
  </w:style>
  <w:style w:type="paragraph" w:customStyle="1" w:styleId="Default">
    <w:name w:val="Default"/>
    <w:uiPriority w:val="99"/>
    <w:rsid w:val="001731A4"/>
    <w:pPr>
      <w:autoSpaceDE w:val="0"/>
      <w:autoSpaceDN w:val="0"/>
      <w:adjustRightInd w:val="0"/>
    </w:pPr>
    <w:rPr>
      <w:rFonts w:ascii="Times New Roman" w:hAnsi="Times New Roman"/>
      <w:color w:val="000000"/>
      <w:sz w:val="24"/>
      <w:szCs w:val="24"/>
    </w:rPr>
  </w:style>
  <w:style w:type="paragraph" w:customStyle="1" w:styleId="titoloautore">
    <w:name w:val="titoloautore"/>
    <w:basedOn w:val="Normal"/>
    <w:uiPriority w:val="99"/>
    <w:rsid w:val="001731A4"/>
    <w:pPr>
      <w:spacing w:before="248" w:after="62"/>
      <w:ind w:right="248"/>
    </w:pPr>
    <w:rPr>
      <w:rFonts w:ascii="Verdana" w:eastAsia="Times New Roman" w:hAnsi="Verdana"/>
      <w:b/>
      <w:bCs/>
      <w:color w:val="663333"/>
      <w:sz w:val="17"/>
      <w:szCs w:val="17"/>
      <w:lang w:eastAsia="en-GB"/>
    </w:rPr>
  </w:style>
  <w:style w:type="paragraph" w:customStyle="1" w:styleId="noteeditoriali">
    <w:name w:val="noteeditoriali"/>
    <w:basedOn w:val="Normal"/>
    <w:uiPriority w:val="99"/>
    <w:rsid w:val="001731A4"/>
    <w:pPr>
      <w:spacing w:before="62" w:after="62"/>
      <w:ind w:left="62" w:right="62"/>
    </w:pPr>
    <w:rPr>
      <w:rFonts w:ascii="Verdana" w:eastAsia="Times New Roman" w:hAnsi="Verdana"/>
      <w:color w:val="000000"/>
      <w:sz w:val="15"/>
      <w:szCs w:val="15"/>
      <w:lang w:eastAsia="en-GB"/>
    </w:rPr>
  </w:style>
  <w:style w:type="paragraph" w:styleId="BalloonText">
    <w:name w:val="Balloon Text"/>
    <w:basedOn w:val="Normal"/>
    <w:link w:val="BalloonTextChar"/>
    <w:uiPriority w:val="99"/>
    <w:semiHidden/>
    <w:rsid w:val="001731A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31A4"/>
    <w:rPr>
      <w:rFonts w:ascii="Tahoma" w:hAnsi="Tahoma" w:cs="Tahoma"/>
      <w:sz w:val="16"/>
      <w:szCs w:val="16"/>
    </w:rPr>
  </w:style>
  <w:style w:type="character" w:customStyle="1" w:styleId="a">
    <w:name w:val="a"/>
    <w:basedOn w:val="DefaultParagraphFont"/>
    <w:uiPriority w:val="99"/>
    <w:rsid w:val="001731A4"/>
    <w:rPr>
      <w:rFonts w:cs="Times New Roman"/>
    </w:rPr>
  </w:style>
  <w:style w:type="character" w:styleId="Emphasis">
    <w:name w:val="Emphasis"/>
    <w:basedOn w:val="DefaultParagraphFont"/>
    <w:uiPriority w:val="99"/>
    <w:qFormat/>
    <w:rsid w:val="001731A4"/>
    <w:rPr>
      <w:rFonts w:cs="Times New Roman"/>
      <w:i/>
      <w:iCs/>
    </w:rPr>
  </w:style>
  <w:style w:type="paragraph" w:styleId="EndnoteText">
    <w:name w:val="endnote text"/>
    <w:basedOn w:val="Normal"/>
    <w:link w:val="EndnoteTextChar"/>
    <w:uiPriority w:val="99"/>
    <w:rsid w:val="001731A4"/>
    <w:pPr>
      <w:spacing w:after="200" w:line="276" w:lineRule="auto"/>
    </w:pPr>
    <w:rPr>
      <w:sz w:val="20"/>
      <w:szCs w:val="20"/>
    </w:rPr>
  </w:style>
  <w:style w:type="character" w:customStyle="1" w:styleId="EndnoteTextChar">
    <w:name w:val="Endnote Text Char"/>
    <w:basedOn w:val="DefaultParagraphFont"/>
    <w:link w:val="EndnoteText"/>
    <w:uiPriority w:val="99"/>
    <w:locked/>
    <w:rsid w:val="001731A4"/>
    <w:rPr>
      <w:rFonts w:ascii="Calibri" w:hAnsi="Calibri" w:cs="Times New Roman"/>
      <w:sz w:val="20"/>
      <w:szCs w:val="20"/>
    </w:rPr>
  </w:style>
  <w:style w:type="character" w:styleId="EndnoteReference">
    <w:name w:val="endnote reference"/>
    <w:basedOn w:val="DefaultParagraphFont"/>
    <w:uiPriority w:val="99"/>
    <w:rsid w:val="001731A4"/>
    <w:rPr>
      <w:rFonts w:cs="Times New Roman"/>
      <w:vertAlign w:val="superscript"/>
    </w:rPr>
  </w:style>
  <w:style w:type="character" w:styleId="PageNumber">
    <w:name w:val="page number"/>
    <w:basedOn w:val="DefaultParagraphFont"/>
    <w:uiPriority w:val="99"/>
    <w:rsid w:val="001731A4"/>
    <w:rPr>
      <w:rFonts w:cs="Times New Roman"/>
    </w:rPr>
  </w:style>
  <w:style w:type="paragraph" w:styleId="FootnoteText">
    <w:name w:val="footnote text"/>
    <w:basedOn w:val="Normal"/>
    <w:link w:val="FootnoteTextChar"/>
    <w:uiPriority w:val="99"/>
    <w:rsid w:val="001731A4"/>
    <w:rPr>
      <w:rFonts w:ascii="Times New Roman" w:eastAsia="Times New Roman" w:hAnsi="Times New Roman"/>
      <w:sz w:val="20"/>
      <w:szCs w:val="20"/>
      <w:lang w:eastAsia="en-GB"/>
    </w:rPr>
  </w:style>
  <w:style w:type="character" w:customStyle="1" w:styleId="FootnoteTextChar">
    <w:name w:val="Footnote Text Char"/>
    <w:basedOn w:val="DefaultParagraphFont"/>
    <w:link w:val="FootnoteText"/>
    <w:uiPriority w:val="99"/>
    <w:locked/>
    <w:rsid w:val="001731A4"/>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1731A4"/>
    <w:rPr>
      <w:rFonts w:cs="Times New Roman"/>
      <w:vertAlign w:val="superscript"/>
    </w:rPr>
  </w:style>
  <w:style w:type="character" w:customStyle="1" w:styleId="f1">
    <w:name w:val="f1"/>
    <w:basedOn w:val="DefaultParagraphFont"/>
    <w:uiPriority w:val="99"/>
    <w:rsid w:val="001731A4"/>
    <w:rPr>
      <w:rFonts w:cs="Times New Roman"/>
      <w:color w:val="676767"/>
    </w:rPr>
  </w:style>
  <w:style w:type="character" w:styleId="CommentReference">
    <w:name w:val="annotation reference"/>
    <w:basedOn w:val="DefaultParagraphFont"/>
    <w:uiPriority w:val="99"/>
    <w:semiHidden/>
    <w:rsid w:val="001731A4"/>
    <w:rPr>
      <w:rFonts w:cs="Times New Roman"/>
      <w:sz w:val="16"/>
      <w:szCs w:val="16"/>
    </w:rPr>
  </w:style>
  <w:style w:type="paragraph" w:styleId="CommentText">
    <w:name w:val="annotation text"/>
    <w:basedOn w:val="Normal"/>
    <w:link w:val="CommentTextChar"/>
    <w:uiPriority w:val="99"/>
    <w:semiHidden/>
    <w:rsid w:val="001731A4"/>
    <w:pPr>
      <w:spacing w:after="200" w:line="276" w:lineRule="auto"/>
    </w:pPr>
    <w:rPr>
      <w:rFonts w:eastAsia="SimSun"/>
      <w:sz w:val="20"/>
      <w:szCs w:val="20"/>
    </w:rPr>
  </w:style>
  <w:style w:type="character" w:customStyle="1" w:styleId="CommentTextChar">
    <w:name w:val="Comment Text Char"/>
    <w:basedOn w:val="DefaultParagraphFont"/>
    <w:link w:val="CommentText"/>
    <w:uiPriority w:val="99"/>
    <w:semiHidden/>
    <w:locked/>
    <w:rsid w:val="001731A4"/>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rsid w:val="001731A4"/>
    <w:pPr>
      <w:spacing w:line="240" w:lineRule="auto"/>
    </w:pPr>
    <w:rPr>
      <w:rFonts w:eastAsia="Calibri"/>
      <w:b/>
      <w:bCs/>
    </w:rPr>
  </w:style>
  <w:style w:type="character" w:customStyle="1" w:styleId="CommentSubjectChar">
    <w:name w:val="Comment Subject Char"/>
    <w:basedOn w:val="CommentTextChar"/>
    <w:link w:val="CommentSubject"/>
    <w:uiPriority w:val="99"/>
    <w:semiHidden/>
    <w:locked/>
    <w:rsid w:val="001731A4"/>
    <w:rPr>
      <w:rFonts w:ascii="Calibri" w:eastAsia="SimSun" w:hAnsi="Calibri" w:cs="Times New Roman"/>
      <w:b/>
      <w:bCs/>
      <w:sz w:val="20"/>
      <w:szCs w:val="20"/>
    </w:rPr>
  </w:style>
  <w:style w:type="paragraph" w:styleId="BodyTextIndent2">
    <w:name w:val="Body Text Indent 2"/>
    <w:basedOn w:val="Normal"/>
    <w:link w:val="BodyTextIndent2Char"/>
    <w:uiPriority w:val="99"/>
    <w:rsid w:val="001731A4"/>
    <w:pPr>
      <w:spacing w:after="120" w:line="480" w:lineRule="auto"/>
      <w:ind w:left="283"/>
    </w:pPr>
    <w:rPr>
      <w:rFonts w:ascii="Times New Roman" w:eastAsia="Times New Roman" w:hAnsi="Times New Roman"/>
      <w:sz w:val="24"/>
      <w:szCs w:val="24"/>
      <w:lang w:val="nl-NL" w:eastAsia="nl-NL"/>
    </w:rPr>
  </w:style>
  <w:style w:type="character" w:customStyle="1" w:styleId="BodyTextIndent2Char">
    <w:name w:val="Body Text Indent 2 Char"/>
    <w:basedOn w:val="DefaultParagraphFont"/>
    <w:link w:val="BodyTextIndent2"/>
    <w:uiPriority w:val="99"/>
    <w:locked/>
    <w:rsid w:val="001731A4"/>
    <w:rPr>
      <w:rFonts w:ascii="Times New Roman" w:hAnsi="Times New Roman" w:cs="Times New Roman"/>
      <w:sz w:val="24"/>
      <w:szCs w:val="24"/>
      <w:lang w:val="nl-NL" w:eastAsia="nl-NL"/>
    </w:rPr>
  </w:style>
  <w:style w:type="character" w:customStyle="1" w:styleId="star-toc-chapter1">
    <w:name w:val="star-toc-chapter1"/>
    <w:basedOn w:val="DefaultParagraphFont"/>
    <w:uiPriority w:val="99"/>
    <w:rsid w:val="001731A4"/>
    <w:rPr>
      <w:rFonts w:cs="Times New Roman"/>
    </w:rPr>
  </w:style>
  <w:style w:type="table" w:styleId="TableGrid">
    <w:name w:val="Table Grid"/>
    <w:basedOn w:val="TableNormal"/>
    <w:uiPriority w:val="99"/>
    <w:rsid w:val="001731A4"/>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1731A4"/>
    <w:rPr>
      <w:rFonts w:cs="Times New Roman"/>
      <w:b/>
      <w:bCs/>
    </w:rPr>
  </w:style>
  <w:style w:type="paragraph" w:customStyle="1" w:styleId="author">
    <w:name w:val="author"/>
    <w:basedOn w:val="Normal"/>
    <w:uiPriority w:val="99"/>
    <w:rsid w:val="001731A4"/>
    <w:pPr>
      <w:spacing w:before="60" w:after="240"/>
    </w:pPr>
    <w:rPr>
      <w:rFonts w:ascii="Times New Roman" w:eastAsia="Times New Roman" w:hAnsi="Times New Roman"/>
      <w:b/>
      <w:bCs/>
      <w:color w:val="333333"/>
      <w:sz w:val="24"/>
      <w:szCs w:val="24"/>
      <w:lang w:eastAsia="en-GB"/>
    </w:rPr>
  </w:style>
  <w:style w:type="paragraph" w:styleId="NormalWeb">
    <w:name w:val="Normal (Web)"/>
    <w:basedOn w:val="Normal"/>
    <w:uiPriority w:val="99"/>
    <w:semiHidden/>
    <w:rsid w:val="001731A4"/>
    <w:pPr>
      <w:spacing w:before="100" w:beforeAutospacing="1" w:after="100" w:afterAutospacing="1"/>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714643">
      <w:marLeft w:val="0"/>
      <w:marRight w:val="0"/>
      <w:marTop w:val="0"/>
      <w:marBottom w:val="0"/>
      <w:divBdr>
        <w:top w:val="none" w:sz="0" w:space="0" w:color="auto"/>
        <w:left w:val="none" w:sz="0" w:space="0" w:color="auto"/>
        <w:bottom w:val="none" w:sz="0" w:space="0" w:color="auto"/>
        <w:right w:val="none" w:sz="0" w:space="0" w:color="auto"/>
      </w:divBdr>
    </w:div>
    <w:div w:id="1400714644">
      <w:marLeft w:val="0"/>
      <w:marRight w:val="0"/>
      <w:marTop w:val="0"/>
      <w:marBottom w:val="0"/>
      <w:divBdr>
        <w:top w:val="none" w:sz="0" w:space="0" w:color="auto"/>
        <w:left w:val="none" w:sz="0" w:space="0" w:color="auto"/>
        <w:bottom w:val="none" w:sz="0" w:space="0" w:color="auto"/>
        <w:right w:val="none" w:sz="0" w:space="0" w:color="auto"/>
      </w:divBdr>
    </w:div>
    <w:div w:id="1400714645">
      <w:marLeft w:val="0"/>
      <w:marRight w:val="0"/>
      <w:marTop w:val="0"/>
      <w:marBottom w:val="0"/>
      <w:divBdr>
        <w:top w:val="none" w:sz="0" w:space="0" w:color="auto"/>
        <w:left w:val="none" w:sz="0" w:space="0" w:color="auto"/>
        <w:bottom w:val="none" w:sz="0" w:space="0" w:color="auto"/>
        <w:right w:val="none" w:sz="0" w:space="0" w:color="auto"/>
      </w:divBdr>
    </w:div>
    <w:div w:id="1400714646">
      <w:marLeft w:val="0"/>
      <w:marRight w:val="0"/>
      <w:marTop w:val="0"/>
      <w:marBottom w:val="0"/>
      <w:divBdr>
        <w:top w:val="none" w:sz="0" w:space="0" w:color="auto"/>
        <w:left w:val="none" w:sz="0" w:space="0" w:color="auto"/>
        <w:bottom w:val="none" w:sz="0" w:space="0" w:color="auto"/>
        <w:right w:val="none" w:sz="0" w:space="0" w:color="auto"/>
      </w:divBdr>
    </w:div>
    <w:div w:id="14007146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257D0-45AB-4BBD-A81C-08E757C4C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Appendix 1</vt:lpstr>
    </vt:vector>
  </TitlesOfParts>
  <Company>Institute of Education</Company>
  <LinksUpToDate>false</LinksUpToDate>
  <CharactersWithSpaces>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dc:title>
  <dc:subject/>
  <dc:creator>jgglcenc</dc:creator>
  <cp:keywords/>
  <dc:description/>
  <cp:lastModifiedBy>germ janmaat</cp:lastModifiedBy>
  <cp:revision>3</cp:revision>
  <cp:lastPrinted>2013-07-11T10:35:00Z</cp:lastPrinted>
  <dcterms:created xsi:type="dcterms:W3CDTF">2014-02-10T14:12:00Z</dcterms:created>
  <dcterms:modified xsi:type="dcterms:W3CDTF">2014-02-11T13:19:00Z</dcterms:modified>
</cp:coreProperties>
</file>