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529" w:rsidRPr="00223529" w:rsidRDefault="00223529" w:rsidP="000F474A">
      <w:pPr>
        <w:spacing w:after="0" w:line="360" w:lineRule="auto"/>
        <w:jc w:val="both"/>
        <w:rPr>
          <w:b/>
        </w:rPr>
      </w:pPr>
      <w:r w:rsidRPr="00223529">
        <w:rPr>
          <w:b/>
        </w:rPr>
        <w:t xml:space="preserve">Datasets resulting from grant </w:t>
      </w:r>
      <w:r w:rsidR="00AB11B3" w:rsidRPr="00AB11B3">
        <w:rPr>
          <w:b/>
        </w:rPr>
        <w:t xml:space="preserve">RES-000-22-4661 </w:t>
      </w:r>
      <w:r w:rsidRPr="00223529">
        <w:rPr>
          <w:b/>
        </w:rPr>
        <w:t xml:space="preserve">(Brown, </w:t>
      </w:r>
      <w:proofErr w:type="spellStart"/>
      <w:r w:rsidRPr="00223529">
        <w:rPr>
          <w:b/>
        </w:rPr>
        <w:t>Logie</w:t>
      </w:r>
      <w:proofErr w:type="spellEnd"/>
      <w:r w:rsidRPr="00223529">
        <w:rPr>
          <w:b/>
        </w:rPr>
        <w:t>, &amp; Allen)</w:t>
      </w:r>
    </w:p>
    <w:p w:rsidR="00DE7C69" w:rsidRDefault="00223529" w:rsidP="000F474A">
      <w:pPr>
        <w:pBdr>
          <w:bottom w:val="single" w:sz="12" w:space="1" w:color="auto"/>
        </w:pBdr>
        <w:spacing w:after="0" w:line="360" w:lineRule="auto"/>
        <w:jc w:val="both"/>
        <w:rPr>
          <w:b/>
        </w:rPr>
      </w:pPr>
      <w:r w:rsidRPr="00223529">
        <w:rPr>
          <w:b/>
        </w:rPr>
        <w:t xml:space="preserve">“Encoding and interference effects on visual working memory binding in </w:t>
      </w:r>
      <w:bookmarkStart w:id="0" w:name="_GoBack"/>
      <w:bookmarkEnd w:id="0"/>
      <w:r w:rsidRPr="00223529">
        <w:rPr>
          <w:b/>
        </w:rPr>
        <w:t>young and older adults”</w:t>
      </w:r>
    </w:p>
    <w:p w:rsidR="00223529" w:rsidRDefault="00223529" w:rsidP="000F474A">
      <w:pPr>
        <w:spacing w:after="0" w:line="360" w:lineRule="auto"/>
        <w:jc w:val="both"/>
        <w:rPr>
          <w:b/>
        </w:rPr>
      </w:pPr>
    </w:p>
    <w:p w:rsidR="00223529" w:rsidRDefault="00223529" w:rsidP="000F474A">
      <w:pPr>
        <w:spacing w:after="0" w:line="360" w:lineRule="auto"/>
        <w:jc w:val="both"/>
        <w:rPr>
          <w:b/>
        </w:rPr>
      </w:pPr>
      <w:r>
        <w:rPr>
          <w:b/>
        </w:rPr>
        <w:t>Pilot Experiment</w:t>
      </w:r>
    </w:p>
    <w:p w:rsidR="00223529" w:rsidRDefault="00223529" w:rsidP="000F474A">
      <w:pPr>
        <w:pBdr>
          <w:bottom w:val="single" w:sz="12" w:space="1" w:color="auto"/>
        </w:pBdr>
        <w:spacing w:after="0" w:line="360" w:lineRule="auto"/>
        <w:jc w:val="both"/>
        <w:rPr>
          <w:i/>
        </w:rPr>
      </w:pPr>
      <w:r w:rsidRPr="00223529">
        <w:rPr>
          <w:i/>
        </w:rPr>
        <w:t>Effects of Age group (young, older) and block type (colour, shape, binding) on visual temporary memory performance</w:t>
      </w:r>
    </w:p>
    <w:p w:rsidR="007830DB" w:rsidRDefault="007830DB" w:rsidP="000F474A">
      <w:pPr>
        <w:pBdr>
          <w:bottom w:val="single" w:sz="12" w:space="1" w:color="auto"/>
        </w:pBdr>
        <w:spacing w:after="0" w:line="360" w:lineRule="auto"/>
        <w:jc w:val="both"/>
      </w:pPr>
    </w:p>
    <w:p w:rsidR="004E0ADC" w:rsidRDefault="004E0ADC" w:rsidP="000F474A">
      <w:pPr>
        <w:pBdr>
          <w:bottom w:val="single" w:sz="12" w:space="1" w:color="auto"/>
        </w:pBdr>
        <w:spacing w:after="0" w:line="360" w:lineRule="auto"/>
        <w:jc w:val="both"/>
      </w:pPr>
      <w:r>
        <w:t>The paradigm emp</w:t>
      </w:r>
      <w:r w:rsidR="006B027D">
        <w:t>loyed for the pilot experiment</w:t>
      </w:r>
      <w:r>
        <w:t xml:space="preserve"> is </w:t>
      </w:r>
      <w:r w:rsidR="00362AC5">
        <w:t>illustrated</w:t>
      </w:r>
      <w:r>
        <w:t xml:space="preserve"> in figure 1. The figure depicts a</w:t>
      </w:r>
      <w:r w:rsidR="006B027D">
        <w:t>n individual</w:t>
      </w:r>
      <w:r>
        <w:t xml:space="preserve"> trial, </w:t>
      </w:r>
      <w:r w:rsidR="007830DB">
        <w:t>which participants bega</w:t>
      </w:r>
      <w:r>
        <w:t xml:space="preserve">n by pressing the space bar. </w:t>
      </w:r>
    </w:p>
    <w:p w:rsidR="004E0ADC" w:rsidRPr="004E0ADC" w:rsidRDefault="004E0ADC" w:rsidP="000F474A">
      <w:pPr>
        <w:pBdr>
          <w:bottom w:val="single" w:sz="12" w:space="1" w:color="auto"/>
        </w:pBdr>
        <w:spacing w:after="0" w:line="360" w:lineRule="auto"/>
        <w:jc w:val="both"/>
      </w:pPr>
    </w:p>
    <w:p w:rsidR="00223529" w:rsidRDefault="00643FC9" w:rsidP="000F474A">
      <w:pPr>
        <w:pBdr>
          <w:bottom w:val="single" w:sz="12" w:space="1" w:color="auto"/>
        </w:pBdr>
        <w:spacing w:after="0" w:line="360" w:lineRule="auto"/>
        <w:jc w:val="center"/>
      </w:pPr>
      <w:r>
        <w:rPr>
          <w:noProof/>
        </w:rPr>
        <w:drawing>
          <wp:inline distT="0" distB="0" distL="0" distR="0" wp14:anchorId="420F7F78" wp14:editId="6799EACB">
            <wp:extent cx="5600065" cy="3752215"/>
            <wp:effectExtent l="19050" t="19050" r="19685" b="196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065" cy="3752215"/>
                    </a:xfrm>
                    <a:prstGeom prst="rect">
                      <a:avLst/>
                    </a:prstGeom>
                    <a:noFill/>
                    <a:ln w="12700">
                      <a:solidFill>
                        <a:schemeClr val="tx1"/>
                      </a:solidFill>
                    </a:ln>
                  </pic:spPr>
                </pic:pic>
              </a:graphicData>
            </a:graphic>
          </wp:inline>
        </w:drawing>
      </w:r>
    </w:p>
    <w:p w:rsidR="00780D78" w:rsidRDefault="00780D78" w:rsidP="000F474A">
      <w:pPr>
        <w:pBdr>
          <w:bottom w:val="single" w:sz="12" w:space="1" w:color="auto"/>
        </w:pBdr>
        <w:spacing w:after="0" w:line="360" w:lineRule="auto"/>
        <w:jc w:val="center"/>
      </w:pPr>
      <w:r w:rsidRPr="00780D78">
        <w:rPr>
          <w:i/>
        </w:rPr>
        <w:t>Figure 1</w:t>
      </w:r>
      <w:r>
        <w:t>: Pilot experiment paradigm.</w:t>
      </w:r>
    </w:p>
    <w:p w:rsidR="004E0ADC" w:rsidRDefault="004E0ADC" w:rsidP="000F474A">
      <w:pPr>
        <w:pBdr>
          <w:bottom w:val="single" w:sz="12" w:space="1" w:color="auto"/>
        </w:pBdr>
        <w:spacing w:after="0" w:line="360" w:lineRule="auto"/>
        <w:ind w:firstLine="567"/>
        <w:jc w:val="both"/>
      </w:pPr>
    </w:p>
    <w:p w:rsidR="007830DB" w:rsidRDefault="004E0ADC" w:rsidP="007830DB">
      <w:pPr>
        <w:keepNext/>
        <w:pBdr>
          <w:bottom w:val="single" w:sz="12" w:space="1" w:color="auto"/>
        </w:pBdr>
        <w:spacing w:after="0" w:line="360" w:lineRule="auto"/>
        <w:jc w:val="both"/>
      </w:pPr>
      <w:r>
        <w:t xml:space="preserve">A two-digit number </w:t>
      </w:r>
      <w:r w:rsidR="007830DB">
        <w:t>wa</w:t>
      </w:r>
      <w:r>
        <w:t xml:space="preserve">s presented for 2000 </w:t>
      </w:r>
      <w:proofErr w:type="spellStart"/>
      <w:r>
        <w:t>ms</w:t>
      </w:r>
      <w:proofErr w:type="spellEnd"/>
      <w:r>
        <w:t xml:space="preserve"> and, for the purposes of articulatory suppression (limiting the extent to which participants may verbal recode the visual information), participants articulate</w:t>
      </w:r>
      <w:r w:rsidR="007830DB">
        <w:t>d</w:t>
      </w:r>
      <w:r>
        <w:t xml:space="preserve"> this number out loud from this point until they made a response at the end of the trial. After the number disappear</w:t>
      </w:r>
      <w:r w:rsidR="007830DB">
        <w:t>ed there wa</w:t>
      </w:r>
      <w:r>
        <w:t xml:space="preserve">s a brief delay (1 s) – at </w:t>
      </w:r>
      <w:r w:rsidR="006B027D">
        <w:t>which</w:t>
      </w:r>
      <w:r>
        <w:t xml:space="preserve"> a centred fixation cross appear</w:t>
      </w:r>
      <w:r w:rsidR="007830DB">
        <w:t>ed</w:t>
      </w:r>
      <w:r>
        <w:t xml:space="preserve"> and remain</w:t>
      </w:r>
      <w:r w:rsidR="007830DB">
        <w:t>ed</w:t>
      </w:r>
      <w:r>
        <w:t xml:space="preserve"> until the end of the trial. Participants </w:t>
      </w:r>
      <w:r w:rsidR="007830DB">
        <w:t>we</w:t>
      </w:r>
      <w:r>
        <w:t xml:space="preserve">re then presented with three coloured shapes </w:t>
      </w:r>
      <w:r w:rsidR="006B027D">
        <w:t xml:space="preserve">to encode, </w:t>
      </w:r>
      <w:r>
        <w:t xml:space="preserve">for 900 </w:t>
      </w:r>
      <w:proofErr w:type="spellStart"/>
      <w:r>
        <w:t>ms</w:t>
      </w:r>
      <w:proofErr w:type="spellEnd"/>
      <w:r>
        <w:t xml:space="preserve"> (different colours represented by different fill effects). After </w:t>
      </w:r>
      <w:r>
        <w:lastRenderedPageBreak/>
        <w:t xml:space="preserve">a delay of </w:t>
      </w:r>
      <w:r w:rsidR="006B027D">
        <w:t>1 s</w:t>
      </w:r>
      <w:r>
        <w:t xml:space="preserve">, participants </w:t>
      </w:r>
      <w:r w:rsidR="007830DB">
        <w:t>we</w:t>
      </w:r>
      <w:r>
        <w:t xml:space="preserve">re presented with an item to which they </w:t>
      </w:r>
      <w:r w:rsidR="007830DB">
        <w:t>were to</w:t>
      </w:r>
      <w:r>
        <w:t xml:space="preserve"> respond ‘yes’ or ‘no’, via a </w:t>
      </w:r>
      <w:proofErr w:type="spellStart"/>
      <w:r>
        <w:t>keypress</w:t>
      </w:r>
      <w:proofErr w:type="spellEnd"/>
      <w:r>
        <w:t>, regarding whether or not this appear</w:t>
      </w:r>
      <w:r w:rsidR="007830DB">
        <w:t>ed</w:t>
      </w:r>
      <w:r>
        <w:t xml:space="preserve"> within the earlier array of coloured shapes. </w:t>
      </w:r>
    </w:p>
    <w:p w:rsidR="004E0ADC" w:rsidRDefault="006B027D" w:rsidP="007830DB">
      <w:pPr>
        <w:keepNext/>
        <w:pBdr>
          <w:bottom w:val="single" w:sz="12" w:space="1" w:color="auto"/>
        </w:pBdr>
        <w:spacing w:after="0" w:line="360" w:lineRule="auto"/>
        <w:ind w:firstLine="567"/>
        <w:jc w:val="both"/>
      </w:pPr>
      <w:r>
        <w:t>In this and the subsequent experiments, t</w:t>
      </w:r>
      <w:r w:rsidR="004E0ADC">
        <w:t xml:space="preserve">here </w:t>
      </w:r>
      <w:r w:rsidR="007830DB">
        <w:t>we</w:t>
      </w:r>
      <w:r w:rsidR="004E0ADC">
        <w:t>re 36 trials within each block, and each block varie</w:t>
      </w:r>
      <w:r w:rsidR="007830DB">
        <w:t>d</w:t>
      </w:r>
      <w:r w:rsidR="004E0ADC">
        <w:t xml:space="preserve"> according to memory test. Memory for colour information </w:t>
      </w:r>
      <w:r w:rsidR="007830DB">
        <w:t>was tested by presenting</w:t>
      </w:r>
      <w:r w:rsidR="004E0ADC">
        <w:t xml:space="preserve"> an individual patch of colour that was either present</w:t>
      </w:r>
      <w:r>
        <w:t xml:space="preserve"> in,</w:t>
      </w:r>
      <w:r w:rsidR="004E0ADC">
        <w:t xml:space="preserve"> or absent from</w:t>
      </w:r>
      <w:r>
        <w:t>,</w:t>
      </w:r>
      <w:r w:rsidR="004E0ADC">
        <w:t xml:space="preserve"> the array. Memory for shape information </w:t>
      </w:r>
      <w:r w:rsidR="007830DB">
        <w:t>wa</w:t>
      </w:r>
      <w:r w:rsidR="004E0ADC">
        <w:t xml:space="preserve">s tested by presenting an individual outline of a shape (with internal colour the same as the background – grey), </w:t>
      </w:r>
      <w:r>
        <w:t xml:space="preserve">to which participants </w:t>
      </w:r>
      <w:r w:rsidR="007830DB">
        <w:t>were again to</w:t>
      </w:r>
      <w:r>
        <w:t xml:space="preserve"> respond present or absent</w:t>
      </w:r>
      <w:r w:rsidR="004E0ADC">
        <w:t>. Binding memory, in contrast,</w:t>
      </w:r>
      <w:r w:rsidR="007830DB">
        <w:t xml:space="preserve"> was</w:t>
      </w:r>
      <w:r w:rsidR="004E0ADC">
        <w:t xml:space="preserve"> measured by presenting a coloured shape, comprising a colour and </w:t>
      </w:r>
      <w:r w:rsidR="007830DB">
        <w:t xml:space="preserve">a </w:t>
      </w:r>
      <w:r w:rsidR="004E0ADC">
        <w:t>shape</w:t>
      </w:r>
      <w:r w:rsidR="007830DB">
        <w:t xml:space="preserve"> that had appeared</w:t>
      </w:r>
      <w:r w:rsidR="004E0ADC">
        <w:t xml:space="preserve"> within the array, but not necessarily within the same object. Thus, either the whole coloured shape was present in the array, or it was absent,</w:t>
      </w:r>
      <w:r>
        <w:t xml:space="preserve"> with the probe item </w:t>
      </w:r>
      <w:r w:rsidR="007830DB">
        <w:t>having been</w:t>
      </w:r>
      <w:r w:rsidR="004E0ADC">
        <w:t xml:space="preserve"> formed by swapping </w:t>
      </w:r>
      <w:r>
        <w:t xml:space="preserve">individual </w:t>
      </w:r>
      <w:r w:rsidR="004E0ADC">
        <w:t xml:space="preserve">features </w:t>
      </w:r>
      <w:r w:rsidR="007830DB">
        <w:t>across objects from</w:t>
      </w:r>
      <w:r w:rsidR="004E0ADC">
        <w:t xml:space="preserve"> the array.</w:t>
      </w:r>
    </w:p>
    <w:p w:rsidR="000F474A" w:rsidRDefault="004E0ADC" w:rsidP="000F474A">
      <w:pPr>
        <w:pBdr>
          <w:bottom w:val="single" w:sz="12" w:space="1" w:color="auto"/>
        </w:pBdr>
        <w:spacing w:after="0" w:line="360" w:lineRule="auto"/>
        <w:ind w:firstLine="567"/>
        <w:jc w:val="both"/>
      </w:pPr>
      <w:r>
        <w:t xml:space="preserve">The data from the Pilot experiment are included in the SPSS file named </w:t>
      </w:r>
      <w:r w:rsidRPr="004E0ADC">
        <w:rPr>
          <w:u w:val="single"/>
        </w:rPr>
        <w:t>ES-J002712-1 Pilot Experiment</w:t>
      </w:r>
      <w:r>
        <w:t>. For this and subsequent experiments, i</w:t>
      </w:r>
      <w:r w:rsidR="002532A6">
        <w:t xml:space="preserve">n addition to </w:t>
      </w:r>
      <w:r>
        <w:t xml:space="preserve">the </w:t>
      </w:r>
      <w:r w:rsidR="002532A6">
        <w:t>demographic data (sex, age, years of education), the data include performance on the Mini-mental State Examination (</w:t>
      </w:r>
      <w:proofErr w:type="spellStart"/>
      <w:r w:rsidR="002532A6">
        <w:t>Fols</w:t>
      </w:r>
      <w:r>
        <w:t>tein</w:t>
      </w:r>
      <w:proofErr w:type="spellEnd"/>
      <w:r>
        <w:t xml:space="preserve">, </w:t>
      </w:r>
      <w:proofErr w:type="spellStart"/>
      <w:r>
        <w:t>Folstein</w:t>
      </w:r>
      <w:proofErr w:type="spellEnd"/>
      <w:r>
        <w:t>, &amp; McHugh, 1975), for the purpose of screening for unhealthy cognitive decline in the older adults, and</w:t>
      </w:r>
      <w:r w:rsidR="002532A6">
        <w:t xml:space="preserve"> the Test of Premorbid Functioning - UK (Pearson Assessment, 2009), for the purpose of estimating Full-Scale IQ.</w:t>
      </w:r>
      <w:r w:rsidR="00E61F8A">
        <w:t xml:space="preserve"> The data also include responses </w:t>
      </w:r>
      <w:r>
        <w:t>regarding</w:t>
      </w:r>
      <w:r w:rsidR="00E61F8A">
        <w:t xml:space="preserve"> </w:t>
      </w:r>
      <w:r>
        <w:t xml:space="preserve">the </w:t>
      </w:r>
      <w:r w:rsidR="00E61F8A">
        <w:t>require</w:t>
      </w:r>
      <w:r>
        <w:t>ment for</w:t>
      </w:r>
      <w:r w:rsidR="00E61F8A">
        <w:t xml:space="preserve"> vision correction and, if so, whether or not vision was corrected, as well as whether or not particip</w:t>
      </w:r>
      <w:r>
        <w:t xml:space="preserve">ants reported a memory impairment. </w:t>
      </w:r>
      <w:r w:rsidR="00E61F8A">
        <w:t xml:space="preserve">Administration order of the blocks of trials </w:t>
      </w:r>
      <w:r w:rsidR="007830DB">
        <w:t>wa</w:t>
      </w:r>
      <w:r w:rsidR="00E61F8A">
        <w:t>s also recorded, depicting the order in which the colour, shape, and binding memory blocks were administered</w:t>
      </w:r>
      <w:r>
        <w:t xml:space="preserve"> (as well as the condition of the other variable being manipulated </w:t>
      </w:r>
      <w:r w:rsidR="00216BC7">
        <w:t>in</w:t>
      </w:r>
      <w:r>
        <w:t xml:space="preserve"> the </w:t>
      </w:r>
      <w:r w:rsidR="00216BC7">
        <w:t>following</w:t>
      </w:r>
      <w:r>
        <w:t xml:space="preserve"> 3 experiments)</w:t>
      </w:r>
      <w:r w:rsidR="00E61F8A">
        <w:t>.</w:t>
      </w:r>
    </w:p>
    <w:p w:rsidR="000F474A" w:rsidRDefault="000F474A" w:rsidP="000F474A">
      <w:pPr>
        <w:pBdr>
          <w:bottom w:val="single" w:sz="12" w:space="1" w:color="auto"/>
        </w:pBdr>
        <w:spacing w:after="0" w:line="360" w:lineRule="auto"/>
        <w:ind w:firstLine="567"/>
        <w:jc w:val="both"/>
      </w:pPr>
      <w:r>
        <w:t xml:space="preserve">A number of measures of memory performance were taken. The primary one for our purposes within the grant was A’, which is a measure of change detection accuracy and is derived from the hit and false alarm rates (see Stanislaw &amp; </w:t>
      </w:r>
      <w:proofErr w:type="spellStart"/>
      <w:r>
        <w:t>Todorov</w:t>
      </w:r>
      <w:proofErr w:type="spellEnd"/>
      <w:r>
        <w:t>, 1999).</w:t>
      </w:r>
      <w:r w:rsidR="000D28EB">
        <w:t xml:space="preserve"> In addition to these three measures, response times, basic accuracy (percentage correct), and mean rate of articulation (how often the two-digit number </w:t>
      </w:r>
      <w:r w:rsidR="007830DB">
        <w:t>wa</w:t>
      </w:r>
      <w:r w:rsidR="000D28EB">
        <w:t>s repeated during a trial) are included.</w:t>
      </w:r>
    </w:p>
    <w:p w:rsidR="00915CE6" w:rsidRDefault="00E61F8A" w:rsidP="00216BC7">
      <w:pPr>
        <w:pBdr>
          <w:bottom w:val="single" w:sz="12" w:space="1" w:color="auto"/>
        </w:pBdr>
        <w:spacing w:after="0" w:line="360" w:lineRule="auto"/>
        <w:ind w:firstLine="567"/>
        <w:jc w:val="both"/>
      </w:pPr>
      <w:r>
        <w:t>Across all datasets the following missing variable codes are used: 88888 (for use where data are missing, but because they are not applicable) and 99999 (reserved for when data should exist, but are missing).</w:t>
      </w:r>
    </w:p>
    <w:p w:rsidR="00915CE6" w:rsidRPr="00223529" w:rsidRDefault="00915CE6" w:rsidP="000F474A">
      <w:pPr>
        <w:pBdr>
          <w:bottom w:val="single" w:sz="12" w:space="1" w:color="auto"/>
        </w:pBdr>
        <w:spacing w:after="0" w:line="360" w:lineRule="auto"/>
        <w:jc w:val="both"/>
      </w:pPr>
    </w:p>
    <w:p w:rsidR="00223529" w:rsidRDefault="00223529" w:rsidP="000F474A">
      <w:pPr>
        <w:spacing w:after="0" w:line="360" w:lineRule="auto"/>
        <w:jc w:val="both"/>
        <w:rPr>
          <w:b/>
        </w:rPr>
      </w:pPr>
    </w:p>
    <w:p w:rsidR="00223529" w:rsidRDefault="00223529" w:rsidP="000F474A">
      <w:pPr>
        <w:spacing w:after="0" w:line="360" w:lineRule="auto"/>
        <w:jc w:val="both"/>
        <w:rPr>
          <w:b/>
        </w:rPr>
      </w:pPr>
      <w:r>
        <w:rPr>
          <w:b/>
        </w:rPr>
        <w:t>Experiment 1</w:t>
      </w:r>
    </w:p>
    <w:p w:rsidR="00223529" w:rsidRDefault="00223529" w:rsidP="000F474A">
      <w:pPr>
        <w:spacing w:after="0" w:line="360" w:lineRule="auto"/>
        <w:jc w:val="both"/>
        <w:rPr>
          <w:i/>
        </w:rPr>
      </w:pPr>
      <w:r w:rsidRPr="00223529">
        <w:rPr>
          <w:i/>
        </w:rPr>
        <w:t>Effects of Age group (young, older)</w:t>
      </w:r>
      <w:r>
        <w:rPr>
          <w:i/>
        </w:rPr>
        <w:t>, encoding time [short (900ms) and long (1500ms)]</w:t>
      </w:r>
      <w:r w:rsidRPr="00223529">
        <w:rPr>
          <w:i/>
        </w:rPr>
        <w:t xml:space="preserve"> and block type (colour, shape, binding) on visual temporary memory performance</w:t>
      </w:r>
    </w:p>
    <w:p w:rsidR="00343AC8" w:rsidRPr="00343AC8" w:rsidRDefault="00343AC8" w:rsidP="000F474A">
      <w:pPr>
        <w:spacing w:after="0" w:line="360" w:lineRule="auto"/>
        <w:jc w:val="both"/>
      </w:pPr>
      <w:r>
        <w:lastRenderedPageBreak/>
        <w:t xml:space="preserve">This experiment used the paradigm illustrated in Figure 2. The basic paradigm </w:t>
      </w:r>
      <w:r w:rsidR="00280726">
        <w:t xml:space="preserve">(short condition) </w:t>
      </w:r>
      <w:r>
        <w:t>was contrasted with a longer encoding time (</w:t>
      </w:r>
      <w:r w:rsidR="00280726">
        <w:t xml:space="preserve">long condition; i.e., </w:t>
      </w:r>
      <w:r>
        <w:t xml:space="preserve">900 </w:t>
      </w:r>
      <w:proofErr w:type="spellStart"/>
      <w:r>
        <w:t>ms</w:t>
      </w:r>
      <w:proofErr w:type="spellEnd"/>
      <w:r>
        <w:t xml:space="preserve"> v 1500 </w:t>
      </w:r>
      <w:proofErr w:type="spellStart"/>
      <w:r>
        <w:t>ms</w:t>
      </w:r>
      <w:proofErr w:type="spellEnd"/>
      <w:r>
        <w:t xml:space="preserve">). </w:t>
      </w:r>
    </w:p>
    <w:p w:rsidR="00223529" w:rsidRDefault="00AF78D8" w:rsidP="000F474A">
      <w:pPr>
        <w:pBdr>
          <w:bottom w:val="single" w:sz="12" w:space="1" w:color="auto"/>
        </w:pBdr>
        <w:spacing w:after="0" w:line="360" w:lineRule="auto"/>
        <w:jc w:val="center"/>
      </w:pPr>
      <w:r>
        <w:rPr>
          <w:noProof/>
        </w:rPr>
        <w:drawing>
          <wp:inline distT="0" distB="0" distL="0" distR="0" wp14:anchorId="59970668" wp14:editId="11DDB3E1">
            <wp:extent cx="5600065" cy="3752215"/>
            <wp:effectExtent l="19050" t="19050" r="19685" b="196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065" cy="3752215"/>
                    </a:xfrm>
                    <a:prstGeom prst="rect">
                      <a:avLst/>
                    </a:prstGeom>
                    <a:noFill/>
                    <a:ln w="12700">
                      <a:solidFill>
                        <a:schemeClr val="tx1"/>
                      </a:solidFill>
                    </a:ln>
                  </pic:spPr>
                </pic:pic>
              </a:graphicData>
            </a:graphic>
          </wp:inline>
        </w:drawing>
      </w:r>
    </w:p>
    <w:p w:rsidR="00780D78" w:rsidRDefault="00780D78" w:rsidP="000F474A">
      <w:pPr>
        <w:pBdr>
          <w:bottom w:val="single" w:sz="12" w:space="1" w:color="auto"/>
        </w:pBdr>
        <w:spacing w:after="0" w:line="360" w:lineRule="auto"/>
        <w:jc w:val="center"/>
      </w:pPr>
      <w:r w:rsidRPr="00780D78">
        <w:rPr>
          <w:i/>
        </w:rPr>
        <w:t xml:space="preserve">Figure </w:t>
      </w:r>
      <w:r>
        <w:rPr>
          <w:i/>
        </w:rPr>
        <w:t>2</w:t>
      </w:r>
      <w:r>
        <w:t>: Experiment 1 paradigm.</w:t>
      </w:r>
    </w:p>
    <w:p w:rsidR="00780D78" w:rsidRDefault="00780D78" w:rsidP="000F474A">
      <w:pPr>
        <w:pBdr>
          <w:bottom w:val="single" w:sz="12" w:space="1" w:color="auto"/>
        </w:pBdr>
        <w:spacing w:after="0" w:line="360" w:lineRule="auto"/>
        <w:jc w:val="both"/>
      </w:pPr>
    </w:p>
    <w:p w:rsidR="00780D78" w:rsidRDefault="00343AC8" w:rsidP="000F474A">
      <w:pPr>
        <w:pBdr>
          <w:bottom w:val="single" w:sz="12" w:space="1" w:color="auto"/>
        </w:pBdr>
        <w:spacing w:after="0" w:line="360" w:lineRule="auto"/>
        <w:jc w:val="both"/>
      </w:pPr>
      <w:r>
        <w:t xml:space="preserve">The measures were the same as those documented for the Pilot experiment, and are included in SPSS file named </w:t>
      </w:r>
      <w:r w:rsidR="00515FDE">
        <w:rPr>
          <w:u w:val="single"/>
        </w:rPr>
        <w:t xml:space="preserve">ES-J002712-1 </w:t>
      </w:r>
      <w:r w:rsidR="00515FDE" w:rsidRPr="004E0ADC">
        <w:rPr>
          <w:u w:val="single"/>
        </w:rPr>
        <w:t>Experiment</w:t>
      </w:r>
      <w:r w:rsidR="00515FDE">
        <w:rPr>
          <w:u w:val="single"/>
        </w:rPr>
        <w:t xml:space="preserve"> 1.</w:t>
      </w:r>
    </w:p>
    <w:p w:rsidR="00780D78" w:rsidRDefault="00780D78" w:rsidP="000F474A">
      <w:pPr>
        <w:pBdr>
          <w:bottom w:val="single" w:sz="12" w:space="1" w:color="auto"/>
        </w:pBdr>
        <w:spacing w:after="0" w:line="360" w:lineRule="auto"/>
        <w:jc w:val="both"/>
      </w:pPr>
    </w:p>
    <w:p w:rsidR="00223529" w:rsidRDefault="00223529" w:rsidP="000F474A">
      <w:pPr>
        <w:spacing w:after="0" w:line="360" w:lineRule="auto"/>
        <w:jc w:val="both"/>
        <w:rPr>
          <w:b/>
        </w:rPr>
      </w:pPr>
    </w:p>
    <w:p w:rsidR="00223529" w:rsidRDefault="00223529" w:rsidP="000F474A">
      <w:pPr>
        <w:spacing w:after="0" w:line="360" w:lineRule="auto"/>
        <w:jc w:val="both"/>
        <w:rPr>
          <w:b/>
        </w:rPr>
      </w:pPr>
      <w:r>
        <w:rPr>
          <w:b/>
        </w:rPr>
        <w:t>Experiment 2</w:t>
      </w:r>
    </w:p>
    <w:p w:rsidR="00223529" w:rsidRDefault="00223529" w:rsidP="000F474A">
      <w:pPr>
        <w:spacing w:after="0" w:line="360" w:lineRule="auto"/>
        <w:jc w:val="both"/>
        <w:rPr>
          <w:i/>
        </w:rPr>
      </w:pPr>
      <w:r w:rsidRPr="00223529">
        <w:rPr>
          <w:i/>
        </w:rPr>
        <w:t>Effects of Age group (young, older)</w:t>
      </w:r>
      <w:r>
        <w:rPr>
          <w:i/>
        </w:rPr>
        <w:t>, encoding format (simultaneous or sequential)</w:t>
      </w:r>
      <w:r w:rsidRPr="00223529">
        <w:rPr>
          <w:i/>
        </w:rPr>
        <w:t xml:space="preserve"> and block type (colour, shape, binding) on visual temporary memory performance</w:t>
      </w:r>
    </w:p>
    <w:p w:rsidR="00515FDE" w:rsidRDefault="00515FDE" w:rsidP="000F474A">
      <w:pPr>
        <w:spacing w:after="0" w:line="360" w:lineRule="auto"/>
        <w:jc w:val="both"/>
        <w:rPr>
          <w:i/>
        </w:rPr>
      </w:pPr>
    </w:p>
    <w:p w:rsidR="00070572" w:rsidRPr="00343AC8" w:rsidRDefault="00070572" w:rsidP="00070572">
      <w:pPr>
        <w:spacing w:after="0" w:line="360" w:lineRule="auto"/>
        <w:jc w:val="both"/>
      </w:pPr>
      <w:r>
        <w:t xml:space="preserve">This experiment used the paradigm illustrated in Figure 3. The basic paradigm (with long, 1500 </w:t>
      </w:r>
      <w:proofErr w:type="spellStart"/>
      <w:r>
        <w:t>ms</w:t>
      </w:r>
      <w:proofErr w:type="spellEnd"/>
      <w:r>
        <w:t>, encoding time</w:t>
      </w:r>
      <w:r w:rsidR="001E6EC9">
        <w:t xml:space="preserve">, in order to accommodate the </w:t>
      </w:r>
      <w:r w:rsidR="007830DB">
        <w:t>encoding</w:t>
      </w:r>
      <w:r w:rsidR="001E6EC9">
        <w:t xml:space="preserve"> manipulation</w:t>
      </w:r>
      <w:r>
        <w:t>) was contrasted with sequential presentation</w:t>
      </w:r>
      <w:r w:rsidR="001E6EC9">
        <w:t xml:space="preserve"> format</w:t>
      </w:r>
      <w:r>
        <w:t xml:space="preserve">, in which each to-be-remembered coloured object is presented one at a time (500 </w:t>
      </w:r>
      <w:proofErr w:type="spellStart"/>
      <w:r>
        <w:t>ms</w:t>
      </w:r>
      <w:proofErr w:type="spellEnd"/>
      <w:r>
        <w:t xml:space="preserve"> each). </w:t>
      </w:r>
    </w:p>
    <w:p w:rsidR="00223529" w:rsidRPr="00223529" w:rsidRDefault="00780D78" w:rsidP="000F474A">
      <w:pPr>
        <w:spacing w:after="0" w:line="360" w:lineRule="auto"/>
        <w:jc w:val="center"/>
      </w:pPr>
      <w:r>
        <w:rPr>
          <w:noProof/>
        </w:rPr>
        <w:drawing>
          <wp:inline distT="0" distB="0" distL="0" distR="0" wp14:anchorId="014A6807" wp14:editId="1E858B3E">
            <wp:extent cx="4904740" cy="4333240"/>
            <wp:effectExtent l="19050" t="19050" r="10160" b="1016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4740" cy="4333240"/>
                    </a:xfrm>
                    <a:prstGeom prst="rect">
                      <a:avLst/>
                    </a:prstGeom>
                    <a:noFill/>
                    <a:ln w="12700">
                      <a:solidFill>
                        <a:schemeClr val="tx1"/>
                      </a:solidFill>
                    </a:ln>
                  </pic:spPr>
                </pic:pic>
              </a:graphicData>
            </a:graphic>
          </wp:inline>
        </w:drawing>
      </w:r>
    </w:p>
    <w:p w:rsidR="00780D78" w:rsidRDefault="00780D78" w:rsidP="000F474A">
      <w:pPr>
        <w:pBdr>
          <w:bottom w:val="single" w:sz="12" w:space="1" w:color="auto"/>
        </w:pBdr>
        <w:spacing w:after="0" w:line="360" w:lineRule="auto"/>
        <w:jc w:val="center"/>
      </w:pPr>
      <w:r w:rsidRPr="00780D78">
        <w:rPr>
          <w:i/>
        </w:rPr>
        <w:t xml:space="preserve">Figure </w:t>
      </w:r>
      <w:r>
        <w:rPr>
          <w:i/>
        </w:rPr>
        <w:t>3</w:t>
      </w:r>
      <w:r>
        <w:t>: Experiment 2 paradigm.</w:t>
      </w:r>
    </w:p>
    <w:p w:rsidR="00223529" w:rsidRDefault="00223529" w:rsidP="000F474A">
      <w:pPr>
        <w:pBdr>
          <w:bottom w:val="single" w:sz="12" w:space="1" w:color="auto"/>
        </w:pBdr>
        <w:spacing w:after="0" w:line="360" w:lineRule="auto"/>
        <w:jc w:val="both"/>
        <w:rPr>
          <w:b/>
        </w:rPr>
      </w:pPr>
    </w:p>
    <w:p w:rsidR="00780D78" w:rsidRPr="00070572" w:rsidRDefault="00070572" w:rsidP="000F474A">
      <w:pPr>
        <w:pBdr>
          <w:bottom w:val="single" w:sz="12" w:space="1" w:color="auto"/>
        </w:pBdr>
        <w:spacing w:after="0" w:line="360" w:lineRule="auto"/>
        <w:jc w:val="both"/>
        <w:rPr>
          <w:b/>
        </w:rPr>
      </w:pPr>
      <w:r>
        <w:t xml:space="preserve">The measures were the same as those documented for the Pilot experiment, and are included in SPSS file named </w:t>
      </w:r>
      <w:r w:rsidR="00515FDE" w:rsidRPr="004E0ADC">
        <w:rPr>
          <w:u w:val="single"/>
        </w:rPr>
        <w:t>ES-J002712-1 Experiment</w:t>
      </w:r>
      <w:r w:rsidR="00515FDE">
        <w:rPr>
          <w:u w:val="single"/>
        </w:rPr>
        <w:t xml:space="preserve"> 2.</w:t>
      </w:r>
      <w:r>
        <w:t xml:space="preserve"> Additionally, there are accuracy data in relation to the ‘present’ items, according to which serial position the item appeared in the encoding array. Only present items are analysed here, because in the binding condition the absent trials involved </w:t>
      </w:r>
      <w:r w:rsidR="008B765D">
        <w:t xml:space="preserve">testing memory for </w:t>
      </w:r>
      <w:r>
        <w:t>features from different serial positions.</w:t>
      </w:r>
    </w:p>
    <w:p w:rsidR="00915CE6" w:rsidRDefault="00915CE6" w:rsidP="000F474A">
      <w:pPr>
        <w:pBdr>
          <w:bottom w:val="single" w:sz="12" w:space="1" w:color="auto"/>
        </w:pBdr>
        <w:spacing w:after="0" w:line="360" w:lineRule="auto"/>
        <w:jc w:val="both"/>
        <w:rPr>
          <w:b/>
        </w:rPr>
      </w:pPr>
    </w:p>
    <w:p w:rsidR="00223529" w:rsidRDefault="00223529" w:rsidP="000F474A">
      <w:pPr>
        <w:spacing w:after="0" w:line="360" w:lineRule="auto"/>
        <w:jc w:val="both"/>
        <w:rPr>
          <w:b/>
        </w:rPr>
      </w:pPr>
    </w:p>
    <w:p w:rsidR="00223529" w:rsidRDefault="00223529" w:rsidP="000F474A">
      <w:pPr>
        <w:spacing w:after="0" w:line="360" w:lineRule="auto"/>
        <w:jc w:val="both"/>
        <w:rPr>
          <w:b/>
        </w:rPr>
      </w:pPr>
      <w:r>
        <w:rPr>
          <w:b/>
        </w:rPr>
        <w:t>Experiment 3</w:t>
      </w:r>
    </w:p>
    <w:p w:rsidR="00223529" w:rsidRDefault="00223529" w:rsidP="000F474A">
      <w:pPr>
        <w:spacing w:after="0" w:line="360" w:lineRule="auto"/>
        <w:jc w:val="both"/>
        <w:rPr>
          <w:i/>
        </w:rPr>
      </w:pPr>
      <w:r w:rsidRPr="00223529">
        <w:rPr>
          <w:i/>
        </w:rPr>
        <w:t>Effects of Age group (young, older)</w:t>
      </w:r>
      <w:r>
        <w:rPr>
          <w:i/>
        </w:rPr>
        <w:t>, suffix condition (control or suffix)</w:t>
      </w:r>
      <w:r w:rsidRPr="00223529">
        <w:rPr>
          <w:i/>
        </w:rPr>
        <w:t xml:space="preserve"> and block type (colour, shape, binding) on visual temporary memory performance</w:t>
      </w:r>
    </w:p>
    <w:p w:rsidR="007830DB" w:rsidRDefault="007830DB" w:rsidP="001E6EC9">
      <w:pPr>
        <w:spacing w:after="0" w:line="360" w:lineRule="auto"/>
        <w:jc w:val="both"/>
      </w:pPr>
    </w:p>
    <w:p w:rsidR="001E6EC9" w:rsidRPr="00343AC8" w:rsidRDefault="001E6EC9" w:rsidP="001E6EC9">
      <w:pPr>
        <w:spacing w:after="0" w:line="360" w:lineRule="auto"/>
        <w:jc w:val="both"/>
      </w:pPr>
      <w:r>
        <w:t xml:space="preserve">This experiment used the paradigm illustrated in Figure 4. The basic paradigm (with short, 900 </w:t>
      </w:r>
      <w:proofErr w:type="spellStart"/>
      <w:r>
        <w:t>ms</w:t>
      </w:r>
      <w:proofErr w:type="spellEnd"/>
      <w:r>
        <w:t xml:space="preserve">, encoding time) was contrasted with a condition in which a suffix (irrelevant item) was presented for 250 </w:t>
      </w:r>
      <w:proofErr w:type="spellStart"/>
      <w:r>
        <w:t>ms</w:t>
      </w:r>
      <w:proofErr w:type="spellEnd"/>
      <w:r>
        <w:t xml:space="preserve">, shortly (250 </w:t>
      </w:r>
      <w:proofErr w:type="spellStart"/>
      <w:r>
        <w:t>ms</w:t>
      </w:r>
      <w:proofErr w:type="spellEnd"/>
      <w:r>
        <w:t xml:space="preserve">) after the encoding array disappeared. </w:t>
      </w:r>
    </w:p>
    <w:p w:rsidR="00223529" w:rsidRDefault="00643FC9" w:rsidP="000F474A">
      <w:pPr>
        <w:spacing w:after="0" w:line="360" w:lineRule="auto"/>
        <w:jc w:val="center"/>
        <w:rPr>
          <w:b/>
        </w:rPr>
      </w:pPr>
      <w:r>
        <w:rPr>
          <w:b/>
          <w:noProof/>
        </w:rPr>
        <w:drawing>
          <wp:inline distT="0" distB="0" distL="0" distR="0" wp14:anchorId="043B93EF" wp14:editId="7CA6DE99">
            <wp:extent cx="4904740" cy="4333240"/>
            <wp:effectExtent l="19050" t="19050" r="10160" b="1016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4740" cy="4333240"/>
                    </a:xfrm>
                    <a:prstGeom prst="rect">
                      <a:avLst/>
                    </a:prstGeom>
                    <a:noFill/>
                    <a:ln w="12700">
                      <a:solidFill>
                        <a:schemeClr val="tx1"/>
                      </a:solidFill>
                    </a:ln>
                  </pic:spPr>
                </pic:pic>
              </a:graphicData>
            </a:graphic>
          </wp:inline>
        </w:drawing>
      </w:r>
    </w:p>
    <w:p w:rsidR="00780D78" w:rsidRDefault="00780D78" w:rsidP="000F474A">
      <w:pPr>
        <w:spacing w:after="0" w:line="360" w:lineRule="auto"/>
        <w:jc w:val="center"/>
        <w:rPr>
          <w:b/>
        </w:rPr>
      </w:pPr>
      <w:r w:rsidRPr="00780D78">
        <w:rPr>
          <w:i/>
        </w:rPr>
        <w:t xml:space="preserve">Figure </w:t>
      </w:r>
      <w:r>
        <w:rPr>
          <w:i/>
        </w:rPr>
        <w:t>4</w:t>
      </w:r>
      <w:r>
        <w:t>: Experiment 2 paradigm.</w:t>
      </w:r>
    </w:p>
    <w:p w:rsidR="00223529" w:rsidRDefault="00223529" w:rsidP="000F474A">
      <w:pPr>
        <w:spacing w:after="0" w:line="360" w:lineRule="auto"/>
        <w:jc w:val="both"/>
        <w:rPr>
          <w:b/>
        </w:rPr>
      </w:pPr>
    </w:p>
    <w:p w:rsidR="00223529" w:rsidRDefault="001E6EC9" w:rsidP="000F474A">
      <w:pPr>
        <w:spacing w:after="0" w:line="360" w:lineRule="auto"/>
        <w:jc w:val="both"/>
        <w:rPr>
          <w:b/>
        </w:rPr>
      </w:pPr>
      <w:r>
        <w:t xml:space="preserve">The measures were the same as those documented for the Pilot experiment, and are included in SPSS file named </w:t>
      </w:r>
      <w:r w:rsidR="00515FDE">
        <w:rPr>
          <w:u w:val="single"/>
        </w:rPr>
        <w:t xml:space="preserve">ES-J002712-1 </w:t>
      </w:r>
      <w:r w:rsidR="00515FDE" w:rsidRPr="004E0ADC">
        <w:rPr>
          <w:u w:val="single"/>
        </w:rPr>
        <w:t>Experiment</w:t>
      </w:r>
      <w:r w:rsidR="00515FDE">
        <w:rPr>
          <w:u w:val="single"/>
        </w:rPr>
        <w:t xml:space="preserve"> 3.</w:t>
      </w:r>
    </w:p>
    <w:p w:rsidR="00223529" w:rsidRDefault="00223529" w:rsidP="000F474A">
      <w:pPr>
        <w:spacing w:after="0" w:line="360" w:lineRule="auto"/>
        <w:jc w:val="both"/>
        <w:rPr>
          <w:b/>
        </w:rPr>
      </w:pPr>
    </w:p>
    <w:p w:rsidR="00223529" w:rsidRDefault="00223529" w:rsidP="000F474A">
      <w:pPr>
        <w:spacing w:after="0" w:line="360" w:lineRule="auto"/>
        <w:jc w:val="both"/>
        <w:rPr>
          <w:b/>
        </w:rPr>
      </w:pPr>
    </w:p>
    <w:p w:rsidR="00223529" w:rsidRDefault="000F474A" w:rsidP="000F474A">
      <w:pPr>
        <w:spacing w:after="0" w:line="360" w:lineRule="auto"/>
        <w:jc w:val="both"/>
        <w:rPr>
          <w:b/>
        </w:rPr>
      </w:pPr>
      <w:r>
        <w:rPr>
          <w:b/>
        </w:rPr>
        <w:t>References</w:t>
      </w:r>
    </w:p>
    <w:p w:rsidR="000F474A" w:rsidRDefault="000F474A" w:rsidP="000F474A">
      <w:pPr>
        <w:spacing w:after="0" w:line="360" w:lineRule="auto"/>
        <w:ind w:left="567" w:hanging="567"/>
        <w:jc w:val="both"/>
      </w:pPr>
      <w:proofErr w:type="spellStart"/>
      <w:r w:rsidRPr="000F474A">
        <w:t>Folstein</w:t>
      </w:r>
      <w:proofErr w:type="spellEnd"/>
      <w:r w:rsidRPr="000F474A">
        <w:t xml:space="preserve">, M. F., </w:t>
      </w:r>
      <w:proofErr w:type="spellStart"/>
      <w:r w:rsidRPr="000F474A">
        <w:t>Folstein</w:t>
      </w:r>
      <w:proofErr w:type="spellEnd"/>
      <w:r w:rsidRPr="000F474A">
        <w:t xml:space="preserve">, S. E., &amp; McHugh, P. R. (1975). Mini-Mental State: a practical method for grading the cognitive state of patients for the clinician. </w:t>
      </w:r>
      <w:r w:rsidRPr="000F474A">
        <w:rPr>
          <w:i/>
        </w:rPr>
        <w:t>Journal of Psychiatric Research, 12</w:t>
      </w:r>
      <w:r w:rsidRPr="000F474A">
        <w:t>, 189-198.</w:t>
      </w:r>
    </w:p>
    <w:p w:rsidR="000F474A" w:rsidRDefault="000F474A" w:rsidP="000F474A">
      <w:pPr>
        <w:spacing w:after="0" w:line="360" w:lineRule="auto"/>
        <w:ind w:left="567" w:hanging="567"/>
        <w:jc w:val="both"/>
      </w:pPr>
      <w:r w:rsidRPr="000F474A">
        <w:t xml:space="preserve">Pearson Assessment (2009). </w:t>
      </w:r>
      <w:r w:rsidRPr="000F474A">
        <w:rPr>
          <w:i/>
        </w:rPr>
        <w:t>Test of Premorbid Functioning – UK Edition</w:t>
      </w:r>
      <w:r w:rsidRPr="000F474A">
        <w:t>. London; Pearson Education, Inc.</w:t>
      </w:r>
    </w:p>
    <w:p w:rsidR="000F474A" w:rsidRPr="000F474A" w:rsidRDefault="000F474A" w:rsidP="000F474A">
      <w:pPr>
        <w:spacing w:after="0" w:line="360" w:lineRule="auto"/>
        <w:ind w:left="567" w:hanging="567"/>
        <w:jc w:val="both"/>
      </w:pPr>
      <w:r>
        <w:t xml:space="preserve">Stanislaw, H., &amp; </w:t>
      </w:r>
      <w:proofErr w:type="spellStart"/>
      <w:r>
        <w:t>Todorov</w:t>
      </w:r>
      <w:proofErr w:type="spellEnd"/>
      <w:r>
        <w:t xml:space="preserve">, N. (1999). Calculation of signal detection theory measures. </w:t>
      </w:r>
      <w:proofErr w:type="spellStart"/>
      <w:r w:rsidRPr="000F474A">
        <w:rPr>
          <w:i/>
        </w:rPr>
        <w:t>Behavior</w:t>
      </w:r>
      <w:proofErr w:type="spellEnd"/>
      <w:r w:rsidRPr="000F474A">
        <w:rPr>
          <w:i/>
        </w:rPr>
        <w:t xml:space="preserve"> Research Methods, Instruments, &amp; Computers, 31</w:t>
      </w:r>
      <w:r>
        <w:t>, 137-149.</w:t>
      </w:r>
    </w:p>
    <w:sectPr w:rsidR="000F474A" w:rsidRPr="000F474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29" w:rsidRDefault="00223529" w:rsidP="00223529">
      <w:pPr>
        <w:spacing w:after="0" w:line="240" w:lineRule="auto"/>
      </w:pPr>
      <w:r>
        <w:separator/>
      </w:r>
    </w:p>
  </w:endnote>
  <w:endnote w:type="continuationSeparator" w:id="0">
    <w:p w:rsidR="00223529" w:rsidRDefault="00223529" w:rsidP="0022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29" w:rsidRDefault="00AB11B3">
    <w:pPr>
      <w:pStyle w:val="Footer"/>
    </w:pPr>
    <w:r w:rsidRPr="00AB11B3">
      <w:t>RES-000-22-4661</w:t>
    </w:r>
    <w:r w:rsidR="00223529">
      <w:t xml:space="preserve"> (Brown, </w:t>
    </w:r>
    <w:proofErr w:type="spellStart"/>
    <w:r w:rsidR="00223529">
      <w:t>Logie</w:t>
    </w:r>
    <w:proofErr w:type="spellEnd"/>
    <w:r w:rsidR="00223529">
      <w:t>, &amp; Allen)</w:t>
    </w:r>
    <w:r w:rsidR="00915CE6">
      <w:t>_1</w:t>
    </w:r>
    <w:r w:rsidR="006B027D">
      <w:t>2</w:t>
    </w:r>
    <w:r w:rsidR="00915CE6">
      <w:t>.12.12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29" w:rsidRDefault="00223529" w:rsidP="00223529">
      <w:pPr>
        <w:spacing w:after="0" w:line="240" w:lineRule="auto"/>
      </w:pPr>
      <w:r>
        <w:separator/>
      </w:r>
    </w:p>
  </w:footnote>
  <w:footnote w:type="continuationSeparator" w:id="0">
    <w:p w:rsidR="00223529" w:rsidRDefault="00223529" w:rsidP="00223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29"/>
    <w:rsid w:val="00070572"/>
    <w:rsid w:val="000D28EB"/>
    <w:rsid w:val="000F474A"/>
    <w:rsid w:val="001E6EC9"/>
    <w:rsid w:val="00207464"/>
    <w:rsid w:val="00216BC7"/>
    <w:rsid w:val="00223529"/>
    <w:rsid w:val="002532A6"/>
    <w:rsid w:val="00280726"/>
    <w:rsid w:val="00343AC8"/>
    <w:rsid w:val="00362AC5"/>
    <w:rsid w:val="004E0ADC"/>
    <w:rsid w:val="00515FDE"/>
    <w:rsid w:val="00551EFB"/>
    <w:rsid w:val="0064063B"/>
    <w:rsid w:val="00643FC9"/>
    <w:rsid w:val="006B027D"/>
    <w:rsid w:val="00780D78"/>
    <w:rsid w:val="007830DB"/>
    <w:rsid w:val="008151D5"/>
    <w:rsid w:val="008B765D"/>
    <w:rsid w:val="00915CE6"/>
    <w:rsid w:val="00AB11B3"/>
    <w:rsid w:val="00AB2A2C"/>
    <w:rsid w:val="00AB7AF8"/>
    <w:rsid w:val="00AF78D8"/>
    <w:rsid w:val="00C41201"/>
    <w:rsid w:val="00C508CF"/>
    <w:rsid w:val="00D36404"/>
    <w:rsid w:val="00E21593"/>
    <w:rsid w:val="00E61F8A"/>
    <w:rsid w:val="00E741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529"/>
  </w:style>
  <w:style w:type="paragraph" w:styleId="Footer">
    <w:name w:val="footer"/>
    <w:basedOn w:val="Normal"/>
    <w:link w:val="FooterChar"/>
    <w:uiPriority w:val="99"/>
    <w:unhideWhenUsed/>
    <w:rsid w:val="00223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529"/>
  </w:style>
  <w:style w:type="paragraph" w:styleId="BalloonText">
    <w:name w:val="Balloon Text"/>
    <w:basedOn w:val="Normal"/>
    <w:link w:val="BalloonTextChar"/>
    <w:uiPriority w:val="99"/>
    <w:semiHidden/>
    <w:unhideWhenUsed/>
    <w:rsid w:val="0020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4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529"/>
  </w:style>
  <w:style w:type="paragraph" w:styleId="Footer">
    <w:name w:val="footer"/>
    <w:basedOn w:val="Normal"/>
    <w:link w:val="FooterChar"/>
    <w:uiPriority w:val="99"/>
    <w:unhideWhenUsed/>
    <w:rsid w:val="00223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529"/>
  </w:style>
  <w:style w:type="paragraph" w:styleId="BalloonText">
    <w:name w:val="Balloon Text"/>
    <w:basedOn w:val="Normal"/>
    <w:link w:val="BalloonTextChar"/>
    <w:uiPriority w:val="99"/>
    <w:semiHidden/>
    <w:unhideWhenUsed/>
    <w:rsid w:val="0020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4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2D3C4-11D9-44BF-AED2-E20A5CA9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Brown, Louise</cp:lastModifiedBy>
  <cp:revision>19</cp:revision>
  <dcterms:created xsi:type="dcterms:W3CDTF">2012-12-11T11:23:00Z</dcterms:created>
  <dcterms:modified xsi:type="dcterms:W3CDTF">2012-12-14T15:45:00Z</dcterms:modified>
</cp:coreProperties>
</file>